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numbering.xml" ContentType="application/vnd.openxmlformats-officedocument.wordprocessingml.numbering+xml"/>
  <Override PartName="/word/fontTable.xml" ContentType="application/vnd.openxmlformats-officedocument.wordprocessingml.fontTable+xml"/>
  <Override PartName="/word/header2.xml" ContentType="application/vnd.openxmlformats-officedocument.wordprocessingml.head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header6.xml" ContentType="application/vnd.openxmlformats-officedocument.wordprocessingml.header+xml"/>
  <Override PartName="/word/document.xml" ContentType="application/vnd.openxmlformats-officedocument.wordprocessingml.document.main+xml"/>
  <Override PartName="/word/header4.xml" ContentType="application/vnd.openxmlformats-officedocument.wordprocessingml.header+xml"/>
  <Override PartName="/word/header3.xml" ContentType="application/vnd.openxmlformats-officedocument.wordprocessingml.header+xml"/>
  <Override PartName="/word/header5.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sz w:val="24"/>
          <w:szCs w:val="24"/>
        </w:rPr>
      </w:pPr>
      <w:r>
        <w:rPr>
          <w:sz w:val="24"/>
          <w:szCs w:val="24"/>
        </w:rPr>
      </w:r>
    </w:p>
    <w:p>
      <w:pPr>
        <w:pStyle w:val="Normal"/>
        <w:keepNext w:val="true"/>
        <w:keepLines/>
        <w:rPr>
          <w:sz w:val="26"/>
          <w:szCs w:val="26"/>
        </w:rPr>
      </w:pPr>
      <w:r>
        <w:rPr>
          <w:sz w:val="26"/>
          <w:szCs w:val="26"/>
        </w:rPr>
      </w:r>
    </w:p>
    <w:tbl>
      <w:tblPr>
        <w:tblW w:w="5000" w:type="pct"/>
        <w:jc w:val="left"/>
        <w:tblInd w:w="55" w:type="dxa"/>
        <w:tblLayout w:type="fixed"/>
        <w:tblCellMar>
          <w:top w:w="55" w:type="dxa"/>
          <w:left w:w="55" w:type="dxa"/>
          <w:bottom w:w="55" w:type="dxa"/>
          <w:right w:w="55" w:type="dxa"/>
        </w:tblCellMar>
      </w:tblPr>
      <w:tblGrid>
        <w:gridCol w:w="4529"/>
        <w:gridCol w:w="1071"/>
        <w:gridCol w:w="4321"/>
      </w:tblGrid>
      <w:tr>
        <w:trPr>
          <w:trHeight w:val="2040" w:hRule="atLeast"/>
        </w:trPr>
        <w:tc>
          <w:tcPr>
            <w:tcW w:w="4529" w:type="dxa"/>
            <w:tcBorders/>
          </w:tcPr>
          <w:p>
            <w:pPr>
              <w:pStyle w:val="Normal"/>
              <w:keepNext w:val="true"/>
              <w:keepLines/>
              <w:widowControl w:val="false"/>
              <w:tabs>
                <w:tab w:val="clear" w:pos="708"/>
                <w:tab w:val="left" w:pos="9420" w:leader="none"/>
              </w:tabs>
              <w:suppressAutoHyphens w:val="true"/>
              <w:spacing w:before="0" w:after="0"/>
              <w:jc w:val="right"/>
              <w:rPr/>
            </w:pPr>
            <w:r>
              <w:rPr>
                <w:rFonts w:eastAsia="Times New Roman" w:cs="Times New Roman"/>
                <w:kern w:val="0"/>
                <w:sz w:val="24"/>
                <w:szCs w:val="24"/>
                <w:lang w:val="ru-RU" w:eastAsia="ru-RU" w:bidi="ar-SA"/>
              </w:rPr>
              <w:t>«ПОДГОТОВИЛ»</w:t>
            </w:r>
          </w:p>
          <w:p>
            <w:pPr>
              <w:pStyle w:val="Normal"/>
              <w:keepNext w:val="true"/>
              <w:keepLines/>
              <w:widowControl w:val="false"/>
              <w:tabs>
                <w:tab w:val="clear" w:pos="708"/>
                <w:tab w:val="left" w:pos="9420" w:leader="none"/>
              </w:tabs>
              <w:suppressAutoHyphens w:val="true"/>
              <w:spacing w:before="0" w:after="0"/>
              <w:jc w:val="right"/>
              <w:rPr/>
            </w:pPr>
            <w:r>
              <w:rPr>
                <w:rFonts w:eastAsia="Times New Roman" w:cs="Times New Roman"/>
                <w:kern w:val="0"/>
                <w:sz w:val="24"/>
                <w:szCs w:val="24"/>
                <w:lang w:val="ru-RU" w:eastAsia="ru-RU" w:bidi="ar-SA"/>
              </w:rPr>
              <w:t>Ведущий специалист отдела комплексного обслуживания</w:t>
            </w:r>
          </w:p>
          <w:p>
            <w:pPr>
              <w:pStyle w:val="Normal"/>
              <w:keepNext w:val="true"/>
              <w:keepLines/>
              <w:widowControl w:val="false"/>
              <w:tabs>
                <w:tab w:val="clear" w:pos="708"/>
                <w:tab w:val="left" w:pos="9420" w:leader="none"/>
              </w:tabs>
              <w:suppressAutoHyphens w:val="true"/>
              <w:spacing w:before="0" w:after="0"/>
              <w:jc w:val="right"/>
              <w:rPr>
                <w:rFonts w:ascii="Times New Roman" w:hAnsi="Times New Roman" w:cs="Times New Roman"/>
                <w:sz w:val="24"/>
                <w:szCs w:val="24"/>
                <w:shd w:fill="FFFF00" w:val="clear"/>
              </w:rPr>
            </w:pPr>
            <w:r>
              <w:rPr>
                <w:rFonts w:cs="Times New Roman"/>
                <w:sz w:val="24"/>
                <w:szCs w:val="24"/>
                <w:shd w:fill="FFFF00" w:val="clear"/>
              </w:rPr>
            </w:r>
          </w:p>
          <w:p>
            <w:pPr>
              <w:pStyle w:val="Normal"/>
              <w:keepNext w:val="true"/>
              <w:keepLines/>
              <w:widowControl w:val="false"/>
              <w:tabs>
                <w:tab w:val="clear" w:pos="708"/>
                <w:tab w:val="left" w:pos="9420" w:leader="none"/>
              </w:tabs>
              <w:suppressAutoHyphens w:val="true"/>
              <w:spacing w:before="0" w:after="0"/>
              <w:jc w:val="right"/>
              <w:rPr>
                <w:rFonts w:ascii="Times New Roman" w:hAnsi="Times New Roman" w:cs="Times New Roman"/>
                <w:sz w:val="24"/>
                <w:szCs w:val="24"/>
                <w:shd w:fill="FFFF00" w:val="clear"/>
              </w:rPr>
            </w:pPr>
            <w:r>
              <w:rPr>
                <w:rFonts w:cs="Times New Roman"/>
                <w:sz w:val="24"/>
                <w:szCs w:val="24"/>
                <w:shd w:fill="FFFF00" w:val="clear"/>
              </w:rPr>
            </w:r>
          </w:p>
          <w:p>
            <w:pPr>
              <w:pStyle w:val="Normal"/>
              <w:widowControl w:val="false"/>
              <w:tabs>
                <w:tab w:val="clear" w:pos="708"/>
                <w:tab w:val="left" w:pos="9420" w:leader="none"/>
              </w:tabs>
              <w:suppressAutoHyphens w:val="true"/>
              <w:spacing w:before="0" w:after="0"/>
              <w:jc w:val="right"/>
              <w:rPr/>
            </w:pPr>
            <w:r>
              <w:rPr>
                <w:rFonts w:eastAsia="Times New Roman" w:cs="Times New Roman"/>
                <w:kern w:val="0"/>
                <w:sz w:val="24"/>
                <w:szCs w:val="24"/>
                <w:lang w:val="ru-RU" w:eastAsia="ru-RU" w:bidi="ar-SA"/>
              </w:rPr>
              <w:t>_______________ Стрелец В.А.</w:t>
            </w:r>
          </w:p>
          <w:p>
            <w:pPr>
              <w:pStyle w:val="Normal"/>
              <w:keepNext w:val="true"/>
              <w:keepLines/>
              <w:widowControl w:val="false"/>
              <w:tabs>
                <w:tab w:val="clear" w:pos="708"/>
                <w:tab w:val="left" w:pos="9420" w:leader="none"/>
              </w:tabs>
              <w:suppressAutoHyphens w:val="true"/>
              <w:spacing w:before="0" w:after="0"/>
              <w:jc w:val="right"/>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p>
            <w:pPr>
              <w:pStyle w:val="Normal"/>
              <w:widowControl w:val="false"/>
              <w:tabs>
                <w:tab w:val="clear" w:pos="708"/>
                <w:tab w:val="left" w:pos="9420" w:leader="none"/>
              </w:tabs>
              <w:suppressAutoHyphens w:val="true"/>
              <w:spacing w:before="0" w:after="0"/>
              <w:jc w:val="right"/>
              <w:rPr/>
            </w:pPr>
            <w:r>
              <w:rPr>
                <w:rFonts w:eastAsia="Times New Roman" w:cs="Times New Roman"/>
                <w:kern w:val="0"/>
                <w:sz w:val="24"/>
                <w:szCs w:val="24"/>
                <w:lang w:val="ru-RU" w:eastAsia="ru-RU" w:bidi="ar-SA"/>
              </w:rPr>
              <w:t xml:space="preserve">«      </w:t>
            </w:r>
            <w:r>
              <w:rPr>
                <w:rFonts w:eastAsia="Times New Roman" w:cs="Times New Roman"/>
                <w:kern w:val="0"/>
                <w:sz w:val="24"/>
                <w:szCs w:val="24"/>
                <w:u w:val="none"/>
                <w:lang w:val="ru-RU" w:eastAsia="ru-RU" w:bidi="ar-SA"/>
              </w:rPr>
              <w:t>» сентября 2026 г</w:t>
            </w:r>
            <w:r>
              <w:rPr>
                <w:rFonts w:eastAsia="Times New Roman" w:cs="Times New Roman"/>
                <w:kern w:val="0"/>
                <w:sz w:val="24"/>
                <w:szCs w:val="24"/>
                <w:lang w:val="ru-RU" w:eastAsia="ru-RU" w:bidi="ar-SA"/>
              </w:rPr>
              <w:t>.</w:t>
            </w:r>
          </w:p>
        </w:tc>
        <w:tc>
          <w:tcPr>
            <w:tcW w:w="1071" w:type="dxa"/>
            <w:tcBorders/>
          </w:tcPr>
          <w:p>
            <w:pPr>
              <w:pStyle w:val="Normal"/>
              <w:widowControl w:val="false"/>
              <w:rPr/>
            </w:pPr>
            <w:r>
              <w:rPr/>
            </w:r>
          </w:p>
        </w:tc>
        <w:tc>
          <w:tcPr>
            <w:tcW w:w="4321" w:type="dxa"/>
            <w:tcBorders/>
          </w:tcPr>
          <w:p>
            <w:pPr>
              <w:pStyle w:val="Normal"/>
              <w:keepNext w:val="true"/>
              <w:keepLines/>
              <w:widowControl w:val="false"/>
              <w:tabs>
                <w:tab w:val="clear" w:pos="708"/>
                <w:tab w:val="left" w:pos="9420" w:leader="none"/>
              </w:tabs>
              <w:suppressAutoHyphens w:val="true"/>
              <w:spacing w:before="0" w:after="0"/>
              <w:jc w:val="right"/>
              <w:rPr/>
            </w:pPr>
            <w:r>
              <w:rPr>
                <w:rFonts w:eastAsia="Times New Roman" w:cs="Times New Roman"/>
                <w:kern w:val="0"/>
                <w:sz w:val="24"/>
                <w:szCs w:val="24"/>
                <w:lang w:val="ru-RU" w:eastAsia="ru-RU" w:bidi="ar-SA"/>
              </w:rPr>
              <w:t>«УТВЕРЖДАЮ»</w:t>
            </w:r>
          </w:p>
          <w:p>
            <w:pPr>
              <w:pStyle w:val="Normal"/>
              <w:keepNext w:val="true"/>
              <w:keepLines/>
              <w:widowControl w:val="false"/>
              <w:tabs>
                <w:tab w:val="clear" w:pos="708"/>
                <w:tab w:val="left" w:pos="9420" w:leader="none"/>
              </w:tabs>
              <w:suppressAutoHyphens w:val="true"/>
              <w:spacing w:before="0" w:after="0"/>
              <w:jc w:val="right"/>
              <w:rPr/>
            </w:pPr>
            <w:r>
              <w:rPr>
                <w:rFonts w:eastAsia="Times New Roman" w:cs="Times New Roman"/>
                <w:kern w:val="0"/>
                <w:sz w:val="24"/>
                <w:szCs w:val="24"/>
                <w:lang w:val="ru-RU" w:eastAsia="ru-RU" w:bidi="ar-SA"/>
              </w:rPr>
              <w:t>Инициатор договора</w:t>
            </w:r>
          </w:p>
          <w:p>
            <w:pPr>
              <w:pStyle w:val="Normal"/>
              <w:keepNext w:val="true"/>
              <w:keepLines/>
              <w:widowControl w:val="false"/>
              <w:tabs>
                <w:tab w:val="clear" w:pos="708"/>
                <w:tab w:val="left" w:pos="9420" w:leader="none"/>
              </w:tabs>
              <w:suppressAutoHyphens w:val="true"/>
              <w:spacing w:before="0" w:after="0"/>
              <w:jc w:val="right"/>
              <w:rPr/>
            </w:pPr>
            <w:r>
              <w:rPr>
                <w:rFonts w:eastAsia="Times New Roman" w:cs="Times New Roman"/>
                <w:kern w:val="0"/>
                <w:sz w:val="24"/>
                <w:szCs w:val="24"/>
                <w:lang w:val="ru-RU" w:eastAsia="ru-RU" w:bidi="ar-SA"/>
              </w:rPr>
              <w:t>Начальник управления обслуживания объектов</w:t>
            </w:r>
          </w:p>
          <w:p>
            <w:pPr>
              <w:pStyle w:val="Normal"/>
              <w:widowControl w:val="false"/>
              <w:tabs>
                <w:tab w:val="clear" w:pos="708"/>
                <w:tab w:val="left" w:pos="9420" w:leader="none"/>
              </w:tabs>
              <w:suppressAutoHyphens w:val="true"/>
              <w:spacing w:before="0" w:after="0"/>
              <w:jc w:val="right"/>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p>
            <w:pPr>
              <w:pStyle w:val="Normal"/>
              <w:widowControl w:val="false"/>
              <w:tabs>
                <w:tab w:val="clear" w:pos="708"/>
                <w:tab w:val="left" w:pos="9420" w:leader="none"/>
              </w:tabs>
              <w:suppressAutoHyphens w:val="true"/>
              <w:spacing w:before="0" w:after="0"/>
              <w:jc w:val="right"/>
              <w:rPr/>
            </w:pPr>
            <w:r>
              <w:rPr>
                <w:rFonts w:eastAsia="Times New Roman" w:cs="Times New Roman"/>
                <w:kern w:val="0"/>
                <w:sz w:val="24"/>
                <w:szCs w:val="24"/>
                <w:lang w:val="ru-RU" w:eastAsia="ru-RU" w:bidi="ar-SA"/>
              </w:rPr>
              <w:t>________________/ Решетникова А.А.</w:t>
            </w:r>
          </w:p>
          <w:p>
            <w:pPr>
              <w:pStyle w:val="Normal"/>
              <w:keepNext w:val="true"/>
              <w:keepLines/>
              <w:widowControl w:val="false"/>
              <w:tabs>
                <w:tab w:val="clear" w:pos="708"/>
                <w:tab w:val="left" w:pos="9420" w:leader="none"/>
              </w:tabs>
              <w:suppressAutoHyphens w:val="true"/>
              <w:spacing w:before="0" w:after="0"/>
              <w:jc w:val="right"/>
              <w:rPr>
                <w:rFonts w:ascii="Times New Roman" w:hAnsi="Times New Roman" w:cs="Times New Roman"/>
                <w:sz w:val="24"/>
                <w:szCs w:val="24"/>
              </w:rPr>
            </w:pPr>
            <w:r>
              <w:rPr>
                <w:rFonts w:cs="Times New Roman"/>
                <w:sz w:val="24"/>
                <w:szCs w:val="24"/>
              </w:rPr>
            </w:r>
          </w:p>
          <w:p>
            <w:pPr>
              <w:pStyle w:val="Normal"/>
              <w:widowControl w:val="false"/>
              <w:tabs>
                <w:tab w:val="clear" w:pos="708"/>
                <w:tab w:val="left" w:pos="9420" w:leader="none"/>
              </w:tabs>
              <w:suppressAutoHyphens w:val="true"/>
              <w:spacing w:before="0" w:after="0"/>
              <w:jc w:val="right"/>
              <w:rPr/>
            </w:pPr>
            <w:r>
              <w:rPr>
                <w:rFonts w:eastAsia="Times New Roman" w:cs="Times New Roman"/>
                <w:kern w:val="0"/>
                <w:sz w:val="24"/>
                <w:szCs w:val="24"/>
                <w:lang w:val="ru-RU" w:eastAsia="ru-RU" w:bidi="ar-SA"/>
              </w:rPr>
              <w:t xml:space="preserve">«      </w:t>
            </w:r>
            <w:r>
              <w:rPr>
                <w:rFonts w:eastAsia="Times New Roman" w:cs="Times New Roman"/>
                <w:kern w:val="0"/>
                <w:sz w:val="24"/>
                <w:szCs w:val="24"/>
                <w:u w:val="none"/>
                <w:lang w:val="ru-RU" w:eastAsia="ru-RU" w:bidi="ar-SA"/>
              </w:rPr>
              <w:t>» сентября 20</w:t>
            </w:r>
            <w:r>
              <w:rPr>
                <w:rFonts w:eastAsia="Times New Roman" w:cs="Times New Roman"/>
                <w:kern w:val="0"/>
                <w:sz w:val="24"/>
                <w:szCs w:val="24"/>
                <w:lang w:val="ru-RU" w:eastAsia="ru-RU" w:bidi="ar-SA"/>
              </w:rPr>
              <w:t>26 г.</w:t>
            </w:r>
          </w:p>
        </w:tc>
      </w:tr>
    </w:tbl>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rPr>
          <w:sz w:val="26"/>
          <w:szCs w:val="26"/>
        </w:rPr>
      </w:pPr>
      <w:r>
        <w:rPr>
          <w:sz w:val="26"/>
          <w:szCs w:val="26"/>
        </w:rPr>
      </w:r>
    </w:p>
    <w:p>
      <w:pPr>
        <w:pStyle w:val="Normal"/>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jc w:val="center"/>
        <w:rPr>
          <w:rFonts w:eastAsia="Calibri"/>
          <w:b/>
          <w:sz w:val="26"/>
          <w:szCs w:val="26"/>
        </w:rPr>
      </w:pPr>
      <w:r>
        <w:rPr>
          <w:rFonts w:eastAsia="Calibri"/>
          <w:b/>
          <w:sz w:val="26"/>
          <w:szCs w:val="26"/>
        </w:rPr>
        <w:t>Технические требования на оказание услуг</w:t>
      </w:r>
    </w:p>
    <w:p>
      <w:pPr>
        <w:pStyle w:val="Normal"/>
        <w:keepNext w:val="true"/>
        <w:keepLines/>
        <w:jc w:val="center"/>
        <w:rPr>
          <w:b/>
          <w:bCs/>
          <w:i/>
          <w:i/>
          <w:iCs/>
          <w:sz w:val="26"/>
          <w:szCs w:val="26"/>
        </w:rPr>
      </w:pPr>
      <w:r>
        <w:rPr>
          <w:b/>
          <w:bCs/>
          <w:i/>
          <w:iCs/>
          <w:sz w:val="26"/>
          <w:szCs w:val="26"/>
        </w:rPr>
      </w:r>
    </w:p>
    <w:p>
      <w:pPr>
        <w:pStyle w:val="Normal"/>
        <w:ind w:left="0" w:right="0" w:firstLine="709"/>
        <w:jc w:val="center"/>
        <w:rPr>
          <w:b/>
          <w:bCs/>
          <w:i w:val="false"/>
          <w:i w:val="false"/>
          <w:iCs w:val="false"/>
          <w:sz w:val="26"/>
          <w:szCs w:val="26"/>
          <w:lang w:val="ru-RU"/>
        </w:rPr>
      </w:pPr>
      <w:r>
        <w:rPr>
          <w:b/>
          <w:bCs/>
          <w:i w:val="false"/>
          <w:iCs w:val="false"/>
          <w:sz w:val="26"/>
          <w:szCs w:val="26"/>
          <w:lang w:val="ru-RU"/>
        </w:rPr>
        <w:t>ОКПД2 81.22.12.000 Оказание услуг по очистке кровли от снега и наледи офисного здания по адресу: г. Москва, ул. Волоколамское шоссе, д.2</w:t>
      </w:r>
    </w:p>
    <w:p>
      <w:pPr>
        <w:pStyle w:val="Normal"/>
        <w:ind w:left="0" w:right="0" w:firstLine="709"/>
        <w:jc w:val="center"/>
        <w:rPr>
          <w:b/>
          <w:bCs/>
          <w:sz w:val="26"/>
          <w:szCs w:val="26"/>
        </w:rPr>
      </w:pPr>
      <w:r>
        <w:rPr>
          <w:b/>
          <w:bCs/>
          <w:sz w:val="26"/>
          <w:szCs w:val="26"/>
        </w:rPr>
      </w:r>
    </w:p>
    <w:p>
      <w:pPr>
        <w:pStyle w:val="Normal"/>
        <w:widowControl/>
        <w:suppressAutoHyphens w:val="true"/>
        <w:bidi w:val="0"/>
        <w:spacing w:before="0" w:after="0"/>
        <w:ind w:left="0" w:right="0" w:hanging="0"/>
        <w:jc w:val="center"/>
        <w:rPr>
          <w:b/>
          <w:bCs/>
          <w:i w:val="false"/>
          <w:i w:val="false"/>
          <w:iCs w:val="false"/>
          <w:sz w:val="26"/>
          <w:szCs w:val="26"/>
          <w:lang w:val="ru-RU"/>
        </w:rPr>
      </w:pPr>
      <w:r>
        <w:rPr>
          <w:b/>
          <w:bCs/>
          <w:i w:val="false"/>
          <w:iCs w:val="false"/>
          <w:sz w:val="26"/>
          <w:szCs w:val="26"/>
          <w:lang w:val="ru-RU"/>
        </w:rPr>
        <w:t xml:space="preserve">Лот № </w:t>
      </w:r>
      <w:r>
        <w:br w:type="page"/>
      </w:r>
    </w:p>
    <w:p>
      <w:pPr>
        <w:pStyle w:val="Heading1"/>
        <w:keepLines/>
        <w:numPr>
          <w:ilvl w:val="0"/>
          <w:numId w:val="3"/>
        </w:numPr>
        <w:ind w:left="357" w:right="0" w:hanging="357"/>
        <w:jc w:val="center"/>
        <w:rPr>
          <w:caps/>
          <w:lang w:val="ru-RU"/>
        </w:rPr>
      </w:pPr>
      <w:bookmarkStart w:id="0" w:name="__RefHeading___Toc3365_1975687802"/>
      <w:bookmarkStart w:id="1" w:name="_Toc54646395"/>
      <w:bookmarkStart w:id="2" w:name="_Toc51339692"/>
      <w:bookmarkEnd w:id="0"/>
      <w:r>
        <w:rPr>
          <w:lang w:val="ru-RU"/>
        </w:rPr>
        <w:t>Общие сведения</w:t>
      </w:r>
      <w:bookmarkEnd w:id="1"/>
      <w:bookmarkEnd w:id="2"/>
    </w:p>
    <w:p>
      <w:pPr>
        <w:pStyle w:val="Heading4"/>
        <w:keepNext w:val="true"/>
        <w:widowControl/>
        <w:numPr>
          <w:ilvl w:val="1"/>
          <w:numId w:val="3"/>
        </w:numPr>
        <w:suppressAutoHyphens w:val="true"/>
        <w:overflowPunct w:val="false"/>
        <w:bidi w:val="0"/>
        <w:spacing w:before="120" w:after="60"/>
        <w:ind w:left="0" w:right="0" w:firstLine="680"/>
        <w:jc w:val="left"/>
        <w:rPr/>
      </w:pPr>
      <w:bookmarkStart w:id="3" w:name="__RefHeading___Toc3367_1975687802"/>
      <w:bookmarkStart w:id="4" w:name="_Toc54646396"/>
      <w:bookmarkStart w:id="5" w:name="_Toc46743505"/>
      <w:bookmarkEnd w:id="3"/>
      <w:r>
        <w:rPr/>
        <w:t>Обозначения и сокращения</w:t>
      </w:r>
      <w:bookmarkEnd w:id="4"/>
      <w:bookmarkEnd w:id="5"/>
    </w:p>
    <w:p>
      <w:pPr>
        <w:pStyle w:val="Normal"/>
        <w:keepNext w:val="true"/>
        <w:keepLines/>
        <w:jc w:val="both"/>
        <w:rPr>
          <w:sz w:val="24"/>
          <w:szCs w:val="24"/>
        </w:rPr>
      </w:pPr>
      <w:r>
        <w:rPr>
          <w:sz w:val="24"/>
          <w:szCs w:val="24"/>
        </w:rPr>
      </w:r>
    </w:p>
    <w:tbl>
      <w:tblPr>
        <w:tblW w:w="10097" w:type="dxa"/>
        <w:jc w:val="center"/>
        <w:tblInd w:w="0" w:type="dxa"/>
        <w:tblLayout w:type="fixed"/>
        <w:tblCellMar>
          <w:top w:w="0" w:type="dxa"/>
          <w:left w:w="108" w:type="dxa"/>
          <w:bottom w:w="0" w:type="dxa"/>
          <w:right w:w="108" w:type="dxa"/>
        </w:tblCellMar>
      </w:tblPr>
      <w:tblGrid>
        <w:gridCol w:w="1839"/>
        <w:gridCol w:w="8257"/>
      </w:tblGrid>
      <w:tr>
        <w:trPr>
          <w:trHeight w:val="401" w:hRule="atLeast"/>
          <w:cantSplit w:val="true"/>
        </w:trPr>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ГОСТ</w:t>
            </w:r>
          </w:p>
        </w:tc>
        <w:tc>
          <w:tcPr>
            <w:tcW w:w="825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Государственный стандарт</w:t>
            </w:r>
          </w:p>
        </w:tc>
      </w:tr>
      <w:tr>
        <w:trPr>
          <w:trHeight w:val="401" w:hRule="atLeast"/>
          <w:cantSplit w:val="true"/>
        </w:trPr>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ТТ</w:t>
            </w:r>
          </w:p>
        </w:tc>
        <w:tc>
          <w:tcPr>
            <w:tcW w:w="825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Технические требования</w:t>
            </w:r>
          </w:p>
        </w:tc>
      </w:tr>
      <w:tr>
        <w:trPr>
          <w:trHeight w:val="401" w:hRule="atLeast"/>
          <w:cantSplit w:val="true"/>
        </w:trPr>
        <w:tc>
          <w:tcPr>
            <w:tcW w:w="1839" w:type="dxa"/>
            <w:tcBorders>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Заказчик</w:t>
            </w:r>
          </w:p>
        </w:tc>
        <w:tc>
          <w:tcPr>
            <w:tcW w:w="8257" w:type="dxa"/>
            <w:tcBorders>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АО «СК «РусГидро»</w:t>
            </w:r>
          </w:p>
        </w:tc>
      </w:tr>
      <w:tr>
        <w:trPr>
          <w:trHeight w:val="401" w:hRule="atLeast"/>
          <w:cantSplit w:val="true"/>
        </w:trPr>
        <w:tc>
          <w:tcPr>
            <w:tcW w:w="1839" w:type="dxa"/>
            <w:tcBorders>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Исполнитель</w:t>
            </w:r>
          </w:p>
        </w:tc>
        <w:tc>
          <w:tcPr>
            <w:tcW w:w="8257" w:type="dxa"/>
            <w:tcBorders>
              <w:left w:val="single" w:sz="4" w:space="0" w:color="000000"/>
              <w:bottom w:val="single" w:sz="4" w:space="0" w:color="000000"/>
              <w:right w:val="single" w:sz="4" w:space="0" w:color="000000"/>
            </w:tcBorders>
          </w:tcPr>
          <w:p>
            <w:pPr>
              <w:pStyle w:val="Normal"/>
              <w:widowControl w:val="false"/>
              <w:tabs>
                <w:tab w:val="clear" w:pos="708"/>
                <w:tab w:val="left" w:pos="426" w:leader="none"/>
              </w:tabs>
              <w:jc w:val="both"/>
              <w:rPr>
                <w:sz w:val="24"/>
                <w:szCs w:val="24"/>
              </w:rPr>
            </w:pPr>
            <w:r>
              <w:rPr>
                <w:rFonts w:eastAsia="Calibri"/>
                <w:sz w:val="24"/>
                <w:szCs w:val="24"/>
              </w:rPr>
              <w:t>Исполнителем по договору может быть юридическое / физическое лицо, в том числе индивидуальный предприниматель, или несколько юридических / физических лиц, 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 за исключением юридического /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trPr>
          <w:trHeight w:val="401" w:hRule="atLeast"/>
          <w:cantSplit w:val="true"/>
        </w:trPr>
        <w:tc>
          <w:tcPr>
            <w:tcW w:w="18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ЛНА</w:t>
            </w:r>
          </w:p>
        </w:tc>
        <w:tc>
          <w:tcPr>
            <w:tcW w:w="825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120" w:after="120"/>
              <w:jc w:val="both"/>
              <w:rPr>
                <w:i w:val="false"/>
                <w:i w:val="false"/>
                <w:iCs w:val="false"/>
                <w:sz w:val="24"/>
                <w:szCs w:val="24"/>
              </w:rPr>
            </w:pPr>
            <w:r>
              <w:rPr>
                <w:i w:val="false"/>
                <w:iCs w:val="false"/>
                <w:sz w:val="24"/>
                <w:szCs w:val="24"/>
              </w:rPr>
              <w:t>Локальные нормативные акты</w:t>
            </w:r>
          </w:p>
        </w:tc>
      </w:tr>
    </w:tbl>
    <w:p>
      <w:pPr>
        <w:pStyle w:val="Normal"/>
        <w:keepNext w:val="true"/>
        <w:keepLines/>
        <w:jc w:val="both"/>
        <w:rPr>
          <w:sz w:val="24"/>
          <w:szCs w:val="24"/>
        </w:rPr>
      </w:pPr>
      <w:r>
        <w:rPr>
          <w:sz w:val="24"/>
          <w:szCs w:val="24"/>
        </w:rPr>
      </w:r>
    </w:p>
    <w:p>
      <w:pPr>
        <w:pStyle w:val="Heading4"/>
        <w:keepNext w:val="true"/>
        <w:widowControl/>
        <w:numPr>
          <w:ilvl w:val="1"/>
          <w:numId w:val="3"/>
        </w:numPr>
        <w:suppressAutoHyphens w:val="true"/>
        <w:overflowPunct w:val="false"/>
        <w:bidi w:val="0"/>
        <w:spacing w:before="120" w:after="60"/>
        <w:ind w:left="0" w:right="0" w:firstLine="680"/>
        <w:jc w:val="left"/>
        <w:rPr>
          <w:sz w:val="24"/>
          <w:szCs w:val="24"/>
        </w:rPr>
      </w:pPr>
      <w:bookmarkStart w:id="6" w:name="__RefHeading___Toc3369_1975687802"/>
      <w:bookmarkStart w:id="7" w:name="_Toc46743506"/>
      <w:bookmarkStart w:id="8" w:name="_Toc54646397"/>
      <w:bookmarkEnd w:id="6"/>
      <w:r>
        <w:rPr>
          <w:sz w:val="24"/>
          <w:szCs w:val="24"/>
        </w:rPr>
        <w:t>Наименование закупаемой продукции</w:t>
      </w:r>
      <w:bookmarkEnd w:id="7"/>
      <w:bookmarkEnd w:id="8"/>
    </w:p>
    <w:p>
      <w:pPr>
        <w:pStyle w:val="Normal"/>
        <w:widowControl w:val="false"/>
        <w:tabs>
          <w:tab w:val="clear" w:pos="708"/>
          <w:tab w:val="left" w:pos="426" w:leader="none"/>
        </w:tabs>
        <w:suppressAutoHyphens w:val="true"/>
        <w:overflowPunct w:val="false"/>
        <w:bidi w:val="0"/>
        <w:spacing w:before="120" w:after="120"/>
        <w:ind w:left="0" w:right="-227" w:firstLine="680"/>
        <w:jc w:val="both"/>
        <w:rPr>
          <w:rFonts w:eastAsia="Calibri"/>
          <w:i w:val="false"/>
          <w:i w:val="false"/>
          <w:iCs w:val="false"/>
          <w:sz w:val="24"/>
          <w:szCs w:val="24"/>
          <w:shd w:fill="FFFFFF" w:val="clear"/>
          <w:lang w:eastAsia="x-none"/>
        </w:rPr>
      </w:pPr>
      <w:r>
        <w:rPr>
          <w:rFonts w:eastAsia="Calibri"/>
          <w:i w:val="false"/>
          <w:iCs w:val="false"/>
          <w:sz w:val="24"/>
          <w:szCs w:val="24"/>
          <w:shd w:fill="FFFFFF" w:val="clear"/>
          <w:lang w:eastAsia="x-none"/>
        </w:rPr>
        <w:t xml:space="preserve">ОКПД2 81.22.12.000 Оказание услуг по очистке кровли от снега и наледи </w:t>
      </w:r>
      <w:r>
        <w:rPr>
          <w:rFonts w:eastAsia="Calibri"/>
          <w:b w:val="false"/>
          <w:bCs w:val="false"/>
          <w:i w:val="false"/>
          <w:iCs w:val="false"/>
          <w:sz w:val="24"/>
          <w:szCs w:val="24"/>
          <w:shd w:fill="FFFFFF" w:val="clear"/>
          <w:lang w:val="ru-RU" w:eastAsia="x-none"/>
        </w:rPr>
        <w:t>офисного</w:t>
      </w:r>
      <w:r>
        <w:rPr>
          <w:rFonts w:eastAsia="Calibri"/>
          <w:i w:val="false"/>
          <w:iCs w:val="false"/>
          <w:sz w:val="24"/>
          <w:szCs w:val="24"/>
          <w:shd w:fill="FFFFFF" w:val="clear"/>
          <w:lang w:eastAsia="x-none"/>
        </w:rPr>
        <w:t xml:space="preserve"> здания по адресу: г. Москва, ул. Волоколамское шоссе, д.2</w:t>
      </w:r>
    </w:p>
    <w:p>
      <w:pPr>
        <w:pStyle w:val="Heading4"/>
        <w:keepNext w:val="true"/>
        <w:widowControl/>
        <w:numPr>
          <w:ilvl w:val="1"/>
          <w:numId w:val="3"/>
        </w:numPr>
        <w:suppressAutoHyphens w:val="true"/>
        <w:overflowPunct w:val="false"/>
        <w:bidi w:val="0"/>
        <w:spacing w:before="240" w:after="60"/>
        <w:ind w:left="0" w:right="0" w:firstLine="680"/>
        <w:jc w:val="left"/>
        <w:rPr>
          <w:sz w:val="24"/>
          <w:szCs w:val="24"/>
        </w:rPr>
      </w:pPr>
      <w:bookmarkStart w:id="9" w:name="__RefHeading___Toc3371_1975687802"/>
      <w:bookmarkStart w:id="10" w:name="_Toc54646398"/>
      <w:bookmarkStart w:id="11" w:name="_Toc46743507"/>
      <w:bookmarkEnd w:id="9"/>
      <w:r>
        <w:rPr>
          <w:b/>
          <w:bCs/>
          <w:i w:val="false"/>
          <w:iCs/>
          <w:sz w:val="24"/>
          <w:szCs w:val="24"/>
        </w:rPr>
        <w:t>Цель</w:t>
      </w:r>
      <w:r>
        <w:rPr>
          <w:sz w:val="24"/>
          <w:szCs w:val="24"/>
        </w:rPr>
        <w:t xml:space="preserve"> </w:t>
      </w:r>
      <w:bookmarkEnd w:id="10"/>
      <w:bookmarkEnd w:id="11"/>
      <w:r>
        <w:rPr>
          <w:sz w:val="24"/>
          <w:szCs w:val="24"/>
          <w:lang w:val="ru-RU"/>
        </w:rPr>
        <w:t xml:space="preserve">оказания услуг: </w:t>
      </w:r>
    </w:p>
    <w:p>
      <w:pPr>
        <w:pStyle w:val="Heading4"/>
        <w:keepNext w:val="true"/>
        <w:widowControl/>
        <w:numPr>
          <w:ilvl w:val="0"/>
          <w:numId w:val="0"/>
        </w:numPr>
        <w:suppressAutoHyphens w:val="true"/>
        <w:overflowPunct w:val="false"/>
        <w:bidi w:val="0"/>
        <w:spacing w:before="120" w:after="60"/>
        <w:ind w:left="0" w:right="0" w:firstLine="680"/>
        <w:jc w:val="both"/>
        <w:rPr>
          <w:sz w:val="24"/>
          <w:szCs w:val="24"/>
        </w:rPr>
      </w:pPr>
      <w:r>
        <w:rPr>
          <w:rFonts w:eastAsia="Times New Roman" w:cs="Times New Roman"/>
          <w:b w:val="false"/>
          <w:bCs w:val="false"/>
          <w:color w:val="auto"/>
          <w:kern w:val="0"/>
          <w:sz w:val="24"/>
          <w:szCs w:val="24"/>
          <w:lang w:val="ru-RU" w:eastAsia="ru-RU" w:bidi="ar-SA"/>
        </w:rPr>
        <w:t>В целях и</w:t>
      </w:r>
      <w:bookmarkStart w:id="12" w:name="_Toc127428682"/>
      <w:r>
        <w:rPr>
          <w:rFonts w:eastAsia="Times New Roman" w:cs="Times New Roman"/>
          <w:b w:val="false"/>
          <w:bCs w:val="false"/>
          <w:color w:val="auto"/>
          <w:kern w:val="0"/>
          <w:sz w:val="24"/>
          <w:szCs w:val="24"/>
          <w:lang w:val="ru-RU" w:eastAsia="ru-RU" w:bidi="ar-SA"/>
        </w:rPr>
        <w:t>сполнения доходного договора, заключенного между ООО «СНРГ» и АО «СК «РусГидро»</w:t>
      </w:r>
      <w:bookmarkEnd w:id="12"/>
      <w:r>
        <w:rPr>
          <w:rFonts w:eastAsia="Times New Roman" w:cs="Times New Roman"/>
          <w:b w:val="false"/>
          <w:bCs w:val="false"/>
          <w:color w:val="auto"/>
          <w:kern w:val="0"/>
          <w:sz w:val="24"/>
          <w:szCs w:val="24"/>
          <w:lang w:val="ru-RU" w:eastAsia="ru-RU" w:bidi="ar-SA"/>
        </w:rPr>
        <w:t xml:space="preserve"> на предмет оказания услуг по чистке и уборке объектов ООО «СНРГ».</w:t>
      </w:r>
    </w:p>
    <w:p>
      <w:pPr>
        <w:pStyle w:val="Normal"/>
        <w:widowControl/>
        <w:suppressAutoHyphens w:val="true"/>
        <w:overflowPunct w:val="false"/>
        <w:bidi w:val="0"/>
        <w:spacing w:before="0" w:after="0"/>
        <w:ind w:left="0" w:right="0" w:firstLine="680"/>
        <w:jc w:val="both"/>
        <w:rPr/>
      </w:pPr>
      <w:r>
        <w:rPr>
          <w:rStyle w:val="Style8"/>
          <w:b w:val="false"/>
          <w:bCs/>
          <w:i w:val="false"/>
          <w:iCs w:val="false"/>
          <w:sz w:val="24"/>
          <w:szCs w:val="24"/>
          <w:shd w:fill="auto" w:val="clear"/>
        </w:rPr>
        <w:t>Очистки крыш от выпавшего снега и образовавшейся наледи, для обеспечения безопасности, находящихся внизу людей, припаркованного транспорта и зеленых насаждений. Для своевременного и контролируемого удаления снега и наледи с целью исключения риска лавинообразного схода покрова, защиты чердачных помещений и верхних этажей от протеканий в период таяния.</w:t>
      </w:r>
    </w:p>
    <w:p>
      <w:pPr>
        <w:pStyle w:val="Normal"/>
        <w:ind w:left="0" w:right="0" w:firstLine="709"/>
        <w:jc w:val="both"/>
        <w:rPr>
          <w:rStyle w:val="Style8"/>
        </w:rPr>
      </w:pPr>
      <w:r>
        <w:rPr/>
      </w:r>
    </w:p>
    <w:p>
      <w:pPr>
        <w:pStyle w:val="ListParagraph"/>
        <w:widowControl/>
        <w:numPr>
          <w:ilvl w:val="1"/>
          <w:numId w:val="3"/>
        </w:numPr>
        <w:suppressAutoHyphens w:val="true"/>
        <w:overflowPunct w:val="false"/>
        <w:bidi w:val="0"/>
        <w:spacing w:lineRule="auto" w:line="276" w:before="0" w:after="0"/>
        <w:ind w:left="0" w:right="0" w:firstLine="680"/>
        <w:contextualSpacing/>
        <w:jc w:val="both"/>
        <w:rPr/>
      </w:pPr>
      <w:bookmarkStart w:id="13" w:name="_Toc54643698"/>
      <w:bookmarkStart w:id="14" w:name="_Toc46743508"/>
      <w:r>
        <w:rPr>
          <w:rStyle w:val="Style8"/>
          <w:rFonts w:eastAsia="Calibri" w:cs="Times New Roman"/>
          <w:b/>
          <w:bCs/>
          <w:i w:val="false"/>
          <w:iCs w:val="false"/>
          <w:color w:val="000000"/>
          <w:kern w:val="0"/>
          <w:sz w:val="24"/>
          <w:szCs w:val="24"/>
          <w:shd w:fill="auto" w:val="clear"/>
          <w:lang w:val="ru-RU" w:eastAsia="x-none" w:bidi="ar-SA"/>
        </w:rPr>
        <w:t>Существующее положение</w:t>
      </w:r>
      <w:bookmarkEnd w:id="14"/>
      <w:r>
        <w:rPr>
          <w:rStyle w:val="Style8"/>
          <w:rFonts w:eastAsia="Calibri" w:cs="Times New Roman"/>
          <w:b/>
          <w:bCs/>
          <w:i w:val="false"/>
          <w:iCs w:val="false"/>
          <w:color w:val="000000"/>
          <w:kern w:val="0"/>
          <w:sz w:val="24"/>
          <w:szCs w:val="24"/>
          <w:shd w:fill="auto" w:val="clear"/>
          <w:lang w:val="ru-RU" w:eastAsia="x-none" w:bidi="ar-SA"/>
        </w:rPr>
        <w:t xml:space="preserve">: </w:t>
      </w:r>
      <w:bookmarkEnd w:id="13"/>
    </w:p>
    <w:p>
      <w:pPr>
        <w:pStyle w:val="ListParagraph"/>
        <w:widowControl/>
        <w:suppressAutoHyphens w:val="true"/>
        <w:overflowPunct w:val="false"/>
        <w:bidi w:val="0"/>
        <w:spacing w:before="0" w:after="0"/>
        <w:ind w:left="0" w:right="0" w:firstLine="680"/>
        <w:contextualSpacing/>
        <w:jc w:val="both"/>
        <w:rPr>
          <w:b/>
          <w:bCs/>
        </w:rPr>
      </w:pPr>
      <w:r>
        <w:rPr>
          <w:b/>
          <w:bCs/>
        </w:rPr>
        <w:t>Таблица 1. Перечень объектов заказчика</w:t>
      </w:r>
    </w:p>
    <w:tbl>
      <w:tblPr>
        <w:tblW w:w="9975" w:type="dxa"/>
        <w:jc w:val="center"/>
        <w:tblInd w:w="0" w:type="dxa"/>
        <w:tblLayout w:type="fixed"/>
        <w:tblCellMar>
          <w:top w:w="0" w:type="dxa"/>
          <w:left w:w="108" w:type="dxa"/>
          <w:bottom w:w="0" w:type="dxa"/>
          <w:right w:w="108" w:type="dxa"/>
        </w:tblCellMar>
      </w:tblPr>
      <w:tblGrid>
        <w:gridCol w:w="615"/>
        <w:gridCol w:w="1811"/>
        <w:gridCol w:w="2490"/>
        <w:gridCol w:w="2509"/>
        <w:gridCol w:w="2550"/>
      </w:tblGrid>
      <w:tr>
        <w:trPr>
          <w:trHeight w:val="20" w:hRule="atLeast"/>
        </w:trPr>
        <w:tc>
          <w:tcPr>
            <w:tcW w:w="6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b/>
                <w:bCs/>
                <w:sz w:val="22"/>
                <w:szCs w:val="22"/>
              </w:rPr>
              <w:t>№</w:t>
            </w:r>
          </w:p>
          <w:p>
            <w:pPr>
              <w:pStyle w:val="Normal"/>
              <w:widowControl w:val="false"/>
              <w:jc w:val="center"/>
              <w:rPr>
                <w:sz w:val="22"/>
                <w:szCs w:val="22"/>
              </w:rPr>
            </w:pPr>
            <w:r>
              <w:rPr>
                <w:b/>
                <w:bCs/>
                <w:sz w:val="22"/>
                <w:szCs w:val="22"/>
              </w:rPr>
              <w:t>п/п</w:t>
            </w:r>
          </w:p>
        </w:tc>
        <w:tc>
          <w:tcPr>
            <w:tcW w:w="18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b/>
                <w:bCs/>
                <w:sz w:val="22"/>
                <w:szCs w:val="22"/>
              </w:rPr>
              <w:t>Наименование объекта</w:t>
            </w:r>
          </w:p>
        </w:tc>
        <w:tc>
          <w:tcPr>
            <w:tcW w:w="24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b/>
                <w:bCs/>
                <w:sz w:val="22"/>
                <w:szCs w:val="22"/>
              </w:rPr>
              <w:t xml:space="preserve">Расположение объекта </w:t>
              <w:br/>
            </w:r>
            <w:r>
              <w:rPr>
                <w:b/>
                <w:bCs/>
                <w:i/>
                <w:iCs/>
                <w:sz w:val="22"/>
                <w:szCs w:val="22"/>
              </w:rPr>
              <w:t>(место оказания услуг)</w:t>
            </w:r>
          </w:p>
        </w:tc>
        <w:tc>
          <w:tcPr>
            <w:tcW w:w="25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b/>
                <w:bCs/>
                <w:sz w:val="22"/>
                <w:szCs w:val="22"/>
              </w:rPr>
              <w:t xml:space="preserve">Наименование основного средства </w:t>
              <w:br/>
              <w:t>(в отношении которого оказываются услуги)</w:t>
            </w:r>
          </w:p>
        </w:tc>
        <w:tc>
          <w:tcPr>
            <w:tcW w:w="25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b/>
                <w:bCs/>
                <w:sz w:val="22"/>
                <w:szCs w:val="22"/>
              </w:rPr>
              <w:t>Примечания</w:t>
            </w:r>
          </w:p>
        </w:tc>
      </w:tr>
      <w:tr>
        <w:trPr>
          <w:trHeight w:val="20" w:hRule="atLeast"/>
        </w:trPr>
        <w:tc>
          <w:tcPr>
            <w:tcW w:w="61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sz w:val="22"/>
                <w:szCs w:val="22"/>
              </w:rPr>
              <w:t>1</w:t>
            </w:r>
          </w:p>
        </w:tc>
        <w:tc>
          <w:tcPr>
            <w:tcW w:w="181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sz w:val="22"/>
                <w:szCs w:val="22"/>
              </w:rPr>
              <w:t>2</w:t>
            </w:r>
          </w:p>
        </w:tc>
        <w:tc>
          <w:tcPr>
            <w:tcW w:w="249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sz w:val="22"/>
                <w:szCs w:val="22"/>
              </w:rPr>
              <w:t>3</w:t>
            </w:r>
          </w:p>
        </w:tc>
        <w:tc>
          <w:tcPr>
            <w:tcW w:w="250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sz w:val="22"/>
                <w:szCs w:val="22"/>
              </w:rPr>
              <w:t>4</w:t>
            </w:r>
          </w:p>
        </w:tc>
        <w:tc>
          <w:tcPr>
            <w:tcW w:w="25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sz w:val="22"/>
                <w:szCs w:val="22"/>
              </w:rPr>
              <w:t>5</w:t>
            </w:r>
          </w:p>
        </w:tc>
      </w:tr>
      <w:tr>
        <w:trPr>
          <w:trHeight w:val="20" w:hRule="atLeast"/>
        </w:trPr>
        <w:tc>
          <w:tcPr>
            <w:tcW w:w="615" w:type="dxa"/>
            <w:tcBorders>
              <w:top w:val="single" w:sz="4" w:space="0" w:color="000000"/>
              <w:left w:val="single" w:sz="4" w:space="0" w:color="000000"/>
              <w:bottom w:val="single" w:sz="4" w:space="0" w:color="000000"/>
              <w:right w:val="single" w:sz="4" w:space="0" w:color="000000"/>
            </w:tcBorders>
          </w:tcPr>
          <w:p>
            <w:pPr>
              <w:pStyle w:val="ListParagraph"/>
              <w:widowControl w:val="false"/>
              <w:suppressAutoHyphens w:val="true"/>
              <w:spacing w:before="0" w:after="85"/>
              <w:ind w:left="0" w:right="0" w:hanging="0"/>
              <w:contextualSpacing/>
              <w:jc w:val="center"/>
              <w:rPr>
                <w:sz w:val="22"/>
                <w:szCs w:val="22"/>
              </w:rPr>
            </w:pPr>
            <w:r>
              <w:rPr>
                <w:sz w:val="22"/>
                <w:szCs w:val="22"/>
              </w:rPr>
              <w:t>1</w:t>
            </w:r>
          </w:p>
        </w:tc>
        <w:tc>
          <w:tcPr>
            <w:tcW w:w="181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rPr>
              <w:t>БЦ «Гидропроект»</w:t>
            </w:r>
          </w:p>
        </w:tc>
        <w:tc>
          <w:tcPr>
            <w:tcW w:w="249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rPr>
              <w:t>Офисное здание по адресу: г. Москва, шоссе Волоколамское, д. 2</w:t>
            </w:r>
          </w:p>
        </w:tc>
        <w:tc>
          <w:tcPr>
            <w:tcW w:w="250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rPr>
              <w:t>Кровля здания</w:t>
            </w:r>
          </w:p>
        </w:tc>
        <w:tc>
          <w:tcPr>
            <w:tcW w:w="25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rPr>
              <w:t>Объект Заказчика является зданием с ограниченным допуском. Проход в здания осуществляется на основании пропусков, оформленных на основании паспортов Российской Федерации.</w:t>
            </w:r>
          </w:p>
        </w:tc>
      </w:tr>
    </w:tbl>
    <w:p>
      <w:pPr>
        <w:pStyle w:val="Normal"/>
        <w:widowControl w:val="false"/>
        <w:tabs>
          <w:tab w:val="clear" w:pos="708"/>
          <w:tab w:val="left" w:pos="426" w:leader="none"/>
        </w:tabs>
        <w:spacing w:before="0" w:after="0"/>
        <w:jc w:val="both"/>
        <w:rPr>
          <w:rStyle w:val="Style8"/>
          <w:rFonts w:eastAsia="Times New Roman" w:cs="Times New Roman"/>
          <w:b w:val="false"/>
          <w:bCs/>
          <w:color w:val="000000"/>
          <w:kern w:val="0"/>
          <w:sz w:val="24"/>
          <w:szCs w:val="24"/>
          <w:shd w:fill="auto" w:val="clear"/>
          <w:lang w:val="ru-RU" w:eastAsia="ru-RU" w:bidi="ar-SA"/>
        </w:rPr>
      </w:pPr>
      <w:r>
        <w:rPr>
          <w:rFonts w:eastAsia="Times New Roman" w:cs="Times New Roman"/>
          <w:b w:val="false"/>
          <w:bCs/>
          <w:color w:val="000000"/>
          <w:kern w:val="0"/>
          <w:sz w:val="24"/>
          <w:szCs w:val="24"/>
          <w:shd w:fill="auto" w:val="clear"/>
          <w:lang w:val="ru-RU" w:eastAsia="ru-RU" w:bidi="ar-SA"/>
        </w:rPr>
      </w:r>
    </w:p>
    <w:p>
      <w:pPr>
        <w:pStyle w:val="Normal"/>
        <w:widowControl w:val="false"/>
        <w:numPr>
          <w:ilvl w:val="1"/>
          <w:numId w:val="3"/>
        </w:numPr>
        <w:tabs>
          <w:tab w:val="clear" w:pos="708"/>
          <w:tab w:val="left" w:pos="426" w:leader="none"/>
        </w:tabs>
        <w:suppressAutoHyphens w:val="true"/>
        <w:overflowPunct w:val="false"/>
        <w:bidi w:val="0"/>
        <w:spacing w:before="0" w:after="0"/>
        <w:ind w:left="0" w:right="0" w:firstLine="680"/>
        <w:jc w:val="both"/>
        <w:rPr/>
      </w:pPr>
      <w:r>
        <w:rPr>
          <w:rStyle w:val="Style8"/>
          <w:rFonts w:eastAsia="Calibri" w:cs="Times New Roman"/>
          <w:b/>
          <w:bCs/>
          <w:i w:val="false"/>
          <w:iCs w:val="false"/>
          <w:color w:val="000000"/>
          <w:kern w:val="0"/>
          <w:sz w:val="24"/>
          <w:szCs w:val="24"/>
          <w:shd w:fill="auto" w:val="clear"/>
          <w:lang w:val="x-none" w:eastAsia="x-none" w:bidi="ar-SA"/>
        </w:rPr>
        <w:t>Информация в отношении исполнения договора, которая должна быть учтена при подготовке заявки (в том числе перечень ресурсов, услуг и документов, предоставляемых заказчиком на этапе исполнения договора)</w:t>
      </w:r>
    </w:p>
    <w:p>
      <w:pPr>
        <w:pStyle w:val="Normal"/>
        <w:widowControl w:val="false"/>
        <w:numPr>
          <w:ilvl w:val="2"/>
          <w:numId w:val="3"/>
        </w:numPr>
        <w:tabs>
          <w:tab w:val="clear" w:pos="708"/>
          <w:tab w:val="left" w:pos="426" w:leader="none"/>
        </w:tabs>
        <w:suppressAutoHyphens w:val="true"/>
        <w:overflowPunct w:val="false"/>
        <w:bidi w:val="0"/>
        <w:spacing w:before="0" w:after="0"/>
        <w:ind w:left="0" w:right="0" w:firstLine="680"/>
        <w:jc w:val="both"/>
        <w:rPr/>
      </w:pPr>
      <w:r>
        <w:rPr>
          <w:rStyle w:val="Style8"/>
          <w:rFonts w:eastAsia="Times New Roman" w:cs="Times New Roman"/>
          <w:b w:val="false"/>
          <w:bCs/>
          <w:i w:val="false"/>
          <w:iCs w:val="false"/>
          <w:color w:val="000000"/>
          <w:kern w:val="0"/>
          <w:sz w:val="24"/>
          <w:szCs w:val="24"/>
          <w:shd w:fill="auto" w:val="clear"/>
          <w:lang w:val="ru-RU" w:eastAsia="ru-RU" w:bidi="ar-SA"/>
        </w:rPr>
        <w:t>Оказание услуг осуществляется по Заявкам Заказчика, направленной в адрес Исполнителя любым доступным способом связи, обеспечивающим подтверждение факта получения Заявки Исполнителем.</w:t>
      </w:r>
    </w:p>
    <w:p>
      <w:pPr>
        <w:pStyle w:val="Normal"/>
        <w:widowControl w:val="false"/>
        <w:numPr>
          <w:ilvl w:val="2"/>
          <w:numId w:val="3"/>
        </w:numPr>
        <w:tabs>
          <w:tab w:val="clear" w:pos="708"/>
          <w:tab w:val="left" w:pos="426" w:leader="none"/>
        </w:tabs>
        <w:suppressAutoHyphens w:val="true"/>
        <w:overflowPunct w:val="false"/>
        <w:bidi w:val="0"/>
        <w:spacing w:before="0" w:after="0"/>
        <w:ind w:left="0" w:right="0" w:firstLine="680"/>
        <w:jc w:val="both"/>
        <w:rPr/>
      </w:pPr>
      <w:r>
        <w:rPr>
          <w:rStyle w:val="Style8"/>
          <w:rFonts w:eastAsia="Times New Roman" w:cs="Times New Roman"/>
          <w:b w:val="false"/>
          <w:bCs/>
          <w:i w:val="false"/>
          <w:iCs w:val="false"/>
          <w:color w:val="000000"/>
          <w:kern w:val="0"/>
          <w:sz w:val="24"/>
          <w:szCs w:val="24"/>
          <w:shd w:fill="auto" w:val="clear"/>
          <w:lang w:val="ru-RU" w:eastAsia="ru-RU" w:bidi="ar-SA"/>
        </w:rPr>
        <w:t xml:space="preserve"> </w:t>
      </w:r>
      <w:r>
        <w:rPr>
          <w:rStyle w:val="Style8"/>
          <w:rFonts w:eastAsia="Times New Roman" w:cs="Times New Roman"/>
          <w:b w:val="false"/>
          <w:bCs/>
          <w:i w:val="false"/>
          <w:iCs w:val="false"/>
          <w:color w:val="000000"/>
          <w:kern w:val="0"/>
          <w:sz w:val="24"/>
          <w:szCs w:val="24"/>
          <w:shd w:fill="auto" w:val="clear"/>
          <w:lang w:val="ru-RU" w:eastAsia="ru-RU" w:bidi="ar-SA"/>
        </w:rPr>
        <w:t xml:space="preserve">Оказание услуг по уборке снега и наледи с крыш осуществляется </w:t>
      </w:r>
      <w:r>
        <w:rPr>
          <w:rStyle w:val="Style8"/>
          <w:rFonts w:eastAsia="Times New Roman" w:cs="Times New Roman"/>
          <w:b/>
          <w:bCs/>
          <w:i w:val="false"/>
          <w:iCs w:val="false"/>
          <w:color w:val="000000"/>
          <w:kern w:val="0"/>
          <w:sz w:val="24"/>
          <w:szCs w:val="24"/>
          <w:shd w:fill="auto" w:val="clear"/>
          <w:lang w:val="ru-RU" w:eastAsia="ru-RU" w:bidi="ar-SA"/>
        </w:rPr>
        <w:t>методом промышленного альпинизма</w:t>
      </w:r>
      <w:r>
        <w:rPr>
          <w:rStyle w:val="Style8"/>
          <w:rFonts w:eastAsia="Times New Roman" w:cs="Times New Roman"/>
          <w:b w:val="false"/>
          <w:bCs w:val="false"/>
          <w:i w:val="false"/>
          <w:iCs w:val="false"/>
          <w:color w:val="000000"/>
          <w:kern w:val="0"/>
          <w:sz w:val="24"/>
          <w:szCs w:val="24"/>
          <w:shd w:fill="auto" w:val="clear"/>
          <w:lang w:val="ru-RU" w:eastAsia="ru-RU" w:bidi="ar-SA"/>
        </w:rPr>
        <w:t xml:space="preserve"> </w:t>
      </w:r>
      <w:r>
        <w:rPr>
          <w:rStyle w:val="Style8"/>
          <w:rFonts w:eastAsia="Times New Roman" w:cs="Times New Roman"/>
          <w:b w:val="false"/>
          <w:bCs/>
          <w:i w:val="false"/>
          <w:iCs w:val="false"/>
          <w:color w:val="000000"/>
          <w:kern w:val="0"/>
          <w:sz w:val="24"/>
          <w:szCs w:val="24"/>
          <w:shd w:fill="auto" w:val="clear"/>
          <w:lang w:val="ru-RU" w:eastAsia="ru-RU" w:bidi="ar-SA"/>
        </w:rPr>
        <w:t>высококвалифицированным персоналом с необходимыми профессиональными знаниями и опытом работы, а также допусками, аттестациями и регулярными повышением квалификации в соответствии с требованиями следующих документов:</w:t>
      </w:r>
    </w:p>
    <w:p>
      <w:pPr>
        <w:pStyle w:val="Normal"/>
        <w:widowControl w:val="false"/>
        <w:numPr>
          <w:ilvl w:val="0"/>
          <w:numId w:val="6"/>
        </w:numPr>
        <w:tabs>
          <w:tab w:val="clear" w:pos="708"/>
          <w:tab w:val="left" w:pos="426" w:leader="none"/>
        </w:tabs>
        <w:suppressAutoHyphens w:val="true"/>
        <w:bidi w:val="0"/>
        <w:spacing w:before="0" w:after="0"/>
        <w:jc w:val="both"/>
        <w:rPr/>
      </w:pPr>
      <w:r>
        <w:rPr>
          <w:rStyle w:val="Style8"/>
          <w:rFonts w:eastAsia="Times New Roman" w:cs="Times New Roman"/>
          <w:b w:val="false"/>
          <w:bCs/>
          <w:i w:val="false"/>
          <w:iCs w:val="false"/>
          <w:color w:val="000000"/>
          <w:kern w:val="0"/>
          <w:sz w:val="24"/>
          <w:szCs w:val="24"/>
          <w:shd w:fill="auto" w:val="clear"/>
          <w:lang w:val="ru-RU" w:eastAsia="ru-RU" w:bidi="ar-SA"/>
        </w:rPr>
        <w:t>Приказом Минтруда России от 16.11.2020 N 782н. «Об утверждении Правил по охране труда при работе на высоте»;</w:t>
      </w:r>
    </w:p>
    <w:p>
      <w:pPr>
        <w:pStyle w:val="Normal"/>
        <w:widowControl w:val="false"/>
        <w:numPr>
          <w:ilvl w:val="0"/>
          <w:numId w:val="6"/>
        </w:numPr>
        <w:tabs>
          <w:tab w:val="clear" w:pos="708"/>
          <w:tab w:val="left" w:pos="426" w:leader="none"/>
        </w:tabs>
        <w:suppressAutoHyphens w:val="true"/>
        <w:bidi w:val="0"/>
        <w:spacing w:before="0" w:after="0"/>
        <w:jc w:val="both"/>
        <w:rPr/>
      </w:pPr>
      <w:r>
        <w:rPr>
          <w:rStyle w:val="Style8"/>
          <w:rFonts w:eastAsia="Times New Roman" w:cs="Times New Roman"/>
          <w:b w:val="false"/>
          <w:bCs/>
          <w:i w:val="false"/>
          <w:iCs w:val="false"/>
          <w:color w:val="000000"/>
          <w:kern w:val="0"/>
          <w:sz w:val="24"/>
          <w:szCs w:val="24"/>
          <w:shd w:fill="auto" w:val="clear"/>
          <w:lang w:val="ru-RU" w:eastAsia="ru-RU" w:bidi="ar-SA"/>
        </w:rPr>
        <w:t>Приказом Минтруда России N 988н, Минздрава N 1420н от 31.12.2020. «Об утверждении перечня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при поступлении на работу и периодические медицинские осмотры»</w:t>
      </w:r>
    </w:p>
    <w:p>
      <w:pPr>
        <w:pStyle w:val="Normal"/>
        <w:widowControl w:val="false"/>
        <w:numPr>
          <w:ilvl w:val="2"/>
          <w:numId w:val="3"/>
        </w:numPr>
        <w:tabs>
          <w:tab w:val="clear" w:pos="708"/>
          <w:tab w:val="left" w:pos="426" w:leader="none"/>
        </w:tabs>
        <w:suppressAutoHyphens w:val="true"/>
        <w:overflowPunct w:val="false"/>
        <w:bidi w:val="0"/>
        <w:spacing w:before="0" w:after="0"/>
        <w:ind w:left="0" w:right="0" w:firstLine="680"/>
        <w:jc w:val="both"/>
        <w:rPr/>
      </w:pPr>
      <w:r>
        <w:rPr>
          <w:rStyle w:val="Style8"/>
          <w:rFonts w:eastAsia="Times New Roman" w:cs="Times New Roman"/>
          <w:b w:val="false"/>
          <w:bCs/>
          <w:i w:val="false"/>
          <w:iCs w:val="false"/>
          <w:color w:val="000000"/>
          <w:kern w:val="0"/>
          <w:sz w:val="24"/>
          <w:szCs w:val="24"/>
          <w:shd w:fill="auto" w:val="clear"/>
          <w:lang w:val="ru-RU" w:eastAsia="ru-RU" w:bidi="ar-SA"/>
        </w:rPr>
        <w:t>Исполнитель обязан до начала проведения работ разработать и утвердить у Заказчика Проект производства работ (ППР) на высоте либо Технологическую карту (ТК) на очистку кровли от снега, наледи и сосулек. Документация должна быть разработана в строгом соответствии с требованиями Правил по охране труда при работе на высоте (утв. Приказом Минтруда РФ от 16.11.2020 № 782н). В составе ППР/ТК обязательно должны быть отражены:</w:t>
      </w:r>
    </w:p>
    <w:p>
      <w:pPr>
        <w:pStyle w:val="Normal"/>
        <w:widowControl w:val="false"/>
        <w:numPr>
          <w:ilvl w:val="0"/>
          <w:numId w:val="7"/>
        </w:numPr>
        <w:tabs>
          <w:tab w:val="clear" w:pos="708"/>
          <w:tab w:val="left" w:pos="426" w:leader="none"/>
        </w:tabs>
        <w:suppressAutoHyphens w:val="true"/>
        <w:overflowPunct w:val="false"/>
        <w:bidi w:val="0"/>
        <w:spacing w:before="0" w:after="0"/>
        <w:jc w:val="both"/>
        <w:rPr/>
      </w:pPr>
      <w:r>
        <w:rPr>
          <w:rStyle w:val="Style8"/>
          <w:rFonts w:eastAsia="Times New Roman" w:cs="Times New Roman"/>
          <w:b w:val="false"/>
          <w:bCs/>
          <w:i w:val="false"/>
          <w:iCs w:val="false"/>
          <w:color w:val="000000"/>
          <w:kern w:val="0"/>
          <w:sz w:val="24"/>
          <w:szCs w:val="24"/>
          <w:shd w:fill="auto" w:val="clear"/>
          <w:lang w:val="ru-RU" w:eastAsia="ru-RU" w:bidi="ar-SA"/>
        </w:rPr>
        <w:t>Схема организации рабочих мест на высоте, включая схемы установки анкерных линий, точек крепления страховочных систем и расположения ограждения опасных зон на земле.</w:t>
      </w:r>
    </w:p>
    <w:p>
      <w:pPr>
        <w:pStyle w:val="Normal"/>
        <w:widowControl w:val="false"/>
        <w:numPr>
          <w:ilvl w:val="0"/>
          <w:numId w:val="7"/>
        </w:numPr>
        <w:tabs>
          <w:tab w:val="clear" w:pos="708"/>
          <w:tab w:val="left" w:pos="426" w:leader="none"/>
        </w:tabs>
        <w:suppressAutoHyphens w:val="true"/>
        <w:overflowPunct w:val="false"/>
        <w:bidi w:val="0"/>
        <w:spacing w:before="0" w:after="0"/>
        <w:jc w:val="both"/>
        <w:rPr/>
      </w:pPr>
      <w:r>
        <w:rPr>
          <w:rStyle w:val="Style8"/>
          <w:rFonts w:eastAsia="Times New Roman" w:cs="Times New Roman"/>
          <w:b w:val="false"/>
          <w:bCs/>
          <w:i w:val="false"/>
          <w:iCs w:val="false"/>
          <w:color w:val="000000"/>
          <w:kern w:val="0"/>
          <w:sz w:val="24"/>
          <w:szCs w:val="24"/>
          <w:shd w:fill="auto" w:val="clear"/>
          <w:lang w:val="ru-RU" w:eastAsia="ru-RU" w:bidi="ar-SA"/>
        </w:rPr>
        <w:t>Перечень применяемых средств индивидуальной и коллективной защиты (СИЗ), их классы защиты согласно ТР ТС 019/2011, а также протоколы периодических проверок СИЗ.</w:t>
      </w:r>
    </w:p>
    <w:p>
      <w:pPr>
        <w:pStyle w:val="Normal"/>
        <w:widowControl w:val="false"/>
        <w:numPr>
          <w:ilvl w:val="0"/>
          <w:numId w:val="7"/>
        </w:numPr>
        <w:tabs>
          <w:tab w:val="clear" w:pos="708"/>
          <w:tab w:val="left" w:pos="426" w:leader="none"/>
        </w:tabs>
        <w:suppressAutoHyphens w:val="true"/>
        <w:overflowPunct w:val="false"/>
        <w:bidi w:val="0"/>
        <w:spacing w:before="0" w:after="0"/>
        <w:jc w:val="both"/>
        <w:rPr/>
      </w:pPr>
      <w:r>
        <w:rPr>
          <w:rStyle w:val="Style8"/>
          <w:rFonts w:eastAsia="Times New Roman" w:cs="Times New Roman"/>
          <w:b w:val="false"/>
          <w:bCs/>
          <w:i w:val="false"/>
          <w:iCs w:val="false"/>
          <w:color w:val="000000"/>
          <w:kern w:val="0"/>
          <w:sz w:val="24"/>
          <w:szCs w:val="24"/>
          <w:shd w:fill="auto" w:val="clear"/>
          <w:lang w:val="ru-RU" w:eastAsia="ru-RU" w:bidi="ar-SA"/>
        </w:rPr>
        <w:t>Детальное описание технологических операций по удалению снега и наледи с указанием безопасных приемов работы (использование двуручного инструмента, исключение сбрасывания смерзшихся глыб вручную).</w:t>
      </w:r>
    </w:p>
    <w:p>
      <w:pPr>
        <w:pStyle w:val="Normal"/>
        <w:widowControl w:val="false"/>
        <w:numPr>
          <w:ilvl w:val="0"/>
          <w:numId w:val="7"/>
        </w:numPr>
        <w:tabs>
          <w:tab w:val="clear" w:pos="708"/>
          <w:tab w:val="left" w:pos="426" w:leader="none"/>
        </w:tabs>
        <w:suppressAutoHyphens w:val="true"/>
        <w:overflowPunct w:val="false"/>
        <w:bidi w:val="0"/>
        <w:spacing w:before="0" w:after="0"/>
        <w:jc w:val="both"/>
        <w:rPr/>
      </w:pPr>
      <w:r>
        <w:rPr>
          <w:rStyle w:val="Style8"/>
          <w:rFonts w:eastAsia="Times New Roman" w:cs="Times New Roman"/>
          <w:b w:val="false"/>
          <w:bCs/>
          <w:i w:val="false"/>
          <w:iCs w:val="false"/>
          <w:color w:val="000000"/>
          <w:kern w:val="0"/>
          <w:sz w:val="24"/>
          <w:szCs w:val="24"/>
          <w:shd w:fill="auto" w:val="clear"/>
          <w:lang w:val="ru-RU" w:eastAsia="ru-RU" w:bidi="ar-SA"/>
        </w:rPr>
        <w:t>Схемы складирования и временного размещения сброшенного снега, места установки защитных экранов, козырьков и сигнальной ленты для исключения доступа посторонних лиц в зону падения льда.</w:t>
      </w:r>
    </w:p>
    <w:p>
      <w:pPr>
        <w:pStyle w:val="Normal"/>
        <w:widowControl w:val="false"/>
        <w:numPr>
          <w:ilvl w:val="0"/>
          <w:numId w:val="7"/>
        </w:numPr>
        <w:tabs>
          <w:tab w:val="clear" w:pos="708"/>
          <w:tab w:val="left" w:pos="426" w:leader="none"/>
        </w:tabs>
        <w:suppressAutoHyphens w:val="true"/>
        <w:overflowPunct w:val="false"/>
        <w:bidi w:val="0"/>
        <w:spacing w:before="0" w:after="0"/>
        <w:jc w:val="both"/>
        <w:rPr/>
      </w:pPr>
      <w:r>
        <w:rPr>
          <w:rStyle w:val="Style8"/>
          <w:rFonts w:eastAsia="Times New Roman" w:cs="Times New Roman"/>
          <w:b w:val="false"/>
          <w:bCs/>
          <w:i w:val="false"/>
          <w:iCs w:val="false"/>
          <w:color w:val="000000"/>
          <w:kern w:val="0"/>
          <w:sz w:val="24"/>
          <w:szCs w:val="24"/>
          <w:shd w:fill="auto" w:val="clear"/>
          <w:lang w:val="ru-RU" w:eastAsia="ru-RU" w:bidi="ar-SA"/>
        </w:rPr>
        <w:t>Мероприятия по защите фасада здания, водосточной системы, кондиционеров, вывесок и иных инженерных коммуникаций от повреждений при сбросе снега.</w:t>
      </w:r>
    </w:p>
    <w:p>
      <w:pPr>
        <w:pStyle w:val="Normal"/>
        <w:widowControl w:val="false"/>
        <w:numPr>
          <w:ilvl w:val="0"/>
          <w:numId w:val="7"/>
        </w:numPr>
        <w:tabs>
          <w:tab w:val="clear" w:pos="708"/>
          <w:tab w:val="left" w:pos="426" w:leader="none"/>
        </w:tabs>
        <w:suppressAutoHyphens w:val="true"/>
        <w:overflowPunct w:val="false"/>
        <w:bidi w:val="0"/>
        <w:spacing w:before="0" w:after="0"/>
        <w:jc w:val="both"/>
        <w:rPr/>
      </w:pPr>
      <w:r>
        <w:rPr>
          <w:rStyle w:val="Style8"/>
          <w:rFonts w:eastAsia="Times New Roman" w:cs="Times New Roman"/>
          <w:b w:val="false"/>
          <w:bCs/>
          <w:i w:val="false"/>
          <w:iCs w:val="false"/>
          <w:color w:val="000000"/>
          <w:kern w:val="0"/>
          <w:sz w:val="24"/>
          <w:szCs w:val="24"/>
          <w:shd w:fill="auto" w:val="clear"/>
          <w:lang w:val="ru-RU" w:eastAsia="ru-RU" w:bidi="ar-SA"/>
        </w:rPr>
        <w:t>План мероприятий по эвакуации работника и оказанию первой помощи при падении с высоты или травмировании падающими предметами, включая схему связи и расположение аптечек.</w:t>
      </w:r>
    </w:p>
    <w:p>
      <w:pPr>
        <w:pStyle w:val="Normal"/>
        <w:widowControl w:val="false"/>
        <w:numPr>
          <w:ilvl w:val="0"/>
          <w:numId w:val="7"/>
        </w:numPr>
        <w:tabs>
          <w:tab w:val="clear" w:pos="708"/>
          <w:tab w:val="left" w:pos="426" w:leader="none"/>
        </w:tabs>
        <w:suppressAutoHyphens w:val="true"/>
        <w:overflowPunct w:val="false"/>
        <w:bidi w:val="0"/>
        <w:spacing w:before="0" w:after="0"/>
        <w:jc w:val="both"/>
        <w:rPr/>
      </w:pPr>
      <w:r>
        <w:rPr>
          <w:rStyle w:val="Style8"/>
          <w:rFonts w:eastAsia="Times New Roman" w:cs="Times New Roman"/>
          <w:b w:val="false"/>
          <w:bCs/>
          <w:i w:val="false"/>
          <w:iCs w:val="false"/>
          <w:color w:val="000000"/>
          <w:kern w:val="0"/>
          <w:sz w:val="24"/>
          <w:szCs w:val="24"/>
          <w:shd w:fill="auto" w:val="clear"/>
          <w:lang w:val="ru-RU" w:eastAsia="ru-RU" w:bidi="ar-SA"/>
        </w:rPr>
        <w:t>Расчет нагрузок на несущие конструкции кровли (при необходимости очистки участков с высоким скоплением снега) во избежание обрушения.</w:t>
      </w:r>
    </w:p>
    <w:p>
      <w:pPr>
        <w:pStyle w:val="Normal"/>
        <w:widowControl w:val="false"/>
        <w:numPr>
          <w:ilvl w:val="0"/>
          <w:numId w:val="7"/>
        </w:numPr>
        <w:tabs>
          <w:tab w:val="clear" w:pos="708"/>
          <w:tab w:val="left" w:pos="426" w:leader="none"/>
        </w:tabs>
        <w:suppressAutoHyphens w:val="true"/>
        <w:overflowPunct w:val="false"/>
        <w:bidi w:val="0"/>
        <w:spacing w:before="0" w:after="0"/>
        <w:jc w:val="both"/>
        <w:rPr/>
      </w:pPr>
      <w:r>
        <w:rPr>
          <w:rStyle w:val="Style8"/>
          <w:rFonts w:eastAsia="Times New Roman" w:cs="Times New Roman"/>
          <w:b w:val="false"/>
          <w:bCs/>
          <w:i w:val="false"/>
          <w:iCs w:val="false"/>
          <w:color w:val="000000"/>
          <w:kern w:val="0"/>
          <w:sz w:val="24"/>
          <w:szCs w:val="24"/>
          <w:shd w:fill="auto" w:val="clear"/>
          <w:lang w:val="ru-RU" w:eastAsia="ru-RU" w:bidi="ar-SA"/>
        </w:rPr>
        <w:t>Лист ознакомления персонала с ППР/ТК под подпись перед началом смены. Работы без утвержденного Заказчиком ППР/ТК не допускаются.»</w:t>
      </w:r>
    </w:p>
    <w:p>
      <w:pPr>
        <w:pStyle w:val="Normal"/>
        <w:numPr>
          <w:ilvl w:val="2"/>
          <w:numId w:val="3"/>
        </w:numPr>
        <w:tabs>
          <w:tab w:val="clear" w:pos="708"/>
          <w:tab w:val="left" w:pos="1134" w:leader="none"/>
        </w:tabs>
        <w:spacing w:before="0" w:after="0"/>
        <w:ind w:left="0" w:right="0" w:firstLine="709"/>
        <w:jc w:val="both"/>
        <w:rPr/>
      </w:pPr>
      <w:r>
        <w:rPr>
          <w:rFonts w:eastAsia="Calibri"/>
          <w:sz w:val="24"/>
          <w:szCs w:val="24"/>
          <w:lang w:val="ru-RU" w:eastAsia="x-none"/>
        </w:rPr>
        <w:t>Исполнитель обязан обеспечить всех сотрудников, привлекаемых к оказанию услуг на Объекте, средствами индивидуальной защиты и другими необходимыми инструментами и оснасткой, согласно установленных норм с учетом конкретных условий производства и сезона выполнения наружных работ. Сотрудник должен выполнять работу на высоте в соответствующей специальной одежде, в защитной строительной каске, с предохранительным поясом с капроновым стропом, в необходимых случаях - с применением верхолазного устройства с вертикальным страховочным канатом и прочим оборудованием в зависимости от вида и способа выполняемых работ.</w:t>
      </w:r>
    </w:p>
    <w:p>
      <w:pPr>
        <w:pStyle w:val="ListParagraph"/>
        <w:numPr>
          <w:ilvl w:val="2"/>
          <w:numId w:val="3"/>
        </w:numPr>
        <w:spacing w:before="0" w:after="0"/>
        <w:ind w:left="0" w:right="0" w:firstLine="709"/>
        <w:contextualSpacing w:val="false"/>
        <w:jc w:val="both"/>
        <w:rPr/>
      </w:pPr>
      <w:r>
        <w:rPr>
          <w:rStyle w:val="Style8"/>
          <w:rFonts w:eastAsia="Times New Roman" w:cs="Times New Roman"/>
          <w:b w:val="false"/>
          <w:bCs/>
          <w:i w:val="false"/>
          <w:iCs w:val="false"/>
          <w:color w:val="000000"/>
          <w:kern w:val="0"/>
          <w:sz w:val="24"/>
          <w:szCs w:val="24"/>
          <w:shd w:fill="auto" w:val="clear"/>
          <w:lang w:val="ru-RU" w:eastAsia="x-none" w:bidi="ar-SA"/>
        </w:rPr>
        <w:t>При работе, выполняемой на высоте, Исполнитель обязан соблюдать правила техники безопасности с оформлением письменного документа на особо опасные работы с указанием фамилий работников и их подписью в наряде-допуске и в журнале техники безопасности с соблюдением положений трудового законодательства. Работы выполняются после инструктажа рабочих ответственным лицом Исполнителя и под его непосредственным контролем, который несет всю ответственность за безопасность при оказании услуг. После заключения Договора Исполнитель предоставляет Заказчику приказ о назначении ответственного лица на весь период действия Договора.</w:t>
      </w:r>
    </w:p>
    <w:p>
      <w:pPr>
        <w:pStyle w:val="Normal"/>
        <w:widowControl w:val="false"/>
        <w:numPr>
          <w:ilvl w:val="0"/>
          <w:numId w:val="0"/>
        </w:numPr>
        <w:tabs>
          <w:tab w:val="clear" w:pos="708"/>
          <w:tab w:val="left" w:pos="426" w:leader="none"/>
        </w:tabs>
        <w:suppressAutoHyphens w:val="true"/>
        <w:overflowPunct w:val="false"/>
        <w:bidi w:val="0"/>
        <w:spacing w:before="0" w:after="0"/>
        <w:ind w:left="0" w:right="0" w:hanging="0"/>
        <w:jc w:val="both"/>
        <w:rPr>
          <w:rFonts w:eastAsia="Times New Roman" w:cs="Times New Roman"/>
          <w:b w:val="false"/>
          <w:bCs/>
          <w:color w:val="000000"/>
          <w:kern w:val="0"/>
          <w:sz w:val="24"/>
          <w:szCs w:val="24"/>
          <w:shd w:fill="auto" w:val="clear"/>
          <w:lang w:val="ru-RU" w:eastAsia="ru-RU" w:bidi="ar-SA"/>
        </w:rPr>
      </w:pPr>
      <w:r>
        <w:rPr>
          <w:rFonts w:eastAsia="Times New Roman" w:cs="Times New Roman"/>
          <w:b w:val="false"/>
          <w:bCs/>
          <w:color w:val="000000"/>
          <w:kern w:val="0"/>
          <w:sz w:val="24"/>
          <w:szCs w:val="24"/>
          <w:shd w:fill="auto" w:val="clear"/>
          <w:lang w:val="ru-RU" w:eastAsia="ru-RU" w:bidi="ar-SA"/>
        </w:rPr>
      </w:r>
    </w:p>
    <w:p>
      <w:pPr>
        <w:pStyle w:val="Normal"/>
        <w:widowControl w:val="false"/>
        <w:numPr>
          <w:ilvl w:val="1"/>
          <w:numId w:val="3"/>
        </w:numPr>
        <w:tabs>
          <w:tab w:val="clear" w:pos="708"/>
          <w:tab w:val="left" w:pos="426" w:leader="none"/>
        </w:tabs>
        <w:suppressAutoHyphens w:val="true"/>
        <w:overflowPunct w:val="false"/>
        <w:bidi w:val="0"/>
        <w:spacing w:before="0" w:after="0"/>
        <w:ind w:left="0" w:right="0" w:firstLine="680"/>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bCs/>
          <w:i w:val="false"/>
          <w:iCs w:val="false"/>
          <w:color w:val="000000"/>
          <w:kern w:val="0"/>
          <w:sz w:val="24"/>
          <w:szCs w:val="24"/>
          <w:shd w:fill="FFFFFF" w:val="clear"/>
          <w:lang w:val="ru-RU" w:eastAsia="ru-RU" w:bidi="ar-SA"/>
        </w:rPr>
        <w:t xml:space="preserve"> </w:t>
      </w:r>
      <w:r>
        <w:rPr>
          <w:rStyle w:val="Style8"/>
          <w:rFonts w:eastAsia="Times New Roman" w:cs="Times New Roman"/>
          <w:b/>
          <w:bCs/>
          <w:i w:val="false"/>
          <w:iCs w:val="false"/>
          <w:color w:val="000000"/>
          <w:kern w:val="0"/>
          <w:sz w:val="24"/>
          <w:szCs w:val="24"/>
          <w:shd w:fill="FFFFFF" w:val="clear"/>
          <w:lang w:val="ru-RU" w:eastAsia="ru-RU" w:bidi="ar-SA"/>
        </w:rPr>
        <w:t>Требования к количественному составу, квалификации персонала</w:t>
      </w:r>
    </w:p>
    <w:p>
      <w:pPr>
        <w:pStyle w:val="Normal"/>
        <w:widowControl w:val="false"/>
        <w:numPr>
          <w:ilvl w:val="2"/>
          <w:numId w:val="3"/>
        </w:numPr>
        <w:tabs>
          <w:tab w:val="clear" w:pos="708"/>
          <w:tab w:val="left" w:pos="426" w:leader="none"/>
          <w:tab w:val="left" w:pos="1125" w:leader="none"/>
        </w:tabs>
        <w:suppressAutoHyphens w:val="true"/>
        <w:overflowPunct w:val="false"/>
        <w:bidi w:val="0"/>
        <w:spacing w:before="0" w:after="0"/>
        <w:ind w:left="0" w:right="0" w:firstLine="680"/>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 xml:space="preserve">Исполнитель для проведения работ обязуется направить на объект для проведения работ персонал в количественном составе, необходимом для выполнения работ в объеме, указанном в настоящих технических требованиях. До начала проведения работ Исполнитель назначает лиц, ответственных за выполнение работ, с правом  подписи в акте-допуске и правами выдачи нарядов-допусков на выполняемые  работы по предварительному согласованию с представителем Заказчика на объекте (руководитель работ, производитель работ). </w:t>
      </w:r>
    </w:p>
    <w:p>
      <w:pPr>
        <w:pStyle w:val="Normal"/>
        <w:widowControl w:val="false"/>
        <w:numPr>
          <w:ilvl w:val="2"/>
          <w:numId w:val="3"/>
        </w:numPr>
        <w:tabs>
          <w:tab w:val="clear" w:pos="708"/>
          <w:tab w:val="left" w:pos="426" w:leader="none"/>
        </w:tabs>
        <w:suppressAutoHyphens w:val="true"/>
        <w:overflowPunct w:val="false"/>
        <w:bidi w:val="0"/>
        <w:spacing w:before="0" w:after="0"/>
        <w:ind w:left="0" w:right="0" w:firstLine="680"/>
        <w:jc w:val="both"/>
        <w:rPr/>
      </w:pPr>
      <w:r>
        <w:rPr>
          <w:rStyle w:val="Style8"/>
          <w:rFonts w:eastAsia="Times New Roman" w:cs="Times New Roman"/>
          <w:b w:val="false"/>
          <w:bCs/>
          <w:i w:val="false"/>
          <w:iCs w:val="false"/>
          <w:color w:val="000000"/>
          <w:kern w:val="0"/>
          <w:sz w:val="24"/>
          <w:szCs w:val="24"/>
          <w:shd w:fill="auto" w:val="clear"/>
          <w:lang w:val="ru-RU" w:eastAsia="ru-RU" w:bidi="ar-SA"/>
        </w:rPr>
        <w:t xml:space="preserve">Оказание услуг по уборке снега и наледи с крыш с привлечением промышленных альпинистов, обязательное условие - </w:t>
      </w:r>
      <w:r>
        <w:rPr>
          <w:rStyle w:val="Style8"/>
          <w:rFonts w:eastAsia="Times New Roman" w:cs="Times New Roman"/>
          <w:b/>
          <w:bCs/>
          <w:i w:val="false"/>
          <w:iCs w:val="false"/>
          <w:color w:val="000000"/>
          <w:kern w:val="0"/>
          <w:sz w:val="24"/>
          <w:szCs w:val="24"/>
          <w:shd w:fill="auto" w:val="clear"/>
          <w:lang w:val="ru-RU" w:eastAsia="ru-RU" w:bidi="ar-SA"/>
        </w:rPr>
        <w:t>наличие удостоверения промышленного альпиниста, группа по безопасности работ на высоте. Личная книжка учета работ на высоте в соответствии с Приложением № 4 Приказа Минтруда России от 16.11.2020 N 782н «Об утверждении Правил по охране труда при работе на высоте». Группа по электробезопасности не ниже II.</w:t>
      </w:r>
    </w:p>
    <w:p>
      <w:pPr>
        <w:pStyle w:val="Normal"/>
        <w:widowControl w:val="false"/>
        <w:numPr>
          <w:ilvl w:val="2"/>
          <w:numId w:val="3"/>
        </w:numPr>
        <w:tabs>
          <w:tab w:val="clear" w:pos="708"/>
          <w:tab w:val="left" w:pos="426" w:leader="none"/>
          <w:tab w:val="left" w:pos="705" w:leader="none"/>
        </w:tabs>
        <w:suppressAutoHyphens w:val="true"/>
        <w:overflowPunct w:val="false"/>
        <w:bidi w:val="0"/>
        <w:spacing w:before="0" w:after="0"/>
        <w:ind w:left="0" w:right="0" w:firstLine="680"/>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Документы, подтверждающие квалификацию персонала, прохождение обучения, необходимого для оказания услуг, Исполнитель предоставляет после заключения договора до начала предоставления/оказания услуг на объекте представителю Заказчика на Объекте.</w:t>
      </w:r>
    </w:p>
    <w:p>
      <w:pPr>
        <w:pStyle w:val="Normal"/>
        <w:widowControl w:val="false"/>
        <w:numPr>
          <w:ilvl w:val="2"/>
          <w:numId w:val="3"/>
        </w:numPr>
        <w:tabs>
          <w:tab w:val="clear" w:pos="708"/>
          <w:tab w:val="left" w:pos="426" w:leader="none"/>
          <w:tab w:val="left" w:pos="735" w:leader="none"/>
          <w:tab w:val="left" w:pos="825" w:leader="none"/>
        </w:tabs>
        <w:suppressAutoHyphens w:val="true"/>
        <w:overflowPunct w:val="false"/>
        <w:bidi w:val="0"/>
        <w:spacing w:before="0" w:after="0"/>
        <w:ind w:left="0" w:right="0" w:firstLine="680"/>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Исполнитель привлекает к оказанию услуг персонал, владеющим русским языком для ознакомления с инструктажами и иной информацией для допуска к работе на Объектах.</w:t>
      </w:r>
    </w:p>
    <w:p>
      <w:pPr>
        <w:pStyle w:val="Normal"/>
        <w:widowControl w:val="false"/>
        <w:tabs>
          <w:tab w:val="clear" w:pos="708"/>
          <w:tab w:val="left" w:pos="426" w:leader="none"/>
        </w:tabs>
        <w:suppressAutoHyphens w:val="true"/>
        <w:bidi w:val="0"/>
        <w:spacing w:before="0" w:after="0"/>
        <w:ind w:left="0" w:right="0" w:hanging="0"/>
        <w:jc w:val="both"/>
        <w:rPr>
          <w:rStyle w:val="Style8"/>
          <w:rFonts w:eastAsia="Times New Roman" w:cs="Times New Roman"/>
          <w:b w:val="false"/>
          <w:bCs/>
          <w:color w:val="000000"/>
          <w:kern w:val="0"/>
          <w:sz w:val="24"/>
          <w:szCs w:val="24"/>
          <w:shd w:fill="auto" w:val="clear"/>
          <w:lang w:val="ru-RU" w:eastAsia="ru-RU" w:bidi="ar-SA"/>
        </w:rPr>
      </w:pPr>
      <w:r>
        <w:rPr>
          <w:rFonts w:eastAsia="Times New Roman" w:cs="Times New Roman"/>
          <w:b w:val="false"/>
          <w:bCs/>
          <w:color w:val="000000"/>
          <w:kern w:val="0"/>
          <w:sz w:val="24"/>
          <w:szCs w:val="24"/>
          <w:shd w:fill="auto" w:val="clear"/>
          <w:lang w:val="ru-RU" w:eastAsia="ru-RU" w:bidi="ar-SA"/>
        </w:rPr>
      </w:r>
    </w:p>
    <w:p>
      <w:pPr>
        <w:pStyle w:val="Normal"/>
        <w:widowControl w:val="false"/>
        <w:numPr>
          <w:ilvl w:val="1"/>
          <w:numId w:val="3"/>
        </w:numPr>
        <w:tabs>
          <w:tab w:val="clear" w:pos="708"/>
          <w:tab w:val="left" w:pos="426" w:leader="none"/>
        </w:tabs>
        <w:suppressAutoHyphens w:val="true"/>
        <w:overflowPunct w:val="false"/>
        <w:bidi w:val="0"/>
        <w:spacing w:before="0" w:after="0"/>
        <w:ind w:left="0" w:right="0" w:firstLine="680"/>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bCs/>
          <w:i w:val="false"/>
          <w:iCs w:val="false"/>
          <w:color w:val="000000"/>
          <w:kern w:val="0"/>
          <w:sz w:val="24"/>
          <w:szCs w:val="24"/>
          <w:shd w:fill="FFFFFF" w:val="clear"/>
          <w:lang w:val="ru-RU" w:eastAsia="ru-RU" w:bidi="ar-SA"/>
        </w:rPr>
        <w:t>Условия предоставления услуг</w:t>
      </w:r>
    </w:p>
    <w:p>
      <w:pPr>
        <w:pStyle w:val="Normal"/>
        <w:widowControl w:val="false"/>
        <w:numPr>
          <w:ilvl w:val="2"/>
          <w:numId w:val="3"/>
        </w:numPr>
        <w:tabs>
          <w:tab w:val="clear" w:pos="708"/>
          <w:tab w:val="left" w:pos="426" w:leader="none"/>
        </w:tabs>
        <w:suppressAutoHyphens w:val="true"/>
        <w:overflowPunct w:val="false"/>
        <w:bidi w:val="0"/>
        <w:spacing w:before="0" w:after="0"/>
        <w:ind w:left="0" w:right="0" w:firstLine="680"/>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Уборка снега и льда выполняется пластиковыми или деревянными лопатами без применения металлических инструментов (ломы, ледорубы и т.п.). В случае обнаружения у работников Исполнителя при оказании услуг металлических инструментов Заказчик имеет право остановить оказание услуг до их замены.</w:t>
      </w:r>
    </w:p>
    <w:p>
      <w:pPr>
        <w:pStyle w:val="Normal"/>
        <w:widowControl w:val="false"/>
        <w:numPr>
          <w:ilvl w:val="2"/>
          <w:numId w:val="3"/>
        </w:numPr>
        <w:tabs>
          <w:tab w:val="clear" w:pos="708"/>
          <w:tab w:val="left" w:pos="426" w:leader="none"/>
        </w:tabs>
        <w:suppressAutoHyphens w:val="true"/>
        <w:overflowPunct w:val="false"/>
        <w:bidi w:val="0"/>
        <w:spacing w:before="0" w:after="0"/>
        <w:ind w:left="0" w:right="0" w:firstLine="680"/>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Услуги по уборке снега и льда оказывать в мягкой не скользкой обуви.</w:t>
      </w:r>
    </w:p>
    <w:p>
      <w:pPr>
        <w:pStyle w:val="Normal"/>
        <w:widowControl w:val="false"/>
        <w:numPr>
          <w:ilvl w:val="2"/>
          <w:numId w:val="3"/>
        </w:numPr>
        <w:tabs>
          <w:tab w:val="clear" w:pos="708"/>
          <w:tab w:val="left" w:pos="426" w:leader="none"/>
        </w:tabs>
        <w:suppressAutoHyphens w:val="true"/>
        <w:overflowPunct w:val="false"/>
        <w:bidi w:val="0"/>
        <w:spacing w:before="0" w:after="0"/>
        <w:ind w:left="0" w:right="0" w:firstLine="680"/>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При очистке кровель от снега и льда, выполняемой на высоте, Исполнитель обязан соблюдать правила техники безопасности с оформлением письменного документа на особо опасные работы с указанием фамилий работников и их подписью в наряде-допуске и в журнале техники безопасности с соблюдением положений трудового законодательства. Очистка крыш от снега и наледи каждый раз выполняется после инструктажа рабочих ответственным лицом Исполнителя и под его непосредственным контролем, который несет всю ответственность за безопасность при оказании услуг. После заключения Договора Исполнитель предоставляет Заказчику приказ о назначении ответственного лица на весь период действия Договора.</w:t>
      </w:r>
    </w:p>
    <w:p>
      <w:pPr>
        <w:pStyle w:val="Normal"/>
        <w:widowControl w:val="false"/>
        <w:numPr>
          <w:ilvl w:val="2"/>
          <w:numId w:val="3"/>
        </w:numPr>
        <w:tabs>
          <w:tab w:val="clear" w:pos="708"/>
          <w:tab w:val="left" w:pos="426" w:leader="none"/>
        </w:tabs>
        <w:suppressAutoHyphens w:val="true"/>
        <w:overflowPunct w:val="false"/>
        <w:bidi w:val="0"/>
        <w:spacing w:before="0" w:after="0"/>
        <w:ind w:left="0" w:right="0" w:firstLine="680"/>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По окончании оказания услуг по Договору Исполнитель по акту сдает Заказчику кровлю в исправном состоянии. При обнаружении дефектов кровли в акте производится подробное описание обнаруженных дефектов. При отказе Исполнителя от подписания акта Заказчик имеет право составить такой акт самостоятельно.</w:t>
      </w:r>
    </w:p>
    <w:p>
      <w:pPr>
        <w:pStyle w:val="Normal"/>
        <w:widowControl w:val="false"/>
        <w:numPr>
          <w:ilvl w:val="2"/>
          <w:numId w:val="3"/>
        </w:numPr>
        <w:tabs>
          <w:tab w:val="clear" w:pos="708"/>
          <w:tab w:val="left" w:pos="426" w:leader="none"/>
        </w:tabs>
        <w:suppressAutoHyphens w:val="true"/>
        <w:overflowPunct w:val="false"/>
        <w:bidi w:val="0"/>
        <w:spacing w:before="0" w:after="0"/>
        <w:ind w:left="0" w:right="0" w:firstLine="680"/>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 xml:space="preserve">В случае повреждения кровли Исполнитель в течение 10 календарных дней после составления акта, за свой счет производит устранение имеющихся дефектов кровельного покрытия. </w:t>
      </w:r>
    </w:p>
    <w:p>
      <w:pPr>
        <w:pStyle w:val="Normal"/>
        <w:widowControl w:val="false"/>
        <w:numPr>
          <w:ilvl w:val="2"/>
          <w:numId w:val="3"/>
        </w:numPr>
        <w:tabs>
          <w:tab w:val="clear" w:pos="708"/>
          <w:tab w:val="left" w:pos="426" w:leader="none"/>
        </w:tabs>
        <w:suppressAutoHyphens w:val="true"/>
        <w:overflowPunct w:val="false"/>
        <w:bidi w:val="0"/>
        <w:spacing w:before="0" w:after="0"/>
        <w:ind w:left="0" w:right="0" w:firstLine="680"/>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В случае если объекту работ был причинен ущерб либо порча, Исполнитель обязан по выбору Заказчика самостоятельно за свой счет восстановить поврежденный объект, произведя необходимые работы, либо возместить Заказчику расходы, связанные с восстановлением объекта работ силами третьих лиц, либо компенсировать понесенные Заказчиком убытки (реальный ущерб в размере страховой оценки объекта и упущенная выгода). В случае если Объект был уничтожен, утрачен (похищен или утерян) или же причиненные ему повреждения исключают возможность восстановления, Исполнитель обязан возместить Заказчику убытки, вызванные случайной гибелью или случайным повреждением Объекта, произошедшим до момента приемки Заказчиком работ, предусмотренных настоящим договором.</w:t>
      </w:r>
    </w:p>
    <w:p>
      <w:pPr>
        <w:pStyle w:val="Normal"/>
        <w:widowControl w:val="false"/>
        <w:numPr>
          <w:ilvl w:val="2"/>
          <w:numId w:val="3"/>
        </w:numPr>
        <w:tabs>
          <w:tab w:val="clear" w:pos="708"/>
          <w:tab w:val="left" w:pos="426" w:leader="none"/>
        </w:tabs>
        <w:suppressAutoHyphens w:val="true"/>
        <w:overflowPunct w:val="false"/>
        <w:bidi w:val="0"/>
        <w:spacing w:before="0" w:after="0"/>
        <w:ind w:left="0" w:right="0" w:firstLine="680"/>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Исполнитель привлекает к выполнению работ/ оказания услуг персонал, владеющим русским языком для ознакомления с инструктажами и иной информацией для допуска к работе на объектах Заказчика.</w:t>
      </w:r>
    </w:p>
    <w:p>
      <w:pPr>
        <w:pStyle w:val="Normal"/>
        <w:widowControl w:val="false"/>
        <w:numPr>
          <w:ilvl w:val="2"/>
          <w:numId w:val="3"/>
        </w:numPr>
        <w:tabs>
          <w:tab w:val="clear" w:pos="708"/>
          <w:tab w:val="left" w:pos="426" w:leader="none"/>
        </w:tabs>
        <w:suppressAutoHyphens w:val="true"/>
        <w:overflowPunct w:val="false"/>
        <w:bidi w:val="0"/>
        <w:spacing w:before="0" w:after="0"/>
        <w:ind w:left="0" w:right="0" w:firstLine="680"/>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Не допускаются к работе (отстраняются от работы) персонал в состоянии алкогольного, наркотического или токсического опьянения, а также не допускается перенос и нахождение на территории размещения объектов веществ, вызывающих алкогольное, наркотическое или токсическое опьянение.</w:t>
      </w:r>
    </w:p>
    <w:p>
      <w:pPr>
        <w:pStyle w:val="Normal"/>
        <w:widowControl w:val="false"/>
        <w:numPr>
          <w:ilvl w:val="2"/>
          <w:numId w:val="3"/>
        </w:numPr>
        <w:tabs>
          <w:tab w:val="clear" w:pos="708"/>
          <w:tab w:val="left" w:pos="426" w:leader="none"/>
        </w:tabs>
        <w:suppressAutoHyphens w:val="true"/>
        <w:overflowPunct w:val="false"/>
        <w:bidi w:val="0"/>
        <w:spacing w:before="0" w:after="0"/>
        <w:ind w:left="0" w:right="0" w:firstLine="680"/>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Обеспечение персонала, оказывающего услуги, рабочей (фирменной) одеждой, специальной одеждой, специальной обувью и другими средствами индивидуальной защиты, согласно нормам (Приказ Минтруда и соцзащиты РФ от 09.12.2014 № 997н) является обязанностью Исполнителя.</w:t>
      </w:r>
    </w:p>
    <w:p>
      <w:pPr>
        <w:pStyle w:val="Normal"/>
        <w:widowControl w:val="false"/>
        <w:numPr>
          <w:ilvl w:val="2"/>
          <w:numId w:val="3"/>
        </w:numPr>
        <w:tabs>
          <w:tab w:val="clear" w:pos="708"/>
          <w:tab w:val="left" w:pos="426" w:leader="none"/>
        </w:tabs>
        <w:suppressAutoHyphens w:val="true"/>
        <w:overflowPunct w:val="false"/>
        <w:bidi w:val="0"/>
        <w:spacing w:before="0" w:after="0"/>
        <w:ind w:left="0" w:right="0" w:firstLine="680"/>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Исполнитель самостоятельно организовывает обучение персонала нормами и требованиями промышленной безопасности и охраны труда. Персонал Исполнителя должен иметь удостоверения о проверке знаний норм и требований промышленной безопасности и охраны труда установленной формы.</w:t>
      </w:r>
    </w:p>
    <w:p>
      <w:pPr>
        <w:pStyle w:val="Normal"/>
        <w:widowControl w:val="false"/>
        <w:numPr>
          <w:ilvl w:val="2"/>
          <w:numId w:val="3"/>
        </w:numPr>
        <w:tabs>
          <w:tab w:val="clear" w:pos="708"/>
          <w:tab w:val="left" w:pos="426" w:leader="none"/>
        </w:tabs>
        <w:suppressAutoHyphens w:val="true"/>
        <w:overflowPunct w:val="false"/>
        <w:bidi w:val="0"/>
        <w:spacing w:before="0" w:after="0"/>
        <w:ind w:left="0" w:right="0" w:firstLine="680"/>
        <w:jc w:val="both"/>
        <w:rPr>
          <w:rFonts w:eastAsia="Times New Roman" w:cs="Times New Roman"/>
          <w:b w:val="false"/>
          <w:bCs/>
          <w:color w:val="000000"/>
          <w:kern w:val="0"/>
          <w:sz w:val="24"/>
          <w:szCs w:val="24"/>
          <w:shd w:fill="auto" w:val="clear"/>
          <w:lang w:val="ru-RU" w:eastAsia="ru-RU" w:bidi="ar-SA"/>
        </w:rPr>
      </w:pPr>
      <w:r>
        <w:rPr>
          <w:rStyle w:val="Style8"/>
          <w:rFonts w:eastAsia="Times New Roman" w:cs="Times New Roman"/>
          <w:b w:val="false"/>
          <w:bCs w:val="false"/>
          <w:i w:val="false"/>
          <w:iCs w:val="false"/>
          <w:color w:val="000000"/>
          <w:kern w:val="0"/>
          <w:sz w:val="24"/>
          <w:szCs w:val="24"/>
          <w:shd w:fill="FFFFFF" w:val="clear"/>
          <w:lang w:val="ru-RU" w:eastAsia="ru-RU" w:bidi="ar-SA"/>
        </w:rPr>
        <w:t>После заключения договора в однодневный срок, перед началом фактического оказания услуг, Исполнитель должен документально подтвердить наличие специалистов, прошедших аттестацию и имеющих допуски на проведение высотных работ.</w:t>
      </w:r>
    </w:p>
    <w:p>
      <w:pPr>
        <w:pStyle w:val="Normal"/>
        <w:widowControl w:val="false"/>
        <w:tabs>
          <w:tab w:val="clear" w:pos="708"/>
          <w:tab w:val="left" w:pos="426" w:leader="none"/>
        </w:tabs>
        <w:suppressAutoHyphens w:val="true"/>
        <w:bidi w:val="0"/>
        <w:spacing w:before="0" w:after="0"/>
        <w:ind w:left="0" w:right="0" w:hanging="0"/>
        <w:jc w:val="both"/>
        <w:rPr>
          <w:rStyle w:val="Style8"/>
          <w:rFonts w:eastAsia="Times New Roman" w:cs="Times New Roman"/>
          <w:b w:val="false"/>
          <w:bCs/>
          <w:color w:val="000000"/>
          <w:kern w:val="0"/>
          <w:sz w:val="24"/>
          <w:szCs w:val="24"/>
          <w:shd w:fill="auto" w:val="clear"/>
          <w:lang w:val="ru-RU" w:eastAsia="ru-RU" w:bidi="ar-SA"/>
        </w:rPr>
      </w:pPr>
      <w:r>
        <w:rPr>
          <w:rFonts w:eastAsia="Times New Roman" w:cs="Times New Roman"/>
          <w:b w:val="false"/>
          <w:bCs/>
          <w:color w:val="000000"/>
          <w:kern w:val="0"/>
          <w:sz w:val="24"/>
          <w:szCs w:val="24"/>
          <w:shd w:fill="auto" w:val="clear"/>
          <w:lang w:val="ru-RU" w:eastAsia="ru-RU" w:bidi="ar-SA"/>
        </w:rPr>
      </w:r>
    </w:p>
    <w:p>
      <w:pPr>
        <w:pStyle w:val="Heading1"/>
        <w:keepLines/>
        <w:numPr>
          <w:ilvl w:val="0"/>
          <w:numId w:val="3"/>
        </w:numPr>
        <w:ind w:left="357" w:right="0" w:hanging="357"/>
        <w:jc w:val="center"/>
        <w:rPr>
          <w:iCs/>
          <w:caps/>
          <w:lang w:val="ru-RU"/>
        </w:rPr>
      </w:pPr>
      <w:bookmarkStart w:id="15" w:name="__RefHeading___Toc3375_1975687802"/>
      <w:bookmarkStart w:id="16" w:name="_Toc54646403"/>
      <w:bookmarkStart w:id="17" w:name="_Toc51339693"/>
      <w:bookmarkStart w:id="18" w:name="_Toc50125126"/>
      <w:bookmarkStart w:id="19" w:name="_Toc46743510"/>
      <w:bookmarkEnd w:id="15"/>
      <w:bookmarkEnd w:id="18"/>
      <w:bookmarkEnd w:id="19"/>
      <w:r>
        <w:rPr>
          <w:iCs/>
        </w:rPr>
        <w:t xml:space="preserve">Требования к </w:t>
      </w:r>
      <w:bookmarkEnd w:id="16"/>
      <w:bookmarkEnd w:id="17"/>
      <w:r>
        <w:rPr>
          <w:iCs/>
        </w:rPr>
        <w:t>услугам</w:t>
      </w:r>
    </w:p>
    <w:p>
      <w:pPr>
        <w:pStyle w:val="Heading4"/>
        <w:keepNext w:val="true"/>
        <w:widowControl/>
        <w:numPr>
          <w:ilvl w:val="1"/>
          <w:numId w:val="3"/>
        </w:numPr>
        <w:suppressAutoHyphens w:val="true"/>
        <w:overflowPunct w:val="false"/>
        <w:bidi w:val="0"/>
        <w:spacing w:lineRule="auto" w:line="240" w:before="120" w:after="60"/>
        <w:ind w:left="0" w:right="0" w:firstLine="680"/>
        <w:jc w:val="left"/>
        <w:rPr>
          <w:b/>
          <w:bCs/>
        </w:rPr>
      </w:pPr>
      <w:bookmarkStart w:id="20" w:name="__RefHeading___Toc3377_1975687802"/>
      <w:bookmarkStart w:id="21" w:name="_Toc54646404"/>
      <w:bookmarkEnd w:id="20"/>
      <w:r>
        <w:rPr>
          <w:b/>
          <w:bCs/>
        </w:rPr>
        <w:t xml:space="preserve">Требования к объемам и срокам </w:t>
      </w:r>
      <w:bookmarkEnd w:id="21"/>
      <w:r>
        <w:rPr>
          <w:b/>
          <w:bCs/>
          <w:lang w:val="ru-RU"/>
        </w:rPr>
        <w:t>оказания услуг</w:t>
      </w:r>
    </w:p>
    <w:p>
      <w:pPr>
        <w:pStyle w:val="Heading3"/>
        <w:numPr>
          <w:ilvl w:val="2"/>
          <w:numId w:val="3"/>
        </w:numPr>
        <w:ind w:left="1224" w:right="0" w:hanging="504"/>
        <w:rPr/>
      </w:pPr>
      <w:bookmarkStart w:id="22" w:name="_Toc54646405"/>
      <w:r>
        <w:rPr>
          <w:rFonts w:eastAsia="Calibri" w:cs="Times New Roman"/>
          <w:b/>
          <w:color w:val="auto"/>
          <w:kern w:val="0"/>
          <w:sz w:val="24"/>
          <w:szCs w:val="24"/>
          <w:lang w:val="ru-RU" w:eastAsia="x-none" w:bidi="ar-SA"/>
        </w:rPr>
        <w:t>Требования</w:t>
      </w:r>
      <w:r>
        <w:rPr>
          <w:b/>
          <w:bCs/>
          <w:lang w:val="ru-RU"/>
        </w:rPr>
        <w:t xml:space="preserve"> к перечню и объемам </w:t>
      </w:r>
      <w:bookmarkEnd w:id="22"/>
      <w:r>
        <w:rPr>
          <w:b/>
          <w:bCs/>
          <w:lang w:val="ru-RU"/>
        </w:rPr>
        <w:t>услуг</w:t>
      </w:r>
    </w:p>
    <w:p>
      <w:pPr>
        <w:pStyle w:val="Heading3"/>
        <w:numPr>
          <w:ilvl w:val="0"/>
        </w:numPr>
        <w:ind w:left="0" w:right="0" w:firstLine="680"/>
        <w:rPr/>
      </w:pPr>
      <w:bookmarkStart w:id="23" w:name="_Toc54646406"/>
      <w:bookmarkStart w:id="24" w:name="_Toc51339695"/>
      <w:r>
        <w:rPr>
          <w:b/>
          <w:bCs/>
          <w:sz w:val="24"/>
          <w:szCs w:val="24"/>
        </w:rPr>
        <w:t xml:space="preserve">Таблица </w:t>
      </w:r>
      <w:r>
        <w:rPr>
          <w:b/>
          <w:bCs/>
          <w:sz w:val="24"/>
          <w:szCs w:val="24"/>
          <w:lang w:val="ru-RU"/>
        </w:rPr>
        <w:t>2.</w:t>
      </w:r>
      <w:r>
        <w:rPr>
          <w:b/>
          <w:bCs/>
          <w:sz w:val="24"/>
          <w:szCs w:val="24"/>
        </w:rPr>
        <w:t xml:space="preserve"> </w:t>
      </w:r>
      <w:r>
        <w:rPr>
          <w:rFonts w:eastAsia="Calibri" w:cs="Times New Roman"/>
          <w:b/>
          <w:bCs/>
          <w:color w:val="auto"/>
          <w:kern w:val="0"/>
          <w:sz w:val="24"/>
          <w:szCs w:val="24"/>
          <w:lang w:val="ru-RU" w:eastAsia="x-none" w:bidi="ar-SA"/>
        </w:rPr>
        <w:t>Перечень</w:t>
      </w:r>
      <w:r>
        <w:rPr>
          <w:b/>
          <w:bCs/>
          <w:sz w:val="24"/>
          <w:szCs w:val="24"/>
          <w:lang w:val="ru-RU"/>
        </w:rPr>
        <w:t xml:space="preserve"> </w:t>
      </w:r>
      <w:bookmarkEnd w:id="24"/>
      <w:r>
        <w:rPr>
          <w:b/>
          <w:bCs/>
          <w:sz w:val="24"/>
          <w:szCs w:val="24"/>
          <w:lang w:val="ru-RU"/>
        </w:rPr>
        <w:t xml:space="preserve">и объем </w:t>
      </w:r>
      <w:bookmarkEnd w:id="23"/>
      <w:r>
        <w:rPr>
          <w:b/>
          <w:bCs/>
          <w:sz w:val="24"/>
          <w:szCs w:val="24"/>
          <w:lang w:val="ru-RU"/>
        </w:rPr>
        <w:t>оказываемых услуг</w:t>
      </w:r>
    </w:p>
    <w:tbl>
      <w:tblPr>
        <w:tblW w:w="9810" w:type="dxa"/>
        <w:jc w:val="left"/>
        <w:tblInd w:w="221" w:type="dxa"/>
        <w:tblLayout w:type="fixed"/>
        <w:tblCellMar>
          <w:top w:w="0" w:type="dxa"/>
          <w:left w:w="108" w:type="dxa"/>
          <w:bottom w:w="0" w:type="dxa"/>
          <w:right w:w="108" w:type="dxa"/>
        </w:tblCellMar>
      </w:tblPr>
      <w:tblGrid>
        <w:gridCol w:w="491"/>
        <w:gridCol w:w="2892"/>
        <w:gridCol w:w="1200"/>
        <w:gridCol w:w="1351"/>
        <w:gridCol w:w="2267"/>
        <w:gridCol w:w="1608"/>
      </w:tblGrid>
      <w:tr>
        <w:trPr/>
        <w:tc>
          <w:tcPr>
            <w:tcW w:w="491"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sz w:val="22"/>
                <w:szCs w:val="22"/>
              </w:rPr>
            </w:pPr>
            <w:r>
              <w:rPr>
                <w:b/>
                <w:bCs/>
                <w:sz w:val="22"/>
                <w:szCs w:val="22"/>
              </w:rPr>
              <w:t>№</w:t>
            </w:r>
          </w:p>
          <w:p>
            <w:pPr>
              <w:pStyle w:val="Normal"/>
              <w:keepNext w:val="true"/>
              <w:widowControl w:val="false"/>
              <w:suppressAutoHyphens w:val="true"/>
              <w:jc w:val="center"/>
              <w:rPr>
                <w:sz w:val="22"/>
                <w:szCs w:val="22"/>
              </w:rPr>
            </w:pPr>
            <w:r>
              <w:rPr>
                <w:b/>
                <w:bCs/>
                <w:sz w:val="22"/>
                <w:szCs w:val="22"/>
              </w:rPr>
              <w:t>п/п</w:t>
            </w:r>
          </w:p>
        </w:tc>
        <w:tc>
          <w:tcPr>
            <w:tcW w:w="2892"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b/>
                <w:bCs/>
                <w:sz w:val="22"/>
                <w:szCs w:val="22"/>
              </w:rPr>
            </w:pPr>
            <w:r>
              <w:rPr>
                <w:b/>
                <w:bCs/>
                <w:sz w:val="22"/>
                <w:szCs w:val="22"/>
              </w:rPr>
              <w:t>Наименование услуг / этапа услуг</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b/>
                <w:bCs/>
                <w:sz w:val="22"/>
                <w:szCs w:val="22"/>
              </w:rPr>
            </w:pPr>
            <w:r>
              <w:rPr>
                <w:b/>
                <w:bCs/>
                <w:sz w:val="22"/>
                <w:szCs w:val="22"/>
              </w:rPr>
              <w:t>Единица измерения</w:t>
            </w:r>
          </w:p>
        </w:tc>
        <w:tc>
          <w:tcPr>
            <w:tcW w:w="1351" w:type="dxa"/>
            <w:tcBorders>
              <w:top w:val="single" w:sz="4" w:space="0" w:color="000000"/>
              <w:left w:val="single" w:sz="4" w:space="0" w:color="000000"/>
              <w:bottom w:val="single" w:sz="4" w:space="0" w:color="000000"/>
            </w:tcBorders>
            <w:vAlign w:val="center"/>
          </w:tcPr>
          <w:p>
            <w:pPr>
              <w:pStyle w:val="Normal"/>
              <w:keepNext w:val="true"/>
              <w:widowControl w:val="false"/>
              <w:suppressAutoHyphens w:val="true"/>
              <w:jc w:val="center"/>
              <w:rPr>
                <w:b/>
                <w:bCs/>
                <w:sz w:val="22"/>
                <w:szCs w:val="22"/>
              </w:rPr>
            </w:pPr>
            <w:r>
              <w:rPr>
                <w:b/>
                <w:bCs/>
                <w:sz w:val="22"/>
                <w:szCs w:val="22"/>
              </w:rPr>
              <w:t>Количество</w:t>
            </w:r>
          </w:p>
        </w:tc>
        <w:tc>
          <w:tcPr>
            <w:tcW w:w="2267" w:type="dxa"/>
            <w:tcBorders>
              <w:top w:val="single" w:sz="4" w:space="0" w:color="000000"/>
              <w:left w:val="single" w:sz="4" w:space="0" w:color="000000"/>
              <w:bottom w:val="single" w:sz="4" w:space="0" w:color="000000"/>
            </w:tcBorders>
            <w:vAlign w:val="center"/>
          </w:tcPr>
          <w:p>
            <w:pPr>
              <w:pStyle w:val="Normal"/>
              <w:keepNext w:val="true"/>
              <w:widowControl w:val="false"/>
              <w:suppressAutoHyphens w:val="true"/>
              <w:jc w:val="center"/>
              <w:rPr>
                <w:b/>
                <w:bCs/>
                <w:sz w:val="22"/>
                <w:szCs w:val="22"/>
              </w:rPr>
            </w:pPr>
            <w:r>
              <w:rPr>
                <w:b/>
                <w:bCs/>
                <w:sz w:val="22"/>
                <w:szCs w:val="22"/>
              </w:rPr>
              <w:t>Периодичность</w:t>
            </w:r>
          </w:p>
        </w:tc>
        <w:tc>
          <w:tcPr>
            <w:tcW w:w="1608"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b/>
                <w:bCs/>
                <w:sz w:val="22"/>
                <w:szCs w:val="22"/>
              </w:rPr>
            </w:pPr>
            <w:r>
              <w:rPr>
                <w:b/>
                <w:bCs/>
                <w:sz w:val="22"/>
                <w:szCs w:val="22"/>
              </w:rPr>
              <w:t>Общий объем, м2*</w:t>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sz w:val="22"/>
                <w:szCs w:val="22"/>
              </w:rPr>
            </w:pPr>
            <w:r>
              <w:rPr>
                <w:b/>
                <w:bCs/>
                <w:sz w:val="22"/>
                <w:szCs w:val="22"/>
              </w:rPr>
              <w:t>1</w:t>
            </w:r>
          </w:p>
        </w:tc>
        <w:tc>
          <w:tcPr>
            <w:tcW w:w="289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sz w:val="22"/>
                <w:szCs w:val="22"/>
              </w:rPr>
            </w:pPr>
            <w:r>
              <w:rPr>
                <w:b/>
                <w:bCs/>
                <w:sz w:val="22"/>
                <w:szCs w:val="22"/>
              </w:rPr>
              <w:t>2</w:t>
            </w:r>
          </w:p>
        </w:tc>
        <w:tc>
          <w:tcPr>
            <w:tcW w:w="12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sz w:val="22"/>
                <w:szCs w:val="22"/>
              </w:rPr>
            </w:pPr>
            <w:r>
              <w:rPr>
                <w:b/>
                <w:bCs/>
                <w:sz w:val="22"/>
                <w:szCs w:val="22"/>
              </w:rPr>
              <w:t>3</w:t>
            </w:r>
          </w:p>
        </w:tc>
        <w:tc>
          <w:tcPr>
            <w:tcW w:w="1351" w:type="dxa"/>
            <w:tcBorders>
              <w:top w:val="single" w:sz="4" w:space="0" w:color="000000"/>
              <w:left w:val="single" w:sz="4" w:space="0" w:color="000000"/>
              <w:bottom w:val="single" w:sz="4" w:space="0" w:color="000000"/>
            </w:tcBorders>
          </w:tcPr>
          <w:p>
            <w:pPr>
              <w:pStyle w:val="Normal"/>
              <w:widowControl w:val="false"/>
              <w:suppressAutoHyphens w:val="true"/>
              <w:jc w:val="center"/>
              <w:rPr>
                <w:sz w:val="22"/>
                <w:szCs w:val="22"/>
              </w:rPr>
            </w:pPr>
            <w:r>
              <w:rPr>
                <w:b/>
                <w:bCs/>
                <w:sz w:val="22"/>
                <w:szCs w:val="22"/>
              </w:rPr>
              <w:t>4</w:t>
            </w:r>
          </w:p>
        </w:tc>
        <w:tc>
          <w:tcPr>
            <w:tcW w:w="2267" w:type="dxa"/>
            <w:tcBorders>
              <w:top w:val="single" w:sz="4" w:space="0" w:color="000000"/>
              <w:left w:val="single" w:sz="4" w:space="0" w:color="000000"/>
              <w:bottom w:val="single" w:sz="4" w:space="0" w:color="000000"/>
            </w:tcBorders>
          </w:tcPr>
          <w:p>
            <w:pPr>
              <w:pStyle w:val="Normal"/>
              <w:widowControl w:val="false"/>
              <w:suppressAutoHyphens w:val="true"/>
              <w:jc w:val="center"/>
              <w:rPr>
                <w:b/>
                <w:bCs/>
                <w:sz w:val="22"/>
                <w:szCs w:val="22"/>
              </w:rPr>
            </w:pPr>
            <w:r>
              <w:rPr>
                <w:b/>
                <w:bCs/>
                <w:sz w:val="22"/>
                <w:szCs w:val="22"/>
              </w:rPr>
              <w:t>5</w:t>
            </w:r>
          </w:p>
        </w:tc>
        <w:tc>
          <w:tcPr>
            <w:tcW w:w="160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bCs/>
                <w:sz w:val="22"/>
                <w:szCs w:val="22"/>
              </w:rPr>
            </w:pPr>
            <w:r>
              <w:rPr>
                <w:b/>
                <w:bCs/>
                <w:sz w:val="22"/>
                <w:szCs w:val="22"/>
              </w:rPr>
              <w:t>6</w:t>
            </w:r>
          </w:p>
        </w:tc>
      </w:tr>
      <w:tr>
        <w:trPr>
          <w:trHeight w:val="477" w:hRule="atLeast"/>
        </w:trPr>
        <w:tc>
          <w:tcPr>
            <w:tcW w:w="491" w:type="dxa"/>
            <w:tcBorders>
              <w:left w:val="single" w:sz="4" w:space="0" w:color="000000"/>
              <w:bottom w:val="single" w:sz="4" w:space="0" w:color="000000"/>
              <w:right w:val="single" w:sz="4" w:space="0" w:color="000000"/>
            </w:tcBorders>
            <w:vAlign w:val="center"/>
          </w:tcPr>
          <w:p>
            <w:pPr>
              <w:pStyle w:val="Normal"/>
              <w:widowControl w:val="false"/>
              <w:suppressAutoHyphens w:val="true"/>
              <w:jc w:val="center"/>
              <w:rPr>
                <w:sz w:val="22"/>
                <w:szCs w:val="22"/>
              </w:rPr>
            </w:pPr>
            <w:r>
              <w:rPr>
                <w:sz w:val="22"/>
                <w:szCs w:val="22"/>
              </w:rPr>
              <w:t>1.</w:t>
            </w:r>
          </w:p>
        </w:tc>
        <w:tc>
          <w:tcPr>
            <w:tcW w:w="2892" w:type="dxa"/>
            <w:tcBorders>
              <w:left w:val="single" w:sz="4" w:space="0" w:color="000000"/>
              <w:bottom w:val="single" w:sz="4" w:space="0" w:color="000000"/>
              <w:right w:val="single" w:sz="4" w:space="0" w:color="000000"/>
            </w:tcBorders>
            <w:vAlign w:val="center"/>
          </w:tcPr>
          <w:p>
            <w:pPr>
              <w:pStyle w:val="Normal"/>
              <w:widowControl w:val="false"/>
              <w:bidi w:val="0"/>
              <w:jc w:val="left"/>
              <w:rPr>
                <w:color w:val="000000"/>
              </w:rPr>
            </w:pPr>
            <w:r>
              <w:rPr>
                <w:b w:val="false"/>
                <w:i w:val="false"/>
                <w:strike w:val="false"/>
                <w:dstrike w:val="false"/>
                <w:outline w:val="false"/>
                <w:shadow w:val="false"/>
                <w:color w:val="000000"/>
                <w:sz w:val="21"/>
                <w:u w:val="none"/>
                <w:em w:val="none"/>
              </w:rPr>
              <w:t>ОКПД2 81.22.12.000 Оказание услуг по очистке кровли от снега и наледи офисного здания по адресу: г. Москва, ул. Волоколамское шоссе, д.2</w:t>
            </w:r>
          </w:p>
          <w:p>
            <w:pPr>
              <w:pStyle w:val="Normal"/>
              <w:widowControl w:val="false"/>
              <w:rPr>
                <w:sz w:val="22"/>
                <w:szCs w:val="22"/>
              </w:rPr>
            </w:pPr>
            <w:r>
              <w:rPr>
                <w:sz w:val="22"/>
                <w:szCs w:val="22"/>
              </w:rPr>
            </w:r>
          </w:p>
        </w:tc>
        <w:tc>
          <w:tcPr>
            <w:tcW w:w="1200" w:type="dxa"/>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 w:val="22"/>
                <w:szCs w:val="22"/>
              </w:rPr>
            </w:pPr>
            <w:r>
              <w:rPr>
                <w:sz w:val="22"/>
                <w:szCs w:val="22"/>
              </w:rPr>
              <w:t>м2</w:t>
            </w:r>
          </w:p>
        </w:tc>
        <w:tc>
          <w:tcPr>
            <w:tcW w:w="1351" w:type="dxa"/>
            <w:tcBorders>
              <w:left w:val="single" w:sz="4" w:space="0" w:color="000000"/>
              <w:bottom w:val="single" w:sz="4" w:space="0" w:color="000000"/>
            </w:tcBorders>
            <w:vAlign w:val="center"/>
          </w:tcPr>
          <w:p>
            <w:pPr>
              <w:pStyle w:val="Normal"/>
              <w:widowControl w:val="false"/>
              <w:spacing w:lineRule="auto" w:line="240" w:before="0" w:after="0"/>
              <w:jc w:val="center"/>
              <w:rPr>
                <w:sz w:val="22"/>
                <w:szCs w:val="22"/>
              </w:rPr>
            </w:pPr>
            <w:r>
              <w:rPr>
                <w:sz w:val="22"/>
                <w:szCs w:val="22"/>
              </w:rPr>
              <w:t>1387,00</w:t>
            </w:r>
          </w:p>
        </w:tc>
        <w:tc>
          <w:tcPr>
            <w:tcW w:w="2267" w:type="dxa"/>
            <w:tcBorders>
              <w:left w:val="single" w:sz="4" w:space="0" w:color="000000"/>
              <w:bottom w:val="single" w:sz="4" w:space="0" w:color="000000"/>
            </w:tcBorders>
            <w:vAlign w:val="center"/>
          </w:tcPr>
          <w:p>
            <w:pPr>
              <w:pStyle w:val="Normal"/>
              <w:widowControl w:val="false"/>
              <w:spacing w:lineRule="auto" w:line="240" w:before="0" w:after="0"/>
              <w:jc w:val="center"/>
              <w:rPr>
                <w:sz w:val="22"/>
                <w:szCs w:val="22"/>
              </w:rPr>
            </w:pPr>
            <w:r>
              <w:rPr>
                <w:sz w:val="22"/>
                <w:szCs w:val="22"/>
              </w:rPr>
              <w:t>По мере необходимости по заявкам Заказчика в зимний период</w:t>
            </w:r>
          </w:p>
        </w:tc>
        <w:tc>
          <w:tcPr>
            <w:tcW w:w="1608" w:type="dxa"/>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 w:val="22"/>
                <w:szCs w:val="22"/>
              </w:rPr>
            </w:pPr>
            <w:r>
              <w:rPr>
                <w:sz w:val="22"/>
                <w:szCs w:val="22"/>
              </w:rPr>
              <w:t>9709,00</w:t>
            </w:r>
          </w:p>
        </w:tc>
      </w:tr>
    </w:tbl>
    <w:p>
      <w:pPr>
        <w:pStyle w:val="Heading3"/>
        <w:numPr>
          <w:ilvl w:val="0"/>
        </w:numPr>
        <w:ind w:left="0" w:right="0" w:firstLine="680"/>
        <w:rPr>
          <w:rFonts w:ascii="Times New Roman" w:hAnsi="Times New Roman" w:eastAsia="Calibri" w:cs="Times New Roman"/>
          <w:b w:val="false"/>
          <w:bCs w:val="false"/>
          <w:i w:val="false"/>
          <w:i w:val="false"/>
          <w:iCs w:val="false"/>
          <w:color w:val="auto"/>
          <w:kern w:val="0"/>
          <w:sz w:val="24"/>
          <w:szCs w:val="24"/>
          <w:lang w:val="ru-RU" w:eastAsia="x-none" w:bidi="ar-SA"/>
        </w:rPr>
      </w:pPr>
      <w:r>
        <w:rPr>
          <w:rFonts w:eastAsia="Calibri" w:cs="Times New Roman"/>
          <w:b w:val="false"/>
          <w:bCs w:val="false"/>
          <w:i w:val="false"/>
          <w:iCs w:val="false"/>
          <w:color w:val="auto"/>
          <w:kern w:val="0"/>
          <w:sz w:val="24"/>
          <w:szCs w:val="24"/>
          <w:lang w:val="ru-RU" w:eastAsia="x-none" w:bidi="ar-SA"/>
        </w:rPr>
        <w:t>*</w:t>
      </w:r>
      <w:r>
        <w:rPr>
          <w:rFonts w:eastAsia="Calibri" w:cs="Times New Roman"/>
          <w:b w:val="false"/>
          <w:bCs w:val="false"/>
          <w:i/>
          <w:iCs/>
          <w:color w:val="auto"/>
          <w:kern w:val="0"/>
          <w:sz w:val="22"/>
          <w:szCs w:val="22"/>
          <w:lang w:val="ru-RU" w:eastAsia="x-none" w:bidi="ar-SA"/>
        </w:rPr>
        <w:t>Информация об объеме услуг имеет информационно-справочный характер и приведена исходя из планируемого к приобретению Заказчиком объема услуг. Указание объема услуг не налагает на Заказчика обязательств по приобретению услуг в полном объёме, указанном в настоящих Технических требованиях</w:t>
      </w:r>
      <w:r>
        <w:rPr>
          <w:rFonts w:eastAsia="Calibri" w:cs="Times New Roman"/>
          <w:b w:val="false"/>
          <w:bCs w:val="false"/>
          <w:i w:val="false"/>
          <w:iCs w:val="false"/>
          <w:color w:val="auto"/>
          <w:kern w:val="0"/>
          <w:sz w:val="24"/>
          <w:szCs w:val="24"/>
          <w:lang w:val="ru-RU" w:eastAsia="x-none" w:bidi="ar-SA"/>
        </w:rPr>
        <w:t>.</w:t>
      </w:r>
    </w:p>
    <w:p>
      <w:pPr>
        <w:pStyle w:val="Heading3"/>
        <w:keepNext w:val="true"/>
        <w:widowControl/>
        <w:numPr>
          <w:ilvl w:val="2"/>
          <w:numId w:val="3"/>
        </w:numPr>
        <w:suppressAutoHyphens w:val="true"/>
        <w:overflowPunct w:val="false"/>
        <w:bidi w:val="0"/>
        <w:spacing w:lineRule="auto" w:line="240" w:before="120" w:after="60"/>
        <w:ind w:left="0" w:right="0" w:firstLine="680"/>
        <w:jc w:val="left"/>
        <w:rPr>
          <w:rFonts w:ascii="Times New Roman" w:hAnsi="Times New Roman" w:eastAsia="Calibri" w:cs="Times New Roman"/>
          <w:i w:val="false"/>
          <w:i w:val="false"/>
          <w:iCs w:val="false"/>
          <w:color w:val="auto"/>
          <w:kern w:val="0"/>
          <w:sz w:val="24"/>
          <w:szCs w:val="24"/>
          <w:lang w:val="ru-RU" w:eastAsia="x-none" w:bidi="ar-SA"/>
        </w:rPr>
      </w:pPr>
      <w:bookmarkStart w:id="25" w:name="__RefHeading___Toc3383_1975687802"/>
      <w:bookmarkStart w:id="26" w:name="_Toc54646407"/>
      <w:bookmarkStart w:id="27" w:name="_Toc51339696"/>
      <w:bookmarkEnd w:id="25"/>
      <w:r>
        <w:rPr>
          <w:rFonts w:eastAsia="Calibri" w:cs="Times New Roman"/>
          <w:i w:val="false"/>
          <w:iCs w:val="false"/>
          <w:color w:val="auto"/>
          <w:kern w:val="0"/>
          <w:sz w:val="24"/>
          <w:szCs w:val="24"/>
          <w:lang w:val="ru-RU" w:eastAsia="x-none" w:bidi="ar-SA"/>
        </w:rPr>
        <w:t xml:space="preserve">Требования </w:t>
      </w:r>
      <w:bookmarkEnd w:id="27"/>
      <w:r>
        <w:rPr>
          <w:rFonts w:eastAsia="Calibri" w:cs="Times New Roman"/>
          <w:i w:val="false"/>
          <w:iCs w:val="false"/>
          <w:color w:val="auto"/>
          <w:kern w:val="0"/>
          <w:sz w:val="24"/>
          <w:szCs w:val="24"/>
          <w:lang w:val="ru-RU" w:eastAsia="x-none" w:bidi="ar-SA"/>
        </w:rPr>
        <w:t xml:space="preserve">к срокам </w:t>
      </w:r>
      <w:bookmarkEnd w:id="26"/>
      <w:r>
        <w:rPr>
          <w:rFonts w:eastAsia="Calibri" w:cs="Times New Roman"/>
          <w:i w:val="false"/>
          <w:iCs w:val="false"/>
          <w:color w:val="auto"/>
          <w:kern w:val="0"/>
          <w:sz w:val="24"/>
          <w:szCs w:val="24"/>
          <w:lang w:val="ru-RU" w:eastAsia="x-none" w:bidi="ar-SA"/>
        </w:rPr>
        <w:t>оказания услуг</w:t>
      </w:r>
    </w:p>
    <w:p>
      <w:pPr>
        <w:pStyle w:val="Heading1"/>
        <w:keepLines/>
        <w:numPr>
          <w:ilvl w:val="0"/>
          <w:numId w:val="0"/>
        </w:numPr>
        <w:spacing w:before="240" w:after="60"/>
        <w:ind w:left="0" w:right="0" w:hanging="0"/>
        <w:rPr>
          <w:sz w:val="24"/>
          <w:szCs w:val="24"/>
          <w:lang w:val="ru-RU"/>
        </w:rPr>
      </w:pPr>
      <w:bookmarkStart w:id="28" w:name="__RefHeading___Toc3385_1975687802"/>
      <w:bookmarkStart w:id="29" w:name="_Toc54646408"/>
      <w:bookmarkStart w:id="30" w:name="_Toc51339697"/>
      <w:bookmarkStart w:id="31" w:name="_Toc50125127"/>
      <w:bookmarkStart w:id="32" w:name="_Toc50125126_Копия_1"/>
      <w:bookmarkEnd w:id="28"/>
      <w:bookmarkEnd w:id="32"/>
      <w:r>
        <w:rPr>
          <w:sz w:val="24"/>
          <w:szCs w:val="24"/>
        </w:rPr>
        <w:t xml:space="preserve">Таблица </w:t>
      </w:r>
      <w:r>
        <w:rPr>
          <w:sz w:val="24"/>
          <w:szCs w:val="24"/>
          <w:lang w:val="ru-RU"/>
        </w:rPr>
        <w:t>3</w:t>
      </w:r>
      <w:r>
        <w:rPr>
          <w:sz w:val="24"/>
          <w:szCs w:val="24"/>
        </w:rPr>
        <w:t xml:space="preserve">. </w:t>
      </w:r>
      <w:bookmarkStart w:id="33" w:name="_Hlk50465284"/>
      <w:r>
        <w:rPr>
          <w:sz w:val="24"/>
          <w:szCs w:val="24"/>
        </w:rPr>
        <w:t xml:space="preserve">Требования по срокам </w:t>
      </w:r>
      <w:bookmarkEnd w:id="29"/>
      <w:bookmarkEnd w:id="30"/>
      <w:bookmarkEnd w:id="31"/>
      <w:bookmarkEnd w:id="33"/>
      <w:r>
        <w:rPr>
          <w:sz w:val="24"/>
          <w:szCs w:val="24"/>
          <w:lang w:val="ru-RU"/>
        </w:rPr>
        <w:t>оказания услуг</w:t>
      </w:r>
    </w:p>
    <w:tbl>
      <w:tblPr>
        <w:tblW w:w="9918" w:type="dxa"/>
        <w:jc w:val="left"/>
        <w:tblInd w:w="113" w:type="dxa"/>
        <w:tblLayout w:type="fixed"/>
        <w:tblCellMar>
          <w:top w:w="0" w:type="dxa"/>
          <w:left w:w="108" w:type="dxa"/>
          <w:bottom w:w="0" w:type="dxa"/>
          <w:right w:w="108" w:type="dxa"/>
        </w:tblCellMar>
      </w:tblPr>
      <w:tblGrid>
        <w:gridCol w:w="704"/>
        <w:gridCol w:w="4111"/>
        <w:gridCol w:w="2563"/>
        <w:gridCol w:w="2539"/>
      </w:tblGrid>
      <w:tr>
        <w:trPr/>
        <w:tc>
          <w:tcPr>
            <w:tcW w:w="7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b/>
                <w:bCs/>
                <w:sz w:val="22"/>
                <w:szCs w:val="22"/>
              </w:rPr>
              <w:t xml:space="preserve">№ </w:t>
            </w:r>
            <w:r>
              <w:rPr>
                <w:b/>
                <w:bCs/>
                <w:sz w:val="22"/>
                <w:szCs w:val="22"/>
              </w:rPr>
              <w:t>п/п</w:t>
            </w:r>
          </w:p>
        </w:tc>
        <w:tc>
          <w:tcPr>
            <w:tcW w:w="41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b/>
                <w:bCs/>
                <w:sz w:val="22"/>
                <w:szCs w:val="22"/>
              </w:rPr>
              <w:t>Наименование услуг/ этапа услуг</w:t>
            </w:r>
          </w:p>
        </w:tc>
        <w:tc>
          <w:tcPr>
            <w:tcW w:w="25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bCs/>
                <w:sz w:val="22"/>
                <w:szCs w:val="22"/>
              </w:rPr>
              <w:t>Требования к началу срока оказания услуг/ этапа услуг</w:t>
            </w:r>
          </w:p>
        </w:tc>
        <w:tc>
          <w:tcPr>
            <w:tcW w:w="25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b/>
                <w:bCs/>
                <w:sz w:val="22"/>
                <w:szCs w:val="22"/>
              </w:rPr>
              <w:t>Требования к окончанию срока оказания услуг / этапа услуг</w:t>
            </w:r>
          </w:p>
        </w:tc>
      </w:tr>
      <w:tr>
        <w:trPr/>
        <w:tc>
          <w:tcPr>
            <w:tcW w:w="70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bCs/>
                <w:sz w:val="22"/>
                <w:szCs w:val="22"/>
              </w:rPr>
              <w:t>1</w:t>
            </w:r>
          </w:p>
        </w:tc>
        <w:tc>
          <w:tcPr>
            <w:tcW w:w="411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bCs/>
                <w:sz w:val="22"/>
                <w:szCs w:val="22"/>
              </w:rPr>
              <w:t>2</w:t>
            </w:r>
          </w:p>
        </w:tc>
        <w:tc>
          <w:tcPr>
            <w:tcW w:w="2563" w:type="dxa"/>
            <w:tcBorders>
              <w:top w:val="single" w:sz="4" w:space="0" w:color="000000"/>
              <w:left w:val="single" w:sz="4" w:space="0" w:color="000000"/>
              <w:bottom w:val="single" w:sz="4" w:space="0" w:color="000000"/>
              <w:right w:val="single" w:sz="4" w:space="0" w:color="000000"/>
            </w:tcBorders>
          </w:tcPr>
          <w:p>
            <w:pPr>
              <w:pStyle w:val="Style29"/>
              <w:keepNext w:val="false"/>
              <w:widowControl w:val="false"/>
              <w:spacing w:before="0" w:after="0"/>
              <w:ind w:left="0" w:right="0" w:hanging="0"/>
              <w:jc w:val="center"/>
              <w:rPr>
                <w:sz w:val="22"/>
                <w:szCs w:val="22"/>
              </w:rPr>
            </w:pPr>
            <w:r>
              <w:rPr>
                <w:b/>
                <w:bCs/>
                <w:sz w:val="22"/>
                <w:szCs w:val="22"/>
              </w:rPr>
              <w:t>3</w:t>
            </w:r>
          </w:p>
        </w:tc>
        <w:tc>
          <w:tcPr>
            <w:tcW w:w="2539" w:type="dxa"/>
            <w:tcBorders>
              <w:top w:val="single" w:sz="4" w:space="0" w:color="000000"/>
              <w:left w:val="single" w:sz="4" w:space="0" w:color="000000"/>
              <w:bottom w:val="single" w:sz="4" w:space="0" w:color="000000"/>
              <w:right w:val="single" w:sz="4" w:space="0" w:color="000000"/>
            </w:tcBorders>
          </w:tcPr>
          <w:p>
            <w:pPr>
              <w:pStyle w:val="Style29"/>
              <w:keepNext w:val="false"/>
              <w:widowControl w:val="false"/>
              <w:spacing w:before="0" w:after="0"/>
              <w:ind w:left="0" w:right="0" w:hanging="0"/>
              <w:jc w:val="center"/>
              <w:rPr>
                <w:sz w:val="22"/>
                <w:szCs w:val="22"/>
              </w:rPr>
            </w:pPr>
            <w:bookmarkStart w:id="34" w:name="_Toc46743510_Копия_1"/>
            <w:r>
              <w:rPr>
                <w:b/>
                <w:bCs/>
                <w:sz w:val="22"/>
                <w:szCs w:val="22"/>
              </w:rPr>
              <w:t>4</w:t>
            </w:r>
            <w:bookmarkEnd w:id="34"/>
          </w:p>
        </w:tc>
      </w:tr>
      <w:tr>
        <w:trPr/>
        <w:tc>
          <w:tcPr>
            <w:tcW w:w="70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ind w:left="0" w:right="0" w:hanging="0"/>
              <w:jc w:val="center"/>
              <w:rPr/>
            </w:pPr>
            <w:r>
              <w:rPr>
                <w:rStyle w:val="Style8"/>
                <w:rFonts w:eastAsia="Times New Roman" w:cs="Times New Roman"/>
                <w:b w:val="false"/>
                <w:bCs/>
                <w:i w:val="false"/>
                <w:iCs w:val="false"/>
                <w:color w:val="000000"/>
                <w:kern w:val="0"/>
                <w:sz w:val="22"/>
                <w:szCs w:val="22"/>
                <w:shd w:fill="auto" w:val="clear"/>
                <w:lang w:val="ru-RU" w:eastAsia="ru-RU" w:bidi="ar-SA"/>
              </w:rPr>
              <w:t>1</w:t>
            </w:r>
          </w:p>
        </w:tc>
        <w:tc>
          <w:tcPr>
            <w:tcW w:w="41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pPr>
            <w:r>
              <w:rPr>
                <w:rStyle w:val="Style8"/>
                <w:rFonts w:eastAsia="Times New Roman" w:cs="Times New Roman"/>
                <w:b w:val="false"/>
                <w:bCs/>
                <w:i w:val="false"/>
                <w:iCs w:val="false"/>
                <w:color w:val="000000"/>
                <w:kern w:val="0"/>
                <w:sz w:val="22"/>
                <w:szCs w:val="22"/>
                <w:shd w:fill="auto" w:val="clear"/>
                <w:lang w:val="ru-RU" w:eastAsia="ru-RU" w:bidi="ar-SA"/>
              </w:rPr>
              <w:t>ОКПД2 81.22.12.000 Оказание услуг по очистке кровли от снега и наледи офисного здания по адресу: г. Москва, ул. Волоколамское шоссе, д.2</w:t>
            </w:r>
          </w:p>
        </w:tc>
        <w:tc>
          <w:tcPr>
            <w:tcW w:w="2563" w:type="dxa"/>
            <w:tcBorders>
              <w:top w:val="single" w:sz="4" w:space="0" w:color="000000"/>
              <w:left w:val="single" w:sz="4" w:space="0" w:color="000000"/>
              <w:bottom w:val="single" w:sz="4" w:space="0" w:color="000000"/>
            </w:tcBorders>
            <w:tcMar>
              <w:top w:w="55" w:type="dxa"/>
              <w:bottom w:w="55" w:type="dxa"/>
            </w:tcMar>
            <w:vAlign w:val="center"/>
          </w:tcPr>
          <w:p>
            <w:pPr>
              <w:pStyle w:val="Normal"/>
              <w:widowControl w:val="false"/>
              <w:ind w:left="0" w:right="0" w:firstLine="284"/>
              <w:jc w:val="center"/>
              <w:rPr>
                <w:sz w:val="22"/>
                <w:szCs w:val="22"/>
              </w:rPr>
            </w:pPr>
            <w:r>
              <w:rPr>
                <w:rFonts w:eastAsia="Times New Roman" w:cs="Times New Roman"/>
                <w:i w:val="false"/>
                <w:iCs w:val="false"/>
                <w:color w:val="000000"/>
                <w:kern w:val="0"/>
                <w:sz w:val="22"/>
                <w:szCs w:val="22"/>
                <w:shd w:fill="FFFFFF" w:val="clear"/>
                <w:lang w:val="ru-RU" w:eastAsia="ru-RU" w:bidi="ar-SA"/>
              </w:rPr>
              <w:t>С даты подписания договора</w:t>
            </w:r>
          </w:p>
        </w:tc>
        <w:tc>
          <w:tcPr>
            <w:tcW w:w="2539" w:type="dxa"/>
            <w:tcBorders>
              <w:top w:val="single" w:sz="4" w:space="0" w:color="000000"/>
              <w:left w:val="single" w:sz="4" w:space="0" w:color="000000"/>
              <w:bottom w:val="single" w:sz="4" w:space="0" w:color="000000"/>
              <w:right w:val="single" w:sz="4" w:space="0" w:color="000000"/>
            </w:tcBorders>
            <w:tcMar>
              <w:top w:w="55" w:type="dxa"/>
              <w:bottom w:w="55" w:type="dxa"/>
            </w:tcMar>
            <w:vAlign w:val="center"/>
          </w:tcPr>
          <w:p>
            <w:pPr>
              <w:pStyle w:val="Normal"/>
              <w:widowControl w:val="false"/>
              <w:jc w:val="center"/>
              <w:rPr>
                <w:sz w:val="22"/>
                <w:szCs w:val="22"/>
              </w:rPr>
            </w:pPr>
            <w:r>
              <w:rPr>
                <w:rFonts w:eastAsia="Times New Roman" w:cs="Times New Roman"/>
                <w:i w:val="false"/>
                <w:iCs w:val="false"/>
                <w:color w:val="000000"/>
                <w:kern w:val="0"/>
                <w:sz w:val="22"/>
                <w:szCs w:val="22"/>
                <w:shd w:fill="FFFFFF" w:val="clear"/>
                <w:lang w:val="ru-RU" w:eastAsia="ru-RU" w:bidi="ar-SA"/>
              </w:rPr>
              <w:t>31.12.2027</w:t>
            </w:r>
          </w:p>
        </w:tc>
      </w:tr>
    </w:tbl>
    <w:p>
      <w:pPr>
        <w:sectPr>
          <w:headerReference w:type="default" r:id="rId2"/>
          <w:headerReference w:type="first" r:id="rId3"/>
          <w:type w:val="nextPage"/>
          <w:pgSz w:w="11906" w:h="16838"/>
          <w:pgMar w:left="1134" w:right="851" w:gutter="0" w:header="680" w:top="1134" w:footer="0" w:bottom="992"/>
          <w:pgNumType w:fmt="decimal"/>
          <w:formProt w:val="false"/>
          <w:titlePg/>
          <w:textDirection w:val="lrTb"/>
          <w:docGrid w:type="default" w:linePitch="360" w:charSpace="0"/>
        </w:sectPr>
      </w:pPr>
    </w:p>
    <w:p>
      <w:pPr>
        <w:pStyle w:val="Normal"/>
        <w:ind w:left="0" w:right="0" w:hanging="0"/>
        <w:rPr/>
      </w:pPr>
      <w:r>
        <w:rPr/>
      </w:r>
    </w:p>
    <w:p>
      <w:pPr>
        <w:pStyle w:val="Heading4"/>
        <w:numPr>
          <w:ilvl w:val="1"/>
          <w:numId w:val="3"/>
        </w:numPr>
        <w:ind w:left="709" w:right="0" w:hanging="709"/>
        <w:rPr/>
      </w:pPr>
      <w:bookmarkStart w:id="35" w:name="_Toc54646410"/>
      <w:bookmarkStart w:id="36" w:name="_Toc51339698"/>
      <w:r>
        <w:rPr/>
        <w:t xml:space="preserve">Требования к </w:t>
      </w:r>
      <w:r>
        <w:rPr>
          <w:lang w:val="ru-RU"/>
        </w:rPr>
        <w:t>качеству услуг</w:t>
      </w:r>
    </w:p>
    <w:p>
      <w:pPr>
        <w:pStyle w:val="Heading4"/>
        <w:numPr>
          <w:ilvl w:val="0"/>
          <w:numId w:val="0"/>
        </w:numPr>
        <w:ind w:left="0" w:right="0" w:hanging="0"/>
        <w:rPr/>
      </w:pPr>
      <w:r>
        <w:rPr>
          <w:sz w:val="24"/>
          <w:szCs w:val="24"/>
        </w:rPr>
        <w:t>Таблица </w:t>
      </w:r>
      <w:r>
        <w:rPr>
          <w:sz w:val="24"/>
          <w:szCs w:val="24"/>
          <w:lang w:val="ru-RU"/>
        </w:rPr>
        <w:t>4</w:t>
      </w:r>
      <w:r>
        <w:rPr>
          <w:sz w:val="24"/>
          <w:szCs w:val="24"/>
        </w:rPr>
        <w:t xml:space="preserve">. Требования к </w:t>
      </w:r>
      <w:bookmarkEnd w:id="36"/>
      <w:r>
        <w:rPr>
          <w:sz w:val="24"/>
          <w:szCs w:val="24"/>
          <w:lang w:val="ru-RU"/>
        </w:rPr>
        <w:t xml:space="preserve">качеству </w:t>
      </w:r>
      <w:bookmarkEnd w:id="35"/>
      <w:r>
        <w:rPr>
          <w:sz w:val="24"/>
          <w:szCs w:val="24"/>
          <w:lang w:val="ru-RU"/>
        </w:rPr>
        <w:t>услуг</w:t>
      </w:r>
    </w:p>
    <w:p>
      <w:pPr>
        <w:pStyle w:val="Normal"/>
        <w:rPr>
          <w:b w:val="false"/>
        </w:rPr>
      </w:pPr>
      <w:r>
        <w:rPr>
          <w:b/>
          <w:bCs/>
          <w:sz w:val="24"/>
          <w:szCs w:val="24"/>
        </w:rPr>
        <w:t xml:space="preserve">Наименование услуг/этапа услуг: </w:t>
      </w:r>
      <w:r>
        <w:rPr>
          <w:rStyle w:val="Style8"/>
          <w:b w:val="false"/>
          <w:bCs/>
          <w:i w:val="false"/>
          <w:iCs w:val="false"/>
          <w:sz w:val="24"/>
          <w:szCs w:val="24"/>
          <w:shd w:fill="FFFFFF" w:val="clear"/>
        </w:rPr>
        <w:t>ОКПД2 81.22.12.000 Оказание услуг по очистке кровли от снега и наледи офисного здания по адресу: г. Москва, ул. Волоколамское шоссе, д.2.</w:t>
      </w:r>
    </w:p>
    <w:tbl>
      <w:tblPr>
        <w:tblW w:w="14280" w:type="dxa"/>
        <w:jc w:val="left"/>
        <w:tblInd w:w="108" w:type="dxa"/>
        <w:tblLayout w:type="fixed"/>
        <w:tblCellMar>
          <w:top w:w="0" w:type="dxa"/>
          <w:left w:w="108" w:type="dxa"/>
          <w:bottom w:w="0" w:type="dxa"/>
          <w:right w:w="108" w:type="dxa"/>
        </w:tblCellMar>
      </w:tblPr>
      <w:tblGrid>
        <w:gridCol w:w="779"/>
        <w:gridCol w:w="3016"/>
        <w:gridCol w:w="3059"/>
        <w:gridCol w:w="3000"/>
        <w:gridCol w:w="2445"/>
        <w:gridCol w:w="1980"/>
      </w:tblGrid>
      <w:tr>
        <w:trPr>
          <w:trHeight w:val="20" w:hRule="atLeast"/>
        </w:trPr>
        <w:tc>
          <w:tcPr>
            <w:tcW w:w="77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eastAsia="Times New Roman" w:cs="Times New Roman"/>
                <w:b/>
                <w:bCs/>
                <w:kern w:val="0"/>
                <w:sz w:val="20"/>
                <w:szCs w:val="20"/>
                <w:lang w:val="ru-RU" w:eastAsia="ru-RU" w:bidi="ar-SA"/>
              </w:rPr>
            </w:pPr>
            <w:r>
              <w:rPr>
                <w:rFonts w:eastAsia="Times New Roman" w:cs="Times New Roman"/>
                <w:b/>
                <w:bCs/>
                <w:kern w:val="0"/>
                <w:sz w:val="20"/>
                <w:szCs w:val="20"/>
                <w:lang w:val="ru-RU" w:eastAsia="ru-RU" w:bidi="ar-SA"/>
              </w:rPr>
              <w:t xml:space="preserve">№ </w:t>
            </w:r>
            <w:r>
              <w:rPr>
                <w:rFonts w:eastAsia="Times New Roman" w:cs="Times New Roman"/>
                <w:b/>
                <w:bCs/>
                <w:kern w:val="0"/>
                <w:sz w:val="20"/>
                <w:szCs w:val="20"/>
                <w:lang w:val="ru-RU" w:eastAsia="ru-RU" w:bidi="ar-SA"/>
              </w:rPr>
              <w:t>п/п</w:t>
            </w:r>
          </w:p>
        </w:tc>
        <w:tc>
          <w:tcPr>
            <w:tcW w:w="301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eastAsia="Times New Roman" w:cs="Times New Roman"/>
                <w:b/>
                <w:bCs/>
                <w:kern w:val="0"/>
                <w:sz w:val="20"/>
                <w:szCs w:val="20"/>
                <w:lang w:val="ru-RU" w:eastAsia="ru-RU" w:bidi="ar-SA"/>
              </w:rPr>
            </w:pPr>
            <w:r>
              <w:rPr>
                <w:rFonts w:eastAsia="Times New Roman" w:cs="Times New Roman"/>
                <w:b/>
                <w:bCs/>
                <w:kern w:val="0"/>
                <w:sz w:val="20"/>
                <w:szCs w:val="20"/>
                <w:lang w:val="ru-RU" w:eastAsia="ru-RU" w:bidi="ar-SA"/>
              </w:rPr>
              <w:t>Наименование параметра</w:t>
            </w:r>
          </w:p>
        </w:tc>
        <w:tc>
          <w:tcPr>
            <w:tcW w:w="305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eastAsia="Times New Roman" w:cs="Times New Roman"/>
                <w:b/>
                <w:bCs/>
                <w:kern w:val="0"/>
                <w:sz w:val="20"/>
                <w:szCs w:val="20"/>
                <w:lang w:val="ru-RU" w:eastAsia="ru-RU" w:bidi="ar-SA"/>
              </w:rPr>
            </w:pPr>
            <w:r>
              <w:rPr>
                <w:rFonts w:eastAsia="Times New Roman" w:cs="Times New Roman"/>
                <w:b/>
                <w:bCs/>
                <w:kern w:val="0"/>
                <w:sz w:val="20"/>
                <w:szCs w:val="20"/>
                <w:lang w:val="ru-RU" w:eastAsia="ru-RU" w:bidi="ar-SA"/>
              </w:rPr>
              <w:t>Требование заказчика</w:t>
            </w:r>
          </w:p>
        </w:tc>
        <w:tc>
          <w:tcPr>
            <w:tcW w:w="5445" w:type="dxa"/>
            <w:gridSpan w:val="2"/>
            <w:tcBorders>
              <w:top w:val="single" w:sz="4" w:space="0" w:color="000000"/>
              <w:left w:val="single" w:sz="4" w:space="0" w:color="000000"/>
              <w:bottom w:val="single" w:sz="4" w:space="0" w:color="000000"/>
            </w:tcBorders>
            <w:vAlign w:val="center"/>
          </w:tcPr>
          <w:p>
            <w:pPr>
              <w:pStyle w:val="Normal"/>
              <w:widowControl w:val="false"/>
              <w:suppressAutoHyphens w:val="true"/>
              <w:spacing w:before="0" w:after="0"/>
              <w:jc w:val="center"/>
              <w:rPr>
                <w:rFonts w:eastAsia="Times New Roman" w:cs="Times New Roman"/>
                <w:b/>
                <w:bCs/>
                <w:kern w:val="0"/>
                <w:sz w:val="20"/>
                <w:szCs w:val="20"/>
                <w:lang w:val="ru-RU" w:eastAsia="ru-RU" w:bidi="ar-SA"/>
              </w:rPr>
            </w:pPr>
            <w:r>
              <w:rPr>
                <w:rFonts w:eastAsia="Times New Roman" w:cs="Times New Roman"/>
                <w:b/>
                <w:bCs/>
                <w:kern w:val="0"/>
                <w:sz w:val="20"/>
                <w:szCs w:val="20"/>
                <w:lang w:val="ru-RU" w:eastAsia="ru-RU" w:bidi="ar-SA"/>
              </w:rPr>
              <w:t>Способ подтверждения участником соответствия требованиям</w:t>
            </w:r>
          </w:p>
        </w:tc>
        <w:tc>
          <w:tcPr>
            <w:tcW w:w="198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eastAsia="Times New Roman" w:cs="Times New Roman"/>
                <w:b/>
                <w:bCs/>
                <w:kern w:val="0"/>
                <w:sz w:val="20"/>
                <w:szCs w:val="20"/>
                <w:lang w:val="ru-RU" w:eastAsia="ru-RU" w:bidi="ar-SA"/>
              </w:rPr>
            </w:pPr>
            <w:r>
              <w:rPr>
                <w:rFonts w:eastAsia="Times New Roman" w:cs="Times New Roman"/>
                <w:b/>
                <w:bCs/>
                <w:kern w:val="0"/>
                <w:sz w:val="20"/>
                <w:szCs w:val="20"/>
                <w:lang w:val="ru-RU" w:eastAsia="ru-RU" w:bidi="ar-SA"/>
              </w:rPr>
              <w:t>Предложение Участника</w:t>
            </w:r>
          </w:p>
        </w:tc>
      </w:tr>
      <w:tr>
        <w:trPr>
          <w:trHeight w:val="20" w:hRule="atLeast"/>
        </w:trPr>
        <w:tc>
          <w:tcPr>
            <w:tcW w:w="77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301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305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30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eastAsia="Times New Roman" w:cs="Times New Roman"/>
                <w:b/>
                <w:bCs/>
                <w:kern w:val="0"/>
                <w:sz w:val="20"/>
                <w:szCs w:val="20"/>
                <w:lang w:val="ru-RU" w:eastAsia="ru-RU" w:bidi="ar-SA"/>
              </w:rPr>
            </w:pPr>
            <w:r>
              <w:rPr>
                <w:rFonts w:eastAsia="Times New Roman" w:cs="Times New Roman"/>
                <w:b/>
                <w:bCs/>
                <w:kern w:val="0"/>
                <w:sz w:val="20"/>
                <w:szCs w:val="20"/>
                <w:lang w:val="ru-RU" w:eastAsia="ru-RU" w:bidi="ar-SA"/>
              </w:rPr>
              <w:t>Согласие с требованием/ указание характеристик</w:t>
            </w:r>
          </w:p>
        </w:tc>
        <w:tc>
          <w:tcPr>
            <w:tcW w:w="2445" w:type="dxa"/>
            <w:tcBorders>
              <w:top w:val="single" w:sz="4" w:space="0" w:color="000000"/>
              <w:left w:val="single" w:sz="4" w:space="0" w:color="000000"/>
              <w:bottom w:val="single" w:sz="4" w:space="0" w:color="000000"/>
            </w:tcBorders>
            <w:vAlign w:val="center"/>
          </w:tcPr>
          <w:p>
            <w:pPr>
              <w:pStyle w:val="Normal"/>
              <w:widowControl w:val="false"/>
              <w:suppressAutoHyphens w:val="true"/>
              <w:spacing w:before="0" w:after="0"/>
              <w:jc w:val="center"/>
              <w:rPr>
                <w:rFonts w:eastAsia="Times New Roman" w:cs="Times New Roman"/>
                <w:b/>
                <w:bCs/>
                <w:kern w:val="0"/>
                <w:sz w:val="20"/>
                <w:szCs w:val="20"/>
                <w:lang w:val="ru-RU" w:eastAsia="ru-RU" w:bidi="ar-SA"/>
              </w:rPr>
            </w:pPr>
            <w:r>
              <w:rPr>
                <w:rFonts w:eastAsia="Times New Roman" w:cs="Times New Roman"/>
                <w:b/>
                <w:bCs/>
                <w:kern w:val="0"/>
                <w:sz w:val="20"/>
                <w:szCs w:val="20"/>
                <w:lang w:val="ru-RU" w:eastAsia="ru-RU" w:bidi="ar-SA"/>
              </w:rPr>
              <w:t>Предоставление подтверждающего документа или иной способ подтверждения</w:t>
            </w:r>
          </w:p>
        </w:tc>
        <w:tc>
          <w:tcPr>
            <w:tcW w:w="198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1</w:t>
            </w:r>
          </w:p>
        </w:tc>
        <w:tc>
          <w:tcPr>
            <w:tcW w:w="30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2</w:t>
            </w:r>
          </w:p>
        </w:tc>
        <w:tc>
          <w:tcPr>
            <w:tcW w:w="30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3</w:t>
            </w:r>
          </w:p>
        </w:tc>
        <w:tc>
          <w:tcPr>
            <w:tcW w:w="30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4</w:t>
            </w:r>
          </w:p>
        </w:tc>
        <w:tc>
          <w:tcPr>
            <w:tcW w:w="2445" w:type="dxa"/>
            <w:tcBorders>
              <w:top w:val="single" w:sz="4" w:space="0" w:color="000000"/>
              <w:left w:val="single" w:sz="4" w:space="0" w:color="000000"/>
              <w:bottom w:val="single" w:sz="4" w:space="0" w:color="000000"/>
            </w:tcBorders>
            <w:vAlign w:val="center"/>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5</w:t>
            </w:r>
          </w:p>
        </w:tc>
        <w:tc>
          <w:tcPr>
            <w:tcW w:w="19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6</w:t>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4"/>
              </w:numPr>
              <w:ind w:left="1134" w:right="0" w:hanging="1134"/>
              <w:rPr>
                <w:b/>
                <w:bCs/>
                <w:sz w:val="20"/>
                <w:szCs w:val="20"/>
              </w:rPr>
            </w:pPr>
            <w:r>
              <w:rPr>
                <w:b/>
                <w:bCs/>
                <w:sz w:val="20"/>
                <w:szCs w:val="20"/>
              </w:rPr>
            </w:r>
          </w:p>
        </w:tc>
        <w:tc>
          <w:tcPr>
            <w:tcW w:w="607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Требования к оказанию услуг</w:t>
            </w:r>
          </w:p>
        </w:tc>
        <w:tc>
          <w:tcPr>
            <w:tcW w:w="30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2445" w:type="dxa"/>
            <w:tcBorders>
              <w:top w:val="single" w:sz="4" w:space="0" w:color="000000"/>
              <w:left w:val="single" w:sz="4" w:space="0" w:color="000000"/>
              <w:bottom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19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4"/>
              </w:numPr>
              <w:ind w:left="1134" w:right="0" w:hanging="1134"/>
              <w:rPr>
                <w:b/>
                <w:bCs/>
                <w:sz w:val="20"/>
                <w:szCs w:val="20"/>
              </w:rPr>
            </w:pPr>
            <w:r>
              <w:rPr>
                <w:b/>
                <w:bCs/>
                <w:sz w:val="20"/>
                <w:szCs w:val="20"/>
              </w:rPr>
            </w:r>
          </w:p>
        </w:tc>
        <w:tc>
          <w:tcPr>
            <w:tcW w:w="607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Общие требования к оказанию услуг</w:t>
            </w:r>
          </w:p>
        </w:tc>
        <w:tc>
          <w:tcPr>
            <w:tcW w:w="30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2445" w:type="dxa"/>
            <w:tcBorders>
              <w:top w:val="single" w:sz="4" w:space="0" w:color="000000"/>
              <w:left w:val="single" w:sz="4" w:space="0" w:color="000000"/>
              <w:bottom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19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r>
      <w:tr>
        <w:trPr>
          <w:trHeight w:val="20" w:hRule="atLeast"/>
        </w:trPr>
        <w:tc>
          <w:tcPr>
            <w:tcW w:w="779" w:type="dxa"/>
            <w:tcBorders>
              <w:left w:val="single" w:sz="4" w:space="0" w:color="000000"/>
              <w:bottom w:val="single" w:sz="4" w:space="0" w:color="000000"/>
              <w:right w:val="single" w:sz="4" w:space="0" w:color="000000"/>
            </w:tcBorders>
            <w:vAlign w:val="center"/>
          </w:tcPr>
          <w:p>
            <w:pPr>
              <w:pStyle w:val="ListParagraph"/>
              <w:widowControl w:val="false"/>
              <w:numPr>
                <w:ilvl w:val="2"/>
                <w:numId w:val="4"/>
              </w:numPr>
              <w:ind w:left="1134" w:right="0" w:hanging="1134"/>
              <w:rPr>
                <w:b/>
                <w:bCs/>
                <w:sz w:val="20"/>
                <w:szCs w:val="20"/>
              </w:rPr>
            </w:pPr>
            <w:r>
              <w:rPr>
                <w:b/>
                <w:bCs/>
                <w:sz w:val="20"/>
                <w:szCs w:val="20"/>
              </w:rPr>
            </w:r>
          </w:p>
        </w:tc>
        <w:tc>
          <w:tcPr>
            <w:tcW w:w="6075"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eastAsia="Times New Roman" w:cs="Times New Roman"/>
                <w:b w:val="false"/>
                <w:bCs w:val="false"/>
                <w:kern w:val="0"/>
                <w:sz w:val="20"/>
                <w:szCs w:val="20"/>
                <w:lang w:val="ru-RU" w:eastAsia="ru-RU" w:bidi="ar-SA"/>
              </w:rPr>
            </w:pPr>
            <w:r>
              <w:rPr>
                <w:rFonts w:eastAsia="Times New Roman" w:cs="Times New Roman"/>
                <w:b w:val="false"/>
                <w:bCs w:val="false"/>
                <w:kern w:val="0"/>
                <w:sz w:val="20"/>
                <w:szCs w:val="20"/>
                <w:lang w:val="ru-RU" w:eastAsia="ru-RU" w:bidi="ar-SA"/>
              </w:rPr>
              <w:t>Исполнитель обязан оказывать услуги в соответствии с действующим законодательством Российской Федерации с обязательным соблюдением норм и правил охраны труда, пожарной безопасности и техники безопасности, экологической безопасности и производственной санитарии, учитывая специфику действующего учреждения, в том числе соблюдение норм, законов и правил нормативно-технических документов:</w:t>
            </w:r>
          </w:p>
          <w:p>
            <w:pPr>
              <w:pStyle w:val="Normal"/>
              <w:widowControl w:val="false"/>
              <w:suppressAutoHyphens w:val="true"/>
              <w:spacing w:before="0" w:after="0"/>
              <w:jc w:val="left"/>
              <w:rPr>
                <w:rFonts w:eastAsia="Times New Roman" w:cs="Times New Roman"/>
                <w:b w:val="false"/>
                <w:bCs w:val="false"/>
                <w:kern w:val="0"/>
                <w:sz w:val="20"/>
                <w:szCs w:val="20"/>
                <w:lang w:val="ru-RU" w:eastAsia="ru-RU" w:bidi="ar-SA"/>
              </w:rPr>
            </w:pPr>
            <w:r>
              <w:rPr>
                <w:rFonts w:eastAsia="Times New Roman" w:cs="Times New Roman"/>
                <w:b w:val="false"/>
                <w:bCs w:val="false"/>
                <w:kern w:val="0"/>
                <w:sz w:val="20"/>
                <w:szCs w:val="20"/>
                <w:lang w:val="ru-RU" w:eastAsia="ru-RU" w:bidi="ar-SA"/>
              </w:rPr>
              <w:t xml:space="preserve">    • </w:t>
            </w:r>
            <w:r>
              <w:rPr>
                <w:rFonts w:eastAsia="Times New Roman" w:cs="Times New Roman"/>
                <w:b w:val="false"/>
                <w:bCs w:val="false"/>
                <w:kern w:val="0"/>
                <w:sz w:val="20"/>
                <w:szCs w:val="20"/>
                <w:lang w:val="ru-RU" w:eastAsia="ru-RU" w:bidi="ar-SA"/>
              </w:rPr>
              <w:t>Федеральный закон РФ от 22.07.2008 № 123-ФЗ «Технический регламент о требованиях пожарной безопасности»;</w:t>
            </w:r>
          </w:p>
          <w:p>
            <w:pPr>
              <w:pStyle w:val="Normal"/>
              <w:widowControl w:val="false"/>
              <w:suppressAutoHyphens w:val="true"/>
              <w:spacing w:before="0" w:after="0"/>
              <w:jc w:val="left"/>
              <w:rPr>
                <w:rFonts w:eastAsia="Times New Roman" w:cs="Times New Roman"/>
                <w:b w:val="false"/>
                <w:bCs w:val="false"/>
                <w:kern w:val="0"/>
                <w:sz w:val="20"/>
                <w:szCs w:val="20"/>
                <w:lang w:val="ru-RU" w:eastAsia="ru-RU" w:bidi="ar-SA"/>
              </w:rPr>
            </w:pPr>
            <w:r>
              <w:rPr>
                <w:rFonts w:eastAsia="Times New Roman" w:cs="Times New Roman"/>
                <w:b w:val="false"/>
                <w:bCs w:val="false"/>
                <w:kern w:val="0"/>
                <w:sz w:val="20"/>
                <w:szCs w:val="20"/>
                <w:lang w:val="ru-RU" w:eastAsia="ru-RU" w:bidi="ar-SA"/>
              </w:rPr>
              <w:t xml:space="preserve">    • </w:t>
            </w:r>
            <w:r>
              <w:rPr>
                <w:rFonts w:eastAsia="Times New Roman" w:cs="Times New Roman"/>
                <w:b w:val="false"/>
                <w:bCs w:val="false"/>
                <w:kern w:val="0"/>
                <w:sz w:val="20"/>
                <w:szCs w:val="20"/>
                <w:lang w:val="ru-RU" w:eastAsia="ru-RU" w:bidi="ar-SA"/>
              </w:rPr>
              <w:t>Федеральный закон РФ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pStyle w:val="Normal"/>
              <w:widowControl w:val="false"/>
              <w:suppressAutoHyphens w:val="true"/>
              <w:spacing w:before="0" w:after="0"/>
              <w:jc w:val="left"/>
              <w:rPr>
                <w:rFonts w:eastAsia="Times New Roman" w:cs="Times New Roman"/>
                <w:b w:val="false"/>
                <w:bCs w:val="false"/>
                <w:kern w:val="0"/>
                <w:sz w:val="20"/>
                <w:szCs w:val="20"/>
                <w:lang w:val="ru-RU" w:eastAsia="ru-RU" w:bidi="ar-SA"/>
              </w:rPr>
            </w:pPr>
            <w:r>
              <w:rPr>
                <w:rFonts w:eastAsia="Times New Roman" w:cs="Times New Roman"/>
                <w:b w:val="false"/>
                <w:bCs w:val="false"/>
                <w:kern w:val="0"/>
                <w:sz w:val="20"/>
                <w:szCs w:val="20"/>
                <w:lang w:val="ru-RU" w:eastAsia="ru-RU" w:bidi="ar-SA"/>
              </w:rPr>
              <w:t xml:space="preserve">    • </w:t>
            </w:r>
            <w:r>
              <w:rPr>
                <w:rFonts w:eastAsia="Times New Roman" w:cs="Times New Roman"/>
                <w:b w:val="false"/>
                <w:bCs w:val="false"/>
                <w:kern w:val="0"/>
                <w:sz w:val="20"/>
                <w:szCs w:val="20"/>
                <w:lang w:val="ru-RU" w:eastAsia="ru-RU" w:bidi="ar-SA"/>
              </w:rPr>
              <w:t>Федеральный закон РФ от 10.01.2002 № 7-ФЗ «Об охране окружающей среды»;</w:t>
            </w:r>
          </w:p>
          <w:p>
            <w:pPr>
              <w:pStyle w:val="Normal"/>
              <w:widowControl w:val="false"/>
              <w:suppressAutoHyphens w:val="true"/>
              <w:spacing w:before="0" w:after="0"/>
              <w:jc w:val="left"/>
              <w:rPr>
                <w:rFonts w:eastAsia="Times New Roman" w:cs="Times New Roman"/>
                <w:b w:val="false"/>
                <w:bCs w:val="false"/>
                <w:kern w:val="0"/>
                <w:sz w:val="20"/>
                <w:szCs w:val="20"/>
                <w:lang w:val="ru-RU" w:eastAsia="ru-RU" w:bidi="ar-SA"/>
              </w:rPr>
            </w:pPr>
            <w:r>
              <w:rPr>
                <w:rFonts w:eastAsia="Times New Roman" w:cs="Times New Roman"/>
                <w:b w:val="false"/>
                <w:bCs w:val="false"/>
                <w:kern w:val="0"/>
                <w:sz w:val="20"/>
                <w:szCs w:val="20"/>
                <w:lang w:val="ru-RU" w:eastAsia="ru-RU" w:bidi="ar-SA"/>
              </w:rPr>
              <w:t xml:space="preserve">    • </w:t>
            </w:r>
            <w:r>
              <w:rPr>
                <w:rFonts w:eastAsia="Times New Roman" w:cs="Times New Roman"/>
                <w:b w:val="false"/>
                <w:bCs w:val="false"/>
                <w:kern w:val="0"/>
                <w:sz w:val="20"/>
                <w:szCs w:val="20"/>
                <w:lang w:val="ru-RU" w:eastAsia="ru-RU" w:bidi="ar-SA"/>
              </w:rPr>
              <w:t>Федеральный закон РФ от 30.03.1999 № 52-ФЗ «О санитарно-эпидемиологическом благополучии населения»;</w:t>
            </w:r>
          </w:p>
          <w:p>
            <w:pPr>
              <w:pStyle w:val="Normal"/>
              <w:widowControl w:val="false"/>
              <w:suppressAutoHyphens w:val="true"/>
              <w:spacing w:before="0" w:after="0"/>
              <w:jc w:val="left"/>
              <w:rPr>
                <w:rFonts w:eastAsia="Times New Roman" w:cs="Times New Roman"/>
                <w:b w:val="false"/>
                <w:bCs w:val="false"/>
                <w:kern w:val="0"/>
                <w:sz w:val="20"/>
                <w:szCs w:val="20"/>
                <w:lang w:val="ru-RU" w:eastAsia="ru-RU" w:bidi="ar-SA"/>
              </w:rPr>
            </w:pPr>
            <w:r>
              <w:rPr>
                <w:rFonts w:eastAsia="Times New Roman" w:cs="Times New Roman"/>
                <w:b w:val="false"/>
                <w:bCs w:val="false"/>
                <w:kern w:val="0"/>
                <w:sz w:val="20"/>
                <w:szCs w:val="20"/>
                <w:lang w:val="ru-RU" w:eastAsia="ru-RU" w:bidi="ar-SA"/>
              </w:rPr>
              <w:t xml:space="preserve">    • </w:t>
            </w:r>
            <w:r>
              <w:rPr>
                <w:rFonts w:eastAsia="Times New Roman" w:cs="Times New Roman"/>
                <w:b w:val="false"/>
                <w:bCs w:val="false"/>
                <w:kern w:val="0"/>
                <w:sz w:val="20"/>
                <w:szCs w:val="20"/>
                <w:lang w:val="ru-RU" w:eastAsia="ru-RU" w:bidi="ar-SA"/>
              </w:rPr>
              <w:t>Федеральный закон РФ от 24.06.1998 № 89-ФЗ «Об отходах производства и потребления»;</w:t>
            </w:r>
          </w:p>
          <w:p>
            <w:pPr>
              <w:pStyle w:val="Normal"/>
              <w:widowControl w:val="false"/>
              <w:suppressAutoHyphens w:val="true"/>
              <w:overflowPunct w:val="false"/>
              <w:bidi w:val="0"/>
              <w:spacing w:before="0" w:after="0"/>
              <w:ind w:left="57" w:right="0" w:firstLine="227"/>
              <w:jc w:val="left"/>
              <w:rPr>
                <w:rFonts w:eastAsia="Times New Roman" w:cs="Times New Roman"/>
                <w:b w:val="false"/>
                <w:bCs w:val="false"/>
                <w:kern w:val="0"/>
                <w:sz w:val="20"/>
                <w:szCs w:val="20"/>
                <w:lang w:val="ru-RU" w:eastAsia="ru-RU" w:bidi="ar-SA"/>
              </w:rPr>
            </w:pPr>
            <w:r>
              <w:rPr>
                <w:rFonts w:eastAsia="Times New Roman" w:cs="Times New Roman"/>
                <w:b w:val="false"/>
                <w:bCs w:val="false"/>
                <w:kern w:val="0"/>
                <w:sz w:val="20"/>
                <w:szCs w:val="20"/>
                <w:lang w:val="ru-RU" w:eastAsia="ru-RU" w:bidi="ar-SA"/>
              </w:rPr>
              <w:t xml:space="preserve">• </w:t>
            </w:r>
            <w:r>
              <w:rPr>
                <w:rFonts w:eastAsia="Times New Roman" w:cs="Times New Roman"/>
                <w:b w:val="false"/>
                <w:bCs w:val="false"/>
                <w:kern w:val="0"/>
                <w:sz w:val="20"/>
                <w:szCs w:val="20"/>
                <w:lang w:val="ru-RU" w:eastAsia="ru-RU" w:bidi="ar-SA"/>
              </w:rPr>
              <w:t>Приказ министерства  труда и социальной защиты  Российской Федерации от 16.11.2020 г. N 782н Об утверждении правил по  охране труда при работе на высоте.</w:t>
            </w:r>
          </w:p>
        </w:tc>
        <w:tc>
          <w:tcPr>
            <w:tcW w:w="3000"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Согласие с требованиями</w:t>
            </w:r>
          </w:p>
        </w:tc>
        <w:tc>
          <w:tcPr>
            <w:tcW w:w="2445" w:type="dxa"/>
            <w:tcBorders>
              <w:left w:val="single" w:sz="4" w:space="0" w:color="000000"/>
              <w:bottom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r>
          </w:p>
        </w:tc>
        <w:tc>
          <w:tcPr>
            <w:tcW w:w="1980"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4"/>
              </w:numPr>
              <w:ind w:left="1134" w:right="0" w:hanging="1134"/>
              <w:rPr>
                <w:b/>
                <w:bCs/>
                <w:sz w:val="20"/>
                <w:szCs w:val="20"/>
              </w:rPr>
            </w:pPr>
            <w:r>
              <w:rPr>
                <w:b/>
                <w:bCs/>
                <w:sz w:val="20"/>
                <w:szCs w:val="20"/>
              </w:rPr>
            </w:r>
          </w:p>
        </w:tc>
        <w:tc>
          <w:tcPr>
            <w:tcW w:w="607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Требования к способам оказания услуг</w:t>
            </w:r>
          </w:p>
        </w:tc>
        <w:tc>
          <w:tcPr>
            <w:tcW w:w="30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2445" w:type="dxa"/>
            <w:tcBorders>
              <w:top w:val="single" w:sz="4" w:space="0" w:color="000000"/>
              <w:left w:val="single" w:sz="4" w:space="0" w:color="000000"/>
              <w:bottom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19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r>
      <w:tr>
        <w:trPr>
          <w:trHeight w:val="642" w:hRule="atLeast"/>
        </w:trPr>
        <w:tc>
          <w:tcPr>
            <w:tcW w:w="779" w:type="dxa"/>
            <w:tcBorders>
              <w:left w:val="single" w:sz="4" w:space="0" w:color="000000"/>
              <w:bottom w:val="single" w:sz="4" w:space="0" w:color="000000"/>
              <w:right w:val="single" w:sz="4" w:space="0" w:color="000000"/>
            </w:tcBorders>
            <w:vAlign w:val="center"/>
          </w:tcPr>
          <w:p>
            <w:pPr>
              <w:pStyle w:val="ListParagraph"/>
              <w:widowControl w:val="false"/>
              <w:numPr>
                <w:ilvl w:val="2"/>
                <w:numId w:val="4"/>
              </w:numPr>
              <w:ind w:left="1134" w:right="0" w:hanging="1134"/>
              <w:rPr>
                <w:sz w:val="20"/>
                <w:szCs w:val="20"/>
              </w:rPr>
            </w:pPr>
            <w:r>
              <w:rPr>
                <w:sz w:val="20"/>
                <w:szCs w:val="20"/>
              </w:rPr>
            </w:r>
          </w:p>
        </w:tc>
        <w:tc>
          <w:tcPr>
            <w:tcW w:w="6075" w:type="dxa"/>
            <w:gridSpan w:val="2"/>
            <w:tcBorders>
              <w:left w:val="single" w:sz="4" w:space="0" w:color="000000"/>
              <w:bottom w:val="single" w:sz="4" w:space="0" w:color="000000"/>
              <w:right w:val="single" w:sz="4" w:space="0" w:color="000000"/>
            </w:tcBorders>
          </w:tcPr>
          <w:p>
            <w:pPr>
              <w:pStyle w:val="Normal"/>
              <w:widowControl w:val="false"/>
              <w:tabs>
                <w:tab w:val="clear" w:pos="708"/>
                <w:tab w:val="left" w:pos="426" w:leader="none"/>
              </w:tabs>
              <w:suppressAutoHyphens w:val="true"/>
              <w:spacing w:before="0" w:after="0"/>
              <w:jc w:val="left"/>
              <w:rPr>
                <w:rFonts w:eastAsia="Times New Roman" w:cs="Times New Roman"/>
                <w:color w:val="auto"/>
                <w:kern w:val="0"/>
                <w:sz w:val="20"/>
                <w:szCs w:val="20"/>
                <w:lang w:val="ru-RU" w:eastAsia="ru-RU" w:bidi="ar-SA"/>
              </w:rPr>
            </w:pPr>
            <w:r>
              <w:rPr>
                <w:rFonts w:eastAsia="Times New Roman" w:cs="Times New Roman"/>
                <w:color w:val="auto"/>
                <w:kern w:val="0"/>
                <w:sz w:val="20"/>
                <w:szCs w:val="20"/>
                <w:lang w:val="ru-RU" w:eastAsia="ru-RU" w:bidi="ar-SA"/>
              </w:rPr>
              <w:t>Исполнитель должен руководствоваться Приказом Минтруда России от 16.11.2020 N 782н «Об утверждении Правил по охране труда при работе на высоте»</w:t>
            </w:r>
          </w:p>
        </w:tc>
        <w:tc>
          <w:tcPr>
            <w:tcW w:w="3000" w:type="dxa"/>
            <w:tcBorders>
              <w:left w:val="single" w:sz="4" w:space="0" w:color="000000"/>
              <w:bottom w:val="single" w:sz="4" w:space="0" w:color="000000"/>
              <w:right w:val="single" w:sz="4" w:space="0" w:color="000000"/>
            </w:tcBorders>
          </w:tcPr>
          <w:p>
            <w:pPr>
              <w:pStyle w:val="Normal"/>
              <w:widowControl w:val="false"/>
              <w:tabs>
                <w:tab w:val="clear" w:pos="708"/>
                <w:tab w:val="left" w:pos="426" w:leader="none"/>
              </w:tabs>
              <w:suppressAutoHyphens w:val="true"/>
              <w:spacing w:before="0" w:after="0"/>
              <w:jc w:val="center"/>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Согласие с требованиями</w:t>
            </w:r>
          </w:p>
        </w:tc>
        <w:tc>
          <w:tcPr>
            <w:tcW w:w="2445" w:type="dxa"/>
            <w:tcBorders>
              <w:left w:val="single" w:sz="4" w:space="0" w:color="000000"/>
              <w:bottom w:val="single" w:sz="4" w:space="0" w:color="000000"/>
            </w:tcBorders>
          </w:tcPr>
          <w:p>
            <w:pPr>
              <w:pStyle w:val="Style28"/>
              <w:keepNext w:val="false"/>
              <w:widowControl w:val="false"/>
              <w:numPr>
                <w:ilvl w:val="0"/>
                <w:numId w:val="0"/>
              </w:numPr>
              <w:suppressAutoHyphens w:val="true"/>
              <w:spacing w:before="0" w:after="0"/>
              <w:ind w:left="0" w:right="0" w:hanging="0"/>
              <w:jc w:val="center"/>
              <w:outlineLvl w:val="2"/>
              <w:rPr>
                <w:rFonts w:ascii="Times New Roman" w:hAnsi="Times New Roman" w:eastAsia="Times New Roman" w:cs="Times New Roman"/>
                <w:b w:val="false"/>
                <w:kern w:val="0"/>
                <w:sz w:val="20"/>
                <w:szCs w:val="20"/>
                <w:lang w:val="ru-RU" w:eastAsia="ru-RU" w:bidi="ar-SA"/>
              </w:rPr>
            </w:pPr>
            <w:r>
              <w:rPr>
                <w:rFonts w:eastAsia="Times New Roman" w:cs="Times New Roman"/>
                <w:b w:val="false"/>
                <w:kern w:val="0"/>
                <w:sz w:val="20"/>
                <w:szCs w:val="20"/>
                <w:lang w:val="ru-RU" w:eastAsia="ru-RU" w:bidi="ar-SA"/>
              </w:rPr>
            </w:r>
          </w:p>
        </w:tc>
        <w:tc>
          <w:tcPr>
            <w:tcW w:w="1980" w:type="dxa"/>
            <w:tcBorders>
              <w:left w:val="single" w:sz="4" w:space="0" w:color="000000"/>
              <w:bottom w:val="single" w:sz="4" w:space="0" w:color="000000"/>
              <w:right w:val="single" w:sz="4" w:space="0" w:color="000000"/>
            </w:tcBorders>
          </w:tcPr>
          <w:p>
            <w:pPr>
              <w:pStyle w:val="Style28"/>
              <w:keepNext w:val="false"/>
              <w:widowControl w:val="false"/>
              <w:numPr>
                <w:ilvl w:val="0"/>
                <w:numId w:val="0"/>
              </w:numPr>
              <w:suppressAutoHyphens w:val="true"/>
              <w:spacing w:before="0" w:after="0"/>
              <w:ind w:left="0" w:right="0" w:hanging="0"/>
              <w:jc w:val="left"/>
              <w:outlineLvl w:val="2"/>
              <w:rPr>
                <w:rFonts w:ascii="Times New Roman" w:hAnsi="Times New Roman" w:eastAsia="Times New Roman" w:cs="Times New Roman"/>
                <w:b w:val="false"/>
                <w:kern w:val="0"/>
                <w:sz w:val="20"/>
                <w:szCs w:val="20"/>
                <w:lang w:val="ru-RU" w:eastAsia="ru-RU" w:bidi="ar-SA"/>
              </w:rPr>
            </w:pPr>
            <w:r>
              <w:rPr>
                <w:rFonts w:eastAsia="Times New Roman" w:cs="Times New Roman"/>
                <w:b w:val="false"/>
                <w:kern w:val="0"/>
                <w:sz w:val="20"/>
                <w:szCs w:val="20"/>
                <w:lang w:val="ru-RU" w:eastAsia="ru-RU" w:bidi="ar-SA"/>
              </w:rPr>
            </w:r>
          </w:p>
        </w:tc>
      </w:tr>
      <w:tr>
        <w:trPr>
          <w:trHeight w:val="295" w:hRule="atLeast"/>
        </w:trPr>
        <w:tc>
          <w:tcPr>
            <w:tcW w:w="779" w:type="dxa"/>
            <w:tcBorders>
              <w:left w:val="single" w:sz="4" w:space="0" w:color="000000"/>
              <w:bottom w:val="single" w:sz="4" w:space="0" w:color="000000"/>
              <w:right w:val="single" w:sz="4" w:space="0" w:color="000000"/>
            </w:tcBorders>
            <w:vAlign w:val="center"/>
          </w:tcPr>
          <w:p>
            <w:pPr>
              <w:pStyle w:val="ListParagraph"/>
              <w:widowControl w:val="false"/>
              <w:numPr>
                <w:ilvl w:val="1"/>
                <w:numId w:val="4"/>
              </w:numPr>
              <w:ind w:left="1134" w:right="0" w:hanging="1134"/>
              <w:rPr>
                <w:sz w:val="20"/>
                <w:szCs w:val="20"/>
              </w:rPr>
            </w:pPr>
            <w:r>
              <w:rPr>
                <w:sz w:val="20"/>
                <w:szCs w:val="20"/>
              </w:rPr>
            </w:r>
          </w:p>
        </w:tc>
        <w:tc>
          <w:tcPr>
            <w:tcW w:w="6075" w:type="dxa"/>
            <w:gridSpan w:val="2"/>
            <w:tcBorders>
              <w:left w:val="single" w:sz="4" w:space="0" w:color="000000"/>
              <w:bottom w:val="single" w:sz="4" w:space="0" w:color="000000"/>
              <w:right w:val="single" w:sz="4" w:space="0" w:color="000000"/>
            </w:tcBorders>
          </w:tcPr>
          <w:p>
            <w:pPr>
              <w:pStyle w:val="Normal"/>
              <w:widowControl w:val="false"/>
              <w:rPr>
                <w:b/>
                <w:sz w:val="20"/>
                <w:szCs w:val="20"/>
              </w:rPr>
            </w:pPr>
            <w:r>
              <w:rPr>
                <w:b/>
                <w:sz w:val="20"/>
                <w:szCs w:val="20"/>
              </w:rPr>
              <w:t>Требования к организации услуг</w:t>
            </w:r>
          </w:p>
        </w:tc>
        <w:tc>
          <w:tcPr>
            <w:tcW w:w="3000"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2445" w:type="dxa"/>
            <w:tcBorders>
              <w:left w:val="single" w:sz="4" w:space="0" w:color="000000"/>
              <w:bottom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1980"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r>
      <w:tr>
        <w:trPr>
          <w:trHeight w:val="642" w:hRule="atLeast"/>
        </w:trPr>
        <w:tc>
          <w:tcPr>
            <w:tcW w:w="779" w:type="dxa"/>
            <w:tcBorders>
              <w:left w:val="single" w:sz="4" w:space="0" w:color="000000"/>
              <w:bottom w:val="single" w:sz="4" w:space="0" w:color="000000"/>
              <w:right w:val="single" w:sz="4" w:space="0" w:color="000000"/>
            </w:tcBorders>
            <w:vAlign w:val="center"/>
          </w:tcPr>
          <w:p>
            <w:pPr>
              <w:pStyle w:val="ListParagraph"/>
              <w:widowControl w:val="false"/>
              <w:numPr>
                <w:ilvl w:val="2"/>
                <w:numId w:val="4"/>
              </w:numPr>
              <w:ind w:left="1134" w:right="0" w:hanging="1134"/>
              <w:rPr>
                <w:sz w:val="20"/>
                <w:szCs w:val="20"/>
              </w:rPr>
            </w:pPr>
            <w:r>
              <w:rPr>
                <w:sz w:val="20"/>
                <w:szCs w:val="20"/>
              </w:rPr>
            </w:r>
          </w:p>
        </w:tc>
        <w:tc>
          <w:tcPr>
            <w:tcW w:w="6075" w:type="dxa"/>
            <w:gridSpan w:val="2"/>
            <w:tcBorders>
              <w:left w:val="single" w:sz="4" w:space="0" w:color="000000"/>
              <w:bottom w:val="single" w:sz="4" w:space="0" w:color="000000"/>
              <w:right w:val="single" w:sz="4" w:space="0" w:color="000000"/>
            </w:tcBorders>
          </w:tcPr>
          <w:p>
            <w:pPr>
              <w:pStyle w:val="Normal"/>
              <w:widowControl w:val="false"/>
              <w:jc w:val="both"/>
              <w:rPr>
                <w:sz w:val="20"/>
                <w:szCs w:val="20"/>
              </w:rPr>
            </w:pPr>
            <w:r>
              <w:rPr>
                <w:sz w:val="20"/>
                <w:szCs w:val="20"/>
              </w:rPr>
              <w:t>Ответственность за нарушение техники безопасности, пожарной безопасности при оказании услуг, в размере возмещения реального ущерба, определенного силами экспертной организации, привлеченной Заказчиком, лежит на Исполнителе</w:t>
            </w:r>
          </w:p>
        </w:tc>
        <w:tc>
          <w:tcPr>
            <w:tcW w:w="3000" w:type="dxa"/>
            <w:tcBorders>
              <w:left w:val="single" w:sz="4" w:space="0" w:color="000000"/>
              <w:bottom w:val="single" w:sz="4" w:space="0" w:color="000000"/>
              <w:right w:val="single" w:sz="4" w:space="0" w:color="000000"/>
            </w:tcBorders>
          </w:tcPr>
          <w:p>
            <w:pPr>
              <w:pStyle w:val="Normal"/>
              <w:widowControl w:val="false"/>
              <w:tabs>
                <w:tab w:val="clear" w:pos="708"/>
                <w:tab w:val="left" w:pos="426" w:leader="none"/>
              </w:tabs>
              <w:suppressAutoHyphens w:val="true"/>
              <w:spacing w:before="0" w:after="0"/>
              <w:jc w:val="center"/>
              <w:rPr>
                <w:sz w:val="20"/>
                <w:szCs w:val="20"/>
              </w:rPr>
            </w:pPr>
            <w:r>
              <w:rPr>
                <w:sz w:val="20"/>
                <w:szCs w:val="20"/>
              </w:rPr>
              <w:t>Согласие с требованиями</w:t>
            </w:r>
          </w:p>
        </w:tc>
        <w:tc>
          <w:tcPr>
            <w:tcW w:w="2445" w:type="dxa"/>
            <w:tcBorders>
              <w:left w:val="single" w:sz="4" w:space="0" w:color="000000"/>
              <w:bottom w:val="single" w:sz="4" w:space="0" w:color="000000"/>
            </w:tcBorders>
          </w:tcPr>
          <w:p>
            <w:pPr>
              <w:pStyle w:val="Style28"/>
              <w:keepNext w:val="false"/>
              <w:widowControl w:val="false"/>
              <w:numPr>
                <w:ilvl w:val="0"/>
                <w:numId w:val="0"/>
              </w:numPr>
              <w:suppressAutoHyphens w:val="true"/>
              <w:spacing w:before="0" w:after="0"/>
              <w:ind w:left="0" w:right="0" w:hanging="0"/>
              <w:jc w:val="center"/>
              <w:outlineLvl w:val="2"/>
              <w:rPr>
                <w:rFonts w:ascii="Times New Roman" w:hAnsi="Times New Roman" w:eastAsia="Times New Roman" w:cs="Times New Roman"/>
                <w:b w:val="false"/>
                <w:kern w:val="0"/>
                <w:sz w:val="20"/>
                <w:szCs w:val="20"/>
                <w:lang w:val="ru-RU" w:eastAsia="ru-RU" w:bidi="ar-SA"/>
              </w:rPr>
            </w:pPr>
            <w:r>
              <w:rPr>
                <w:rFonts w:eastAsia="Times New Roman" w:cs="Times New Roman"/>
                <w:b w:val="false"/>
                <w:kern w:val="0"/>
                <w:sz w:val="20"/>
                <w:szCs w:val="20"/>
                <w:lang w:val="ru-RU" w:eastAsia="ru-RU" w:bidi="ar-SA"/>
              </w:rPr>
            </w:r>
          </w:p>
        </w:tc>
        <w:tc>
          <w:tcPr>
            <w:tcW w:w="1980" w:type="dxa"/>
            <w:tcBorders>
              <w:left w:val="single" w:sz="4" w:space="0" w:color="000000"/>
              <w:bottom w:val="single" w:sz="4" w:space="0" w:color="000000"/>
              <w:right w:val="single" w:sz="4" w:space="0" w:color="000000"/>
            </w:tcBorders>
          </w:tcPr>
          <w:p>
            <w:pPr>
              <w:pStyle w:val="Style28"/>
              <w:keepNext w:val="false"/>
              <w:widowControl w:val="false"/>
              <w:numPr>
                <w:ilvl w:val="0"/>
                <w:numId w:val="0"/>
              </w:numPr>
              <w:suppressAutoHyphens w:val="true"/>
              <w:spacing w:before="0" w:after="0"/>
              <w:ind w:left="0" w:right="0" w:hanging="0"/>
              <w:jc w:val="left"/>
              <w:outlineLvl w:val="2"/>
              <w:rPr>
                <w:rFonts w:ascii="Times New Roman" w:hAnsi="Times New Roman" w:eastAsia="Times New Roman" w:cs="Times New Roman"/>
                <w:b w:val="false"/>
                <w:kern w:val="0"/>
                <w:sz w:val="20"/>
                <w:szCs w:val="20"/>
                <w:lang w:val="ru-RU" w:eastAsia="ru-RU" w:bidi="ar-SA"/>
              </w:rPr>
            </w:pPr>
            <w:r>
              <w:rPr>
                <w:rFonts w:eastAsia="Times New Roman" w:cs="Times New Roman"/>
                <w:b w:val="false"/>
                <w:kern w:val="0"/>
                <w:sz w:val="20"/>
                <w:szCs w:val="20"/>
                <w:lang w:val="ru-RU" w:eastAsia="ru-RU" w:bidi="ar-SA"/>
              </w:rPr>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4"/>
              </w:numPr>
              <w:ind w:left="1134" w:right="0" w:hanging="1134"/>
              <w:rPr>
                <w:sz w:val="20"/>
                <w:szCs w:val="20"/>
              </w:rPr>
            </w:pPr>
            <w:r>
              <w:rPr>
                <w:sz w:val="20"/>
                <w:szCs w:val="20"/>
              </w:rPr>
            </w:r>
          </w:p>
        </w:tc>
        <w:tc>
          <w:tcPr>
            <w:tcW w:w="60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Требования к персоналу исполнителя</w:t>
            </w:r>
          </w:p>
        </w:tc>
        <w:tc>
          <w:tcPr>
            <w:tcW w:w="30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2445" w:type="dxa"/>
            <w:tcBorders>
              <w:top w:val="single" w:sz="4" w:space="0" w:color="000000"/>
              <w:left w:val="single" w:sz="4" w:space="0" w:color="000000"/>
              <w:bottom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19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4"/>
              </w:numPr>
              <w:ind w:left="1134" w:right="0" w:hanging="1134"/>
              <w:rPr>
                <w:sz w:val="20"/>
                <w:szCs w:val="20"/>
              </w:rPr>
            </w:pPr>
            <w:r>
              <w:rPr>
                <w:sz w:val="20"/>
                <w:szCs w:val="20"/>
              </w:rPr>
            </w:r>
          </w:p>
        </w:tc>
        <w:tc>
          <w:tcPr>
            <w:tcW w:w="301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uppressAutoHyphens w:val="true"/>
              <w:spacing w:before="0" w:after="0"/>
              <w:jc w:val="left"/>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Квалификация персонала исполнителя, привлекаемого к работам</w:t>
            </w:r>
          </w:p>
        </w:tc>
        <w:tc>
          <w:tcPr>
            <w:tcW w:w="305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both"/>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-Наличие у персонала Исполнителя удостоверения промышленного альпиниста, группа по безопасности работ на высоте. Личная книжка учета работ на высоте. Группа по электробезопасности не ниже II.</w:t>
            </w:r>
          </w:p>
        </w:tc>
        <w:tc>
          <w:tcPr>
            <w:tcW w:w="30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Согласие с требованиями</w:t>
            </w:r>
          </w:p>
        </w:tc>
        <w:tc>
          <w:tcPr>
            <w:tcW w:w="2445" w:type="dxa"/>
            <w:tcBorders>
              <w:top w:val="single" w:sz="4" w:space="0" w:color="000000"/>
              <w:left w:val="single" w:sz="4" w:space="0" w:color="000000"/>
              <w:bottom w:val="single" w:sz="4" w:space="0" w:color="000000"/>
            </w:tcBorders>
          </w:tcPr>
          <w:p>
            <w:pPr>
              <w:pStyle w:val="Normal"/>
              <w:widowControl w:val="false"/>
              <w:tabs>
                <w:tab w:val="clear" w:pos="708"/>
                <w:tab w:val="left" w:pos="426" w:leader="none"/>
              </w:tabs>
              <w:suppressAutoHyphens w:val="true"/>
              <w:spacing w:before="0" w:after="0"/>
              <w:jc w:val="center"/>
              <w:rPr>
                <w:b/>
                <w:sz w:val="20"/>
                <w:szCs w:val="20"/>
              </w:rPr>
            </w:pPr>
            <w:r>
              <w:rPr>
                <w:b/>
                <w:sz w:val="20"/>
                <w:szCs w:val="20"/>
              </w:rPr>
            </w:r>
          </w:p>
        </w:tc>
        <w:tc>
          <w:tcPr>
            <w:tcW w:w="198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uppressAutoHyphens w:val="true"/>
              <w:spacing w:before="0" w:after="0"/>
              <w:jc w:val="left"/>
              <w:rPr>
                <w:b/>
                <w:sz w:val="20"/>
                <w:szCs w:val="20"/>
              </w:rPr>
            </w:pPr>
            <w:r>
              <w:rPr>
                <w:b/>
                <w:sz w:val="20"/>
                <w:szCs w:val="20"/>
              </w:rPr>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4"/>
              </w:numPr>
              <w:ind w:left="1134" w:right="0" w:hanging="1134"/>
              <w:rPr>
                <w:sz w:val="20"/>
                <w:szCs w:val="20"/>
              </w:rPr>
            </w:pPr>
            <w:r>
              <w:rPr>
                <w:sz w:val="20"/>
                <w:szCs w:val="20"/>
              </w:rPr>
            </w:r>
          </w:p>
        </w:tc>
        <w:tc>
          <w:tcPr>
            <w:tcW w:w="607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eastAsia="Times New Roman" w:cs="Times New Roman"/>
                <w:b/>
                <w:bCs/>
                <w:kern w:val="0"/>
                <w:sz w:val="20"/>
                <w:szCs w:val="20"/>
                <w:lang w:val="ru-RU" w:eastAsia="ru-RU" w:bidi="ar-SA"/>
              </w:rPr>
            </w:pPr>
            <w:r>
              <w:rPr>
                <w:rFonts w:eastAsia="Times New Roman" w:cs="Times New Roman"/>
                <w:b/>
                <w:bCs/>
                <w:kern w:val="0"/>
                <w:sz w:val="20"/>
                <w:szCs w:val="20"/>
                <w:lang w:val="ru-RU" w:eastAsia="ru-RU" w:bidi="ar-SA"/>
              </w:rPr>
              <w:t>Требования к результатам услуг</w:t>
            </w:r>
          </w:p>
        </w:tc>
        <w:tc>
          <w:tcPr>
            <w:tcW w:w="30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2445" w:type="dxa"/>
            <w:tcBorders>
              <w:top w:val="single" w:sz="4" w:space="0" w:color="000000"/>
              <w:left w:val="single" w:sz="4" w:space="0" w:color="000000"/>
              <w:bottom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19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4"/>
              </w:numPr>
              <w:ind w:left="1134" w:right="0" w:hanging="1134"/>
              <w:rPr>
                <w:sz w:val="20"/>
                <w:szCs w:val="20"/>
              </w:rPr>
            </w:pPr>
            <w:r>
              <w:rPr>
                <w:sz w:val="20"/>
                <w:szCs w:val="20"/>
              </w:rPr>
            </w:r>
          </w:p>
        </w:tc>
        <w:tc>
          <w:tcPr>
            <w:tcW w:w="607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Общие требования к результатам услуг</w:t>
            </w:r>
          </w:p>
        </w:tc>
        <w:tc>
          <w:tcPr>
            <w:tcW w:w="30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2445" w:type="dxa"/>
            <w:tcBorders>
              <w:top w:val="single" w:sz="4" w:space="0" w:color="000000"/>
              <w:left w:val="single" w:sz="4" w:space="0" w:color="000000"/>
              <w:bottom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19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4"/>
              </w:numPr>
              <w:ind w:left="1134" w:right="0" w:hanging="1134"/>
              <w:rPr>
                <w:sz w:val="20"/>
                <w:szCs w:val="20"/>
              </w:rPr>
            </w:pPr>
            <w:r>
              <w:rPr>
                <w:sz w:val="20"/>
                <w:szCs w:val="20"/>
              </w:rPr>
            </w:r>
          </w:p>
        </w:tc>
        <w:tc>
          <w:tcPr>
            <w:tcW w:w="60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both"/>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Кровля очищена от снега, отсутствие наледи и сосулек по периметру крыши.</w:t>
            </w:r>
          </w:p>
        </w:tc>
        <w:tc>
          <w:tcPr>
            <w:tcW w:w="30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Согласие с требованиями</w:t>
            </w:r>
          </w:p>
        </w:tc>
        <w:tc>
          <w:tcPr>
            <w:tcW w:w="2445" w:type="dxa"/>
            <w:tcBorders>
              <w:top w:val="single" w:sz="4" w:space="0" w:color="000000"/>
              <w:left w:val="single" w:sz="4" w:space="0" w:color="000000"/>
              <w:bottom w:val="single" w:sz="4" w:space="0" w:color="000000"/>
            </w:tcBorders>
          </w:tcPr>
          <w:p>
            <w:pPr>
              <w:pStyle w:val="Style28"/>
              <w:keepNext w:val="false"/>
              <w:widowControl w:val="false"/>
              <w:numPr>
                <w:ilvl w:val="0"/>
                <w:numId w:val="0"/>
              </w:numPr>
              <w:suppressAutoHyphens w:val="true"/>
              <w:spacing w:before="0" w:after="0"/>
              <w:ind w:left="0" w:right="0" w:hanging="0"/>
              <w:jc w:val="center"/>
              <w:outlineLvl w:val="2"/>
              <w:rPr>
                <w:rFonts w:ascii="Times New Roman" w:hAnsi="Times New Roman" w:eastAsia="Times New Roman" w:cs="Times New Roman"/>
                <w:b w:val="false"/>
                <w:kern w:val="0"/>
                <w:sz w:val="20"/>
                <w:szCs w:val="20"/>
                <w:lang w:val="ru-RU" w:eastAsia="ru-RU" w:bidi="ar-SA"/>
              </w:rPr>
            </w:pPr>
            <w:r>
              <w:rPr>
                <w:rFonts w:eastAsia="Times New Roman" w:cs="Times New Roman"/>
                <w:b w:val="false"/>
                <w:kern w:val="0"/>
                <w:sz w:val="20"/>
                <w:szCs w:val="20"/>
                <w:lang w:val="ru-RU" w:eastAsia="ru-RU" w:bidi="ar-SA"/>
              </w:rPr>
            </w:r>
          </w:p>
        </w:tc>
        <w:tc>
          <w:tcPr>
            <w:tcW w:w="1980" w:type="dxa"/>
            <w:tcBorders>
              <w:top w:val="single" w:sz="4" w:space="0" w:color="000000"/>
              <w:left w:val="single" w:sz="4" w:space="0" w:color="000000"/>
              <w:bottom w:val="single" w:sz="4" w:space="0" w:color="000000"/>
              <w:right w:val="single" w:sz="4" w:space="0" w:color="000000"/>
            </w:tcBorders>
          </w:tcPr>
          <w:p>
            <w:pPr>
              <w:pStyle w:val="Style28"/>
              <w:keepNext w:val="false"/>
              <w:widowControl w:val="false"/>
              <w:numPr>
                <w:ilvl w:val="0"/>
                <w:numId w:val="0"/>
              </w:numPr>
              <w:suppressAutoHyphens w:val="true"/>
              <w:spacing w:before="0" w:after="0"/>
              <w:ind w:left="0" w:right="0" w:hanging="0"/>
              <w:jc w:val="left"/>
              <w:outlineLvl w:val="2"/>
              <w:rPr>
                <w:rFonts w:ascii="Times New Roman" w:hAnsi="Times New Roman" w:eastAsia="Times New Roman" w:cs="Times New Roman"/>
                <w:b w:val="false"/>
                <w:kern w:val="0"/>
                <w:sz w:val="20"/>
                <w:szCs w:val="20"/>
                <w:lang w:val="ru-RU" w:eastAsia="ru-RU" w:bidi="ar-SA"/>
              </w:rPr>
            </w:pPr>
            <w:r>
              <w:rPr>
                <w:rFonts w:eastAsia="Times New Roman" w:cs="Times New Roman"/>
                <w:b w:val="false"/>
                <w:kern w:val="0"/>
                <w:sz w:val="20"/>
                <w:szCs w:val="20"/>
                <w:lang w:val="ru-RU" w:eastAsia="ru-RU" w:bidi="ar-SA"/>
              </w:rPr>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4"/>
              </w:numPr>
              <w:ind w:left="1134" w:right="0" w:hanging="1134"/>
              <w:rPr>
                <w:sz w:val="20"/>
                <w:szCs w:val="20"/>
              </w:rPr>
            </w:pPr>
            <w:r>
              <w:rPr>
                <w:sz w:val="20"/>
                <w:szCs w:val="20"/>
              </w:rPr>
            </w:r>
          </w:p>
        </w:tc>
        <w:tc>
          <w:tcPr>
            <w:tcW w:w="607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both"/>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Требования к приемке результата оказания услуг</w:t>
            </w:r>
          </w:p>
        </w:tc>
        <w:tc>
          <w:tcPr>
            <w:tcW w:w="30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2445" w:type="dxa"/>
            <w:tcBorders>
              <w:top w:val="single" w:sz="4" w:space="0" w:color="000000"/>
              <w:left w:val="single" w:sz="4" w:space="0" w:color="000000"/>
              <w:bottom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19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4"/>
              </w:numPr>
              <w:ind w:left="1134" w:right="0" w:hanging="1134"/>
              <w:rPr>
                <w:sz w:val="20"/>
                <w:szCs w:val="20"/>
              </w:rPr>
            </w:pPr>
            <w:r>
              <w:rPr>
                <w:sz w:val="20"/>
                <w:szCs w:val="20"/>
              </w:rPr>
            </w:r>
          </w:p>
        </w:tc>
        <w:tc>
          <w:tcPr>
            <w:tcW w:w="60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both"/>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По результатам оказанных услуг ответственный сотрудник проводит визуальный осмотр. При наличии замечаний оформляется «Ведомость замечаний» и направляется исполнителю</w:t>
            </w:r>
          </w:p>
        </w:tc>
        <w:tc>
          <w:tcPr>
            <w:tcW w:w="30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Согласие с требованиями</w:t>
            </w:r>
          </w:p>
        </w:tc>
        <w:tc>
          <w:tcPr>
            <w:tcW w:w="2445" w:type="dxa"/>
            <w:tcBorders>
              <w:top w:val="single" w:sz="4" w:space="0" w:color="000000"/>
              <w:left w:val="single" w:sz="4" w:space="0" w:color="000000"/>
              <w:bottom w:val="single" w:sz="4" w:space="0" w:color="000000"/>
            </w:tcBorders>
          </w:tcPr>
          <w:p>
            <w:pPr>
              <w:pStyle w:val="Style28"/>
              <w:keepNext w:val="false"/>
              <w:widowControl w:val="false"/>
              <w:numPr>
                <w:ilvl w:val="0"/>
                <w:numId w:val="0"/>
              </w:numPr>
              <w:suppressAutoHyphens w:val="true"/>
              <w:spacing w:before="0" w:after="0"/>
              <w:ind w:left="0" w:right="0" w:hanging="0"/>
              <w:jc w:val="center"/>
              <w:outlineLvl w:val="2"/>
              <w:rPr>
                <w:rFonts w:ascii="Times New Roman" w:hAnsi="Times New Roman" w:eastAsia="Times New Roman" w:cs="Times New Roman"/>
                <w:b w:val="false"/>
                <w:bCs/>
                <w:kern w:val="0"/>
                <w:sz w:val="20"/>
                <w:szCs w:val="20"/>
                <w:lang w:val="ru-RU" w:eastAsia="ru-RU" w:bidi="ar-SA"/>
              </w:rPr>
            </w:pPr>
            <w:r>
              <w:rPr>
                <w:rFonts w:eastAsia="Times New Roman" w:cs="Times New Roman"/>
                <w:b w:val="false"/>
                <w:bCs/>
                <w:kern w:val="0"/>
                <w:sz w:val="20"/>
                <w:szCs w:val="20"/>
                <w:lang w:val="ru-RU" w:eastAsia="ru-RU" w:bidi="ar-SA"/>
              </w:rPr>
            </w:r>
          </w:p>
        </w:tc>
        <w:tc>
          <w:tcPr>
            <w:tcW w:w="1980" w:type="dxa"/>
            <w:tcBorders>
              <w:top w:val="single" w:sz="4" w:space="0" w:color="000000"/>
              <w:left w:val="single" w:sz="4" w:space="0" w:color="000000"/>
              <w:bottom w:val="single" w:sz="4" w:space="0" w:color="000000"/>
              <w:right w:val="single" w:sz="4" w:space="0" w:color="000000"/>
            </w:tcBorders>
          </w:tcPr>
          <w:p>
            <w:pPr>
              <w:pStyle w:val="Style28"/>
              <w:keepNext w:val="false"/>
              <w:widowControl w:val="false"/>
              <w:numPr>
                <w:ilvl w:val="0"/>
                <w:numId w:val="0"/>
              </w:numPr>
              <w:suppressAutoHyphens w:val="true"/>
              <w:spacing w:before="0" w:after="0"/>
              <w:ind w:left="0" w:right="0" w:hanging="0"/>
              <w:jc w:val="left"/>
              <w:outlineLvl w:val="2"/>
              <w:rPr>
                <w:rFonts w:ascii="Times New Roman" w:hAnsi="Times New Roman" w:eastAsia="Times New Roman" w:cs="Times New Roman"/>
                <w:b w:val="false"/>
                <w:bCs/>
                <w:kern w:val="0"/>
                <w:sz w:val="20"/>
                <w:szCs w:val="20"/>
                <w:lang w:val="ru-RU" w:eastAsia="ru-RU" w:bidi="ar-SA"/>
              </w:rPr>
            </w:pPr>
            <w:r>
              <w:rPr>
                <w:rFonts w:eastAsia="Times New Roman" w:cs="Times New Roman"/>
                <w:b w:val="false"/>
                <w:bCs/>
                <w:kern w:val="0"/>
                <w:sz w:val="20"/>
                <w:szCs w:val="20"/>
                <w:lang w:val="ru-RU" w:eastAsia="ru-RU" w:bidi="ar-SA"/>
              </w:rPr>
            </w:r>
          </w:p>
        </w:tc>
      </w:tr>
      <w:tr>
        <w:trPr>
          <w:trHeight w:val="20" w:hRule="atLeast"/>
        </w:trPr>
        <w:tc>
          <w:tcPr>
            <w:tcW w:w="779" w:type="dxa"/>
            <w:tcBorders>
              <w:left w:val="single" w:sz="4" w:space="0" w:color="000000"/>
              <w:bottom w:val="single" w:sz="4" w:space="0" w:color="000000"/>
              <w:right w:val="single" w:sz="4" w:space="0" w:color="000000"/>
            </w:tcBorders>
            <w:vAlign w:val="center"/>
          </w:tcPr>
          <w:p>
            <w:pPr>
              <w:pStyle w:val="ListParagraph"/>
              <w:widowControl w:val="false"/>
              <w:numPr>
                <w:ilvl w:val="1"/>
                <w:numId w:val="4"/>
              </w:numPr>
              <w:ind w:left="1134" w:right="0" w:hanging="1134"/>
              <w:rPr>
                <w:sz w:val="20"/>
                <w:szCs w:val="20"/>
              </w:rPr>
            </w:pPr>
            <w:r>
              <w:rPr>
                <w:sz w:val="20"/>
                <w:szCs w:val="20"/>
              </w:rPr>
            </w:r>
          </w:p>
        </w:tc>
        <w:tc>
          <w:tcPr>
            <w:tcW w:w="6075" w:type="dxa"/>
            <w:gridSpan w:val="2"/>
            <w:tcBorders>
              <w:left w:val="single" w:sz="4" w:space="0" w:color="000000"/>
              <w:bottom w:val="single" w:sz="4" w:space="0" w:color="000000"/>
              <w:right w:val="single" w:sz="4" w:space="0" w:color="000000"/>
            </w:tcBorders>
          </w:tcPr>
          <w:p>
            <w:pPr>
              <w:pStyle w:val="Normal"/>
              <w:widowControl w:val="false"/>
              <w:suppressAutoHyphens w:val="true"/>
              <w:spacing w:before="0" w:after="0"/>
              <w:jc w:val="both"/>
              <w:rPr>
                <w:b/>
                <w:bCs/>
                <w:sz w:val="20"/>
                <w:szCs w:val="20"/>
              </w:rPr>
            </w:pPr>
            <w:r>
              <w:rPr>
                <w:b/>
                <w:bCs/>
                <w:sz w:val="20"/>
                <w:szCs w:val="20"/>
              </w:rPr>
              <w:t>Требования к документации, описывающей результат оказания услуг</w:t>
            </w:r>
          </w:p>
        </w:tc>
        <w:tc>
          <w:tcPr>
            <w:tcW w:w="3000"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2445" w:type="dxa"/>
            <w:tcBorders>
              <w:left w:val="single" w:sz="4" w:space="0" w:color="000000"/>
              <w:bottom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1980"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r>
      <w:tr>
        <w:trPr>
          <w:trHeight w:val="20" w:hRule="atLeast"/>
        </w:trPr>
        <w:tc>
          <w:tcPr>
            <w:tcW w:w="779" w:type="dxa"/>
            <w:tcBorders>
              <w:left w:val="single" w:sz="4" w:space="0" w:color="000000"/>
              <w:bottom w:val="single" w:sz="4" w:space="0" w:color="000000"/>
              <w:right w:val="single" w:sz="4" w:space="0" w:color="000000"/>
            </w:tcBorders>
            <w:vAlign w:val="center"/>
          </w:tcPr>
          <w:p>
            <w:pPr>
              <w:pStyle w:val="ListParagraph"/>
              <w:widowControl w:val="false"/>
              <w:numPr>
                <w:ilvl w:val="2"/>
                <w:numId w:val="4"/>
              </w:numPr>
              <w:ind w:left="1134" w:right="0" w:hanging="1134"/>
              <w:rPr>
                <w:sz w:val="20"/>
                <w:szCs w:val="20"/>
              </w:rPr>
            </w:pPr>
            <w:r>
              <w:rPr>
                <w:sz w:val="20"/>
                <w:szCs w:val="20"/>
              </w:rPr>
            </w:r>
          </w:p>
        </w:tc>
        <w:tc>
          <w:tcPr>
            <w:tcW w:w="6075" w:type="dxa"/>
            <w:gridSpan w:val="2"/>
            <w:tcBorders>
              <w:left w:val="single" w:sz="4" w:space="0" w:color="000000"/>
              <w:bottom w:val="single" w:sz="4" w:space="0" w:color="000000"/>
              <w:right w:val="single" w:sz="4" w:space="0" w:color="000000"/>
            </w:tcBorders>
          </w:tcPr>
          <w:p>
            <w:pPr>
              <w:pStyle w:val="Normal"/>
              <w:widowControl w:val="false"/>
              <w:suppressAutoHyphens w:val="true"/>
              <w:spacing w:before="0" w:after="0"/>
              <w:jc w:val="both"/>
              <w:rPr>
                <w:b w:val="false"/>
                <w:bCs w:val="false"/>
                <w:sz w:val="20"/>
                <w:szCs w:val="20"/>
              </w:rPr>
            </w:pPr>
            <w:r>
              <w:rPr>
                <w:b w:val="false"/>
                <w:bCs w:val="false"/>
                <w:sz w:val="20"/>
                <w:szCs w:val="20"/>
              </w:rPr>
              <w:t>По окончании оказания Услуг Исполнитель в течение 2 (двух) рабочих дней предоставляет Заказчику подписанные со своей стороны в 2 (двух) экземплярах УПД с приложением Отчета об оказании Услуг и иных отчетных документов.</w:t>
            </w:r>
          </w:p>
        </w:tc>
        <w:tc>
          <w:tcPr>
            <w:tcW w:w="3000"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b w:val="false"/>
                <w:bCs w:val="false"/>
                <w:sz w:val="20"/>
                <w:szCs w:val="20"/>
              </w:rPr>
            </w:pPr>
            <w:r>
              <w:rPr>
                <w:b w:val="false"/>
                <w:bCs w:val="false"/>
                <w:sz w:val="20"/>
                <w:szCs w:val="20"/>
              </w:rPr>
              <w:t>Согласие с требованиями</w:t>
            </w:r>
          </w:p>
        </w:tc>
        <w:tc>
          <w:tcPr>
            <w:tcW w:w="2445" w:type="dxa"/>
            <w:tcBorders>
              <w:left w:val="single" w:sz="4" w:space="0" w:color="000000"/>
              <w:bottom w:val="single" w:sz="4" w:space="0" w:color="000000"/>
            </w:tcBorders>
          </w:tcPr>
          <w:p>
            <w:pPr>
              <w:pStyle w:val="Style28"/>
              <w:keepNext w:val="false"/>
              <w:widowControl w:val="false"/>
              <w:numPr>
                <w:ilvl w:val="0"/>
                <w:numId w:val="0"/>
              </w:numPr>
              <w:suppressAutoHyphens w:val="true"/>
              <w:spacing w:before="0" w:after="0"/>
              <w:ind w:left="0" w:right="0" w:hanging="0"/>
              <w:jc w:val="center"/>
              <w:outlineLvl w:val="2"/>
              <w:rPr>
                <w:rFonts w:ascii="Times New Roman" w:hAnsi="Times New Roman" w:eastAsia="Times New Roman" w:cs="Times New Roman"/>
                <w:b w:val="false"/>
                <w:bCs/>
                <w:kern w:val="0"/>
                <w:sz w:val="20"/>
                <w:szCs w:val="20"/>
                <w:lang w:val="ru-RU" w:eastAsia="ru-RU" w:bidi="ar-SA"/>
              </w:rPr>
            </w:pPr>
            <w:r>
              <w:rPr>
                <w:rFonts w:eastAsia="Times New Roman" w:cs="Times New Roman"/>
                <w:b w:val="false"/>
                <w:bCs/>
                <w:kern w:val="0"/>
                <w:sz w:val="20"/>
                <w:szCs w:val="20"/>
                <w:lang w:val="ru-RU" w:eastAsia="ru-RU" w:bidi="ar-SA"/>
              </w:rPr>
            </w:r>
          </w:p>
        </w:tc>
        <w:tc>
          <w:tcPr>
            <w:tcW w:w="1980" w:type="dxa"/>
            <w:tcBorders>
              <w:left w:val="single" w:sz="4" w:space="0" w:color="000000"/>
              <w:bottom w:val="single" w:sz="4" w:space="0" w:color="000000"/>
              <w:right w:val="single" w:sz="4" w:space="0" w:color="000000"/>
            </w:tcBorders>
          </w:tcPr>
          <w:p>
            <w:pPr>
              <w:pStyle w:val="Style28"/>
              <w:keepNext w:val="false"/>
              <w:widowControl w:val="false"/>
              <w:numPr>
                <w:ilvl w:val="0"/>
                <w:numId w:val="0"/>
              </w:numPr>
              <w:suppressAutoHyphens w:val="true"/>
              <w:spacing w:before="0" w:after="0"/>
              <w:ind w:left="0" w:right="0" w:hanging="0"/>
              <w:jc w:val="left"/>
              <w:outlineLvl w:val="2"/>
              <w:rPr>
                <w:rFonts w:ascii="Times New Roman" w:hAnsi="Times New Roman" w:eastAsia="Times New Roman" w:cs="Times New Roman"/>
                <w:b w:val="false"/>
                <w:bCs/>
                <w:kern w:val="0"/>
                <w:sz w:val="20"/>
                <w:szCs w:val="20"/>
                <w:lang w:val="ru-RU" w:eastAsia="ru-RU" w:bidi="ar-SA"/>
              </w:rPr>
            </w:pPr>
            <w:r>
              <w:rPr>
                <w:rFonts w:eastAsia="Times New Roman" w:cs="Times New Roman"/>
                <w:b w:val="false"/>
                <w:bCs/>
                <w:kern w:val="0"/>
                <w:sz w:val="20"/>
                <w:szCs w:val="20"/>
                <w:lang w:val="ru-RU" w:eastAsia="ru-RU" w:bidi="ar-SA"/>
              </w:rPr>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4"/>
              </w:numPr>
              <w:ind w:left="1134" w:right="0" w:hanging="1134"/>
              <w:rPr>
                <w:sz w:val="20"/>
                <w:szCs w:val="20"/>
              </w:rPr>
            </w:pPr>
            <w:r>
              <w:rPr>
                <w:sz w:val="20"/>
                <w:szCs w:val="20"/>
              </w:rPr>
            </w:r>
          </w:p>
        </w:tc>
        <w:tc>
          <w:tcPr>
            <w:tcW w:w="607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both"/>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Требования к ответственности и гарантиям исполнителя</w:t>
            </w:r>
          </w:p>
        </w:tc>
        <w:tc>
          <w:tcPr>
            <w:tcW w:w="30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2445" w:type="dxa"/>
            <w:tcBorders>
              <w:top w:val="single" w:sz="4" w:space="0" w:color="000000"/>
              <w:left w:val="single" w:sz="4" w:space="0" w:color="000000"/>
              <w:bottom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c>
          <w:tcPr>
            <w:tcW w:w="19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b/>
                <w:kern w:val="0"/>
                <w:sz w:val="20"/>
                <w:szCs w:val="20"/>
                <w:lang w:val="ru-RU" w:eastAsia="ru-RU" w:bidi="ar-SA"/>
              </w:rPr>
            </w:pPr>
            <w:r>
              <w:rPr>
                <w:rFonts w:eastAsia="Times New Roman" w:cs="Times New Roman"/>
                <w:b/>
                <w:kern w:val="0"/>
                <w:sz w:val="20"/>
                <w:szCs w:val="20"/>
                <w:lang w:val="ru-RU" w:eastAsia="ru-RU" w:bidi="ar-SA"/>
              </w:rPr>
              <w:t>-//-</w:t>
            </w:r>
          </w:p>
        </w:tc>
      </w:tr>
      <w:tr>
        <w:trPr>
          <w:trHeight w:val="20" w:hRule="atLeast"/>
        </w:trPr>
        <w:tc>
          <w:tcPr>
            <w:tcW w:w="77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4"/>
              </w:numPr>
              <w:ind w:left="1134" w:right="0" w:hanging="1134"/>
              <w:rPr>
                <w:sz w:val="20"/>
                <w:szCs w:val="20"/>
              </w:rPr>
            </w:pPr>
            <w:r>
              <w:rPr>
                <w:sz w:val="20"/>
                <w:szCs w:val="20"/>
              </w:rPr>
            </w:r>
          </w:p>
        </w:tc>
        <w:tc>
          <w:tcPr>
            <w:tcW w:w="60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bookmarkStart w:id="37" w:name="__RefHeading___Toc3391_1975687802"/>
            <w:bookmarkEnd w:id="37"/>
            <w:r>
              <w:rPr>
                <w:sz w:val="20"/>
                <w:szCs w:val="20"/>
              </w:rPr>
              <w:t>Исполнитель гарантирует качество выполняемых работ. В случае если услуги оказаны некачественно, Подрядчик обязан в течение 3 (трех) календарных дней после получения претензии Заказчика за свой счет устранить выявленные недостатки.</w:t>
            </w:r>
          </w:p>
        </w:tc>
        <w:tc>
          <w:tcPr>
            <w:tcW w:w="30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eastAsia="Times New Roman" w:cs="Times New Roman"/>
                <w:kern w:val="0"/>
                <w:sz w:val="20"/>
                <w:szCs w:val="20"/>
                <w:lang w:val="ru-RU" w:eastAsia="ru-RU" w:bidi="ar-SA"/>
              </w:rPr>
            </w:pPr>
            <w:r>
              <w:rPr>
                <w:rFonts w:eastAsia="Times New Roman" w:cs="Times New Roman"/>
                <w:kern w:val="0"/>
                <w:sz w:val="20"/>
                <w:szCs w:val="20"/>
                <w:lang w:val="ru-RU" w:eastAsia="ru-RU" w:bidi="ar-SA"/>
              </w:rPr>
              <w:t>Согласие с требованиями</w:t>
            </w:r>
          </w:p>
        </w:tc>
        <w:tc>
          <w:tcPr>
            <w:tcW w:w="2445" w:type="dxa"/>
            <w:tcBorders>
              <w:top w:val="single" w:sz="4" w:space="0" w:color="000000"/>
              <w:left w:val="single" w:sz="4" w:space="0" w:color="000000"/>
              <w:bottom w:val="single" w:sz="4" w:space="0" w:color="000000"/>
            </w:tcBorders>
          </w:tcPr>
          <w:p>
            <w:pPr>
              <w:pStyle w:val="Style28"/>
              <w:keepNext w:val="false"/>
              <w:widowControl w:val="false"/>
              <w:numPr>
                <w:ilvl w:val="0"/>
                <w:numId w:val="0"/>
              </w:numPr>
              <w:suppressAutoHyphens w:val="true"/>
              <w:spacing w:before="0" w:after="0"/>
              <w:ind w:left="0" w:right="0" w:hanging="0"/>
              <w:jc w:val="center"/>
              <w:outlineLvl w:val="2"/>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1980" w:type="dxa"/>
            <w:tcBorders>
              <w:top w:val="single" w:sz="4" w:space="0" w:color="000000"/>
              <w:left w:val="single" w:sz="4" w:space="0" w:color="000000"/>
              <w:bottom w:val="single" w:sz="4" w:space="0" w:color="000000"/>
              <w:right w:val="single" w:sz="4" w:space="0" w:color="000000"/>
            </w:tcBorders>
          </w:tcPr>
          <w:p>
            <w:pPr>
              <w:pStyle w:val="Style28"/>
              <w:keepNext w:val="false"/>
              <w:widowControl w:val="false"/>
              <w:numPr>
                <w:ilvl w:val="0"/>
                <w:numId w:val="0"/>
              </w:numPr>
              <w:suppressAutoHyphens w:val="true"/>
              <w:spacing w:before="0" w:after="0"/>
              <w:ind w:left="0" w:right="0" w:hanging="0"/>
              <w:jc w:val="left"/>
              <w:outlineLvl w:val="2"/>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r>
    </w:tbl>
    <w:p>
      <w:pPr>
        <w:sectPr>
          <w:headerReference w:type="default" r:id="rId4"/>
          <w:headerReference w:type="first" r:id="rId5"/>
          <w:type w:val="nextPage"/>
          <w:pgSz w:orient="landscape" w:w="16838" w:h="11906"/>
          <w:pgMar w:left="1134" w:right="1134" w:gutter="0" w:header="0" w:top="1134" w:footer="0" w:bottom="1134"/>
          <w:pgNumType w:fmt="decimal"/>
          <w:formProt w:val="false"/>
          <w:textDirection w:val="lrTb"/>
          <w:docGrid w:type="default" w:linePitch="600" w:charSpace="24576"/>
        </w:sectPr>
      </w:pPr>
    </w:p>
    <w:p>
      <w:pPr>
        <w:pStyle w:val="Heading1"/>
        <w:keepLines/>
        <w:numPr>
          <w:ilvl w:val="0"/>
          <w:numId w:val="3"/>
        </w:numPr>
        <w:ind w:left="357" w:right="0" w:hanging="357"/>
        <w:jc w:val="center"/>
        <w:rPr>
          <w:lang w:val="ru-RU"/>
        </w:rPr>
      </w:pPr>
      <w:bookmarkStart w:id="38" w:name="__RefHeading___Toc3397_1975687802"/>
      <w:bookmarkStart w:id="39" w:name="_Toc54646411"/>
      <w:bookmarkStart w:id="40" w:name="_Toc53393312"/>
      <w:bookmarkEnd w:id="38"/>
      <w:r>
        <w:rPr>
          <w:lang w:val="ru-RU"/>
        </w:rPr>
        <w:t>Требования к документации по ценообразованию</w:t>
      </w:r>
      <w:bookmarkEnd w:id="40"/>
      <w:r>
        <w:rPr>
          <w:lang w:val="ru-RU"/>
        </w:rPr>
        <w:t xml:space="preserve"> на этапе закупки</w:t>
      </w:r>
      <w:bookmarkEnd w:id="39"/>
    </w:p>
    <w:p>
      <w:pPr>
        <w:pStyle w:val="Normal"/>
        <w:widowControl w:val="false"/>
        <w:numPr>
          <w:ilvl w:val="1"/>
          <w:numId w:val="3"/>
        </w:numPr>
        <w:tabs>
          <w:tab w:val="clear" w:pos="708"/>
          <w:tab w:val="left" w:pos="426" w:leader="none"/>
        </w:tabs>
        <w:suppressAutoHyphens w:val="true"/>
        <w:overflowPunct w:val="false"/>
        <w:bidi w:val="0"/>
        <w:spacing w:before="60" w:after="0"/>
        <w:ind w:left="0" w:right="0" w:firstLine="680"/>
        <w:jc w:val="both"/>
        <w:rPr/>
      </w:pPr>
      <w:r>
        <w:rPr>
          <w:rStyle w:val="Style8"/>
          <w:b w:val="false"/>
          <w:bCs/>
          <w:i w:val="false"/>
          <w:iCs w:val="false"/>
          <w:sz w:val="24"/>
          <w:szCs w:val="24"/>
          <w:shd w:fill="auto" w:val="clear"/>
        </w:rPr>
        <w:t>В обоснование стоимости своей заявки Участник должен предоставить Коммерческое предложение по форме (с учетом прилагаемой к ней инструкции по заполнению), приведенной в Документации о закупке.</w:t>
      </w:r>
    </w:p>
    <w:p>
      <w:pPr>
        <w:pStyle w:val="Normal"/>
        <w:widowControl w:val="false"/>
        <w:numPr>
          <w:ilvl w:val="1"/>
          <w:numId w:val="3"/>
        </w:numPr>
        <w:tabs>
          <w:tab w:val="clear" w:pos="708"/>
          <w:tab w:val="left" w:pos="426" w:leader="none"/>
        </w:tabs>
        <w:suppressAutoHyphens w:val="true"/>
        <w:overflowPunct w:val="false"/>
        <w:bidi w:val="0"/>
        <w:spacing w:before="60" w:after="0"/>
        <w:ind w:left="0" w:right="0" w:firstLine="680"/>
        <w:jc w:val="both"/>
        <w:rPr/>
      </w:pPr>
      <w:r>
        <w:rPr>
          <w:rStyle w:val="Style8"/>
          <w:b w:val="false"/>
          <w:bCs/>
          <w:i w:val="false"/>
          <w:iCs w:val="false"/>
          <w:sz w:val="24"/>
          <w:szCs w:val="24"/>
          <w:shd w:fill="auto" w:val="clear"/>
        </w:rPr>
        <w:t>Стоимость за единицу продукции (услуги) должна включать в себя налоги, сборы, пошлины и другие обязательные платежи, стоимость расходных материалов, используемых при оказании услуг, расходы на содержание, эксплуатацию, перебазировку спецоборудования и инструментов, и прочие расходы, связанные с оказанием услуг, предусмотренные Проектом договора.</w:t>
      </w:r>
    </w:p>
    <w:p>
      <w:pPr>
        <w:pStyle w:val="Heading1"/>
        <w:keepLines/>
        <w:numPr>
          <w:ilvl w:val="0"/>
          <w:numId w:val="0"/>
        </w:numPr>
        <w:ind w:left="357" w:right="0" w:hanging="0"/>
        <w:rPr>
          <w:iCs/>
        </w:rPr>
      </w:pPr>
      <w:r>
        <w:rPr>
          <w:iCs/>
        </w:rPr>
      </w:r>
    </w:p>
    <w:p>
      <w:pPr>
        <w:pStyle w:val="Heading1"/>
        <w:keepLines/>
        <w:numPr>
          <w:ilvl w:val="0"/>
          <w:numId w:val="3"/>
        </w:numPr>
        <w:ind w:left="357" w:right="0" w:hanging="357"/>
        <w:jc w:val="center"/>
        <w:rPr>
          <w:lang w:val="ru-RU"/>
        </w:rPr>
      </w:pPr>
      <w:bookmarkStart w:id="41" w:name="__RefHeading___Toc3399_1975687802"/>
      <w:bookmarkStart w:id="42" w:name="_Toc54646412"/>
      <w:bookmarkEnd w:id="41"/>
      <w:r>
        <w:rPr>
          <w:lang w:val="ru-RU"/>
        </w:rPr>
        <w:t>Требования к документации по ценообразованию на этапе заключения (исполнения) договора</w:t>
      </w:r>
      <w:bookmarkEnd w:id="42"/>
    </w:p>
    <w:p>
      <w:pPr>
        <w:pStyle w:val="Normal"/>
        <w:widowControl w:val="false"/>
        <w:numPr>
          <w:ilvl w:val="1"/>
          <w:numId w:val="3"/>
        </w:numPr>
        <w:tabs>
          <w:tab w:val="clear" w:pos="708"/>
          <w:tab w:val="left" w:pos="426" w:leader="none"/>
        </w:tabs>
        <w:suppressAutoHyphens w:val="true"/>
        <w:overflowPunct w:val="false"/>
        <w:bidi w:val="0"/>
        <w:spacing w:before="60" w:after="0"/>
        <w:ind w:left="0" w:right="0" w:firstLine="680"/>
        <w:jc w:val="both"/>
        <w:rPr/>
      </w:pPr>
      <w:r>
        <w:rPr>
          <w:rStyle w:val="Style8"/>
          <w:b w:val="false"/>
          <w:bCs/>
          <w:i w:val="false"/>
          <w:iCs w:val="false"/>
          <w:sz w:val="24"/>
          <w:szCs w:val="24"/>
          <w:shd w:fill="auto" w:val="clear"/>
        </w:rPr>
        <w:t>По результатам настоящей закупки заключается договор с предельной ценой, предложенной Участником закупки, заявка которого соответствовала требованиям ТТ и содержала наиболее низкую цену.</w:t>
      </w:r>
    </w:p>
    <w:p>
      <w:pPr>
        <w:pStyle w:val="Normal"/>
        <w:widowControl w:val="false"/>
        <w:numPr>
          <w:ilvl w:val="0"/>
          <w:numId w:val="0"/>
        </w:numPr>
        <w:tabs>
          <w:tab w:val="clear" w:pos="708"/>
          <w:tab w:val="left" w:pos="426" w:leader="none"/>
        </w:tabs>
        <w:spacing w:before="60" w:after="0"/>
        <w:ind w:left="432" w:hanging="0"/>
        <w:jc w:val="both"/>
        <w:rPr>
          <w:rStyle w:val="Style8"/>
          <w:i w:val="false"/>
          <w:i w:val="false"/>
          <w:iCs w:val="false"/>
        </w:rPr>
      </w:pPr>
      <w:r>
        <w:rPr>
          <w:i w:val="false"/>
          <w:iCs w:val="false"/>
        </w:rPr>
      </w:r>
      <w:bookmarkStart w:id="43" w:name="__RefHeading___Toc3401_1975687802"/>
      <w:bookmarkStart w:id="44" w:name="__RefHeading___Toc3401_1975687802"/>
      <w:bookmarkEnd w:id="44"/>
    </w:p>
    <w:p>
      <w:pPr>
        <w:pStyle w:val="Normal"/>
        <w:widowControl w:val="false"/>
        <w:tabs>
          <w:tab w:val="clear" w:pos="708"/>
          <w:tab w:val="left" w:pos="426" w:leader="none"/>
        </w:tabs>
        <w:spacing w:before="60" w:after="0"/>
        <w:jc w:val="both"/>
        <w:rPr>
          <w:rStyle w:val="Style8"/>
          <w:b w:val="false"/>
          <w:bCs/>
          <w:iCs/>
          <w:sz w:val="24"/>
          <w:szCs w:val="24"/>
        </w:rPr>
      </w:pPr>
      <w:r>
        <w:rPr>
          <w:b w:val="false"/>
          <w:bCs/>
          <w:iCs/>
          <w:sz w:val="24"/>
          <w:szCs w:val="24"/>
        </w:rPr>
      </w:r>
    </w:p>
    <w:p>
      <w:pPr>
        <w:pStyle w:val="Normal"/>
        <w:widowControl w:val="false"/>
        <w:tabs>
          <w:tab w:val="clear" w:pos="708"/>
          <w:tab w:val="left" w:pos="426" w:leader="none"/>
        </w:tabs>
        <w:spacing w:before="60" w:after="0"/>
        <w:jc w:val="both"/>
        <w:rPr>
          <w:rStyle w:val="Style8"/>
          <w:b w:val="false"/>
          <w:bCs/>
          <w:iCs/>
          <w:sz w:val="24"/>
          <w:szCs w:val="24"/>
        </w:rPr>
      </w:pPr>
      <w:r>
        <w:rPr>
          <w:b w:val="false"/>
          <w:bCs/>
          <w:iCs/>
          <w:sz w:val="24"/>
          <w:szCs w:val="24"/>
        </w:rPr>
      </w:r>
    </w:p>
    <w:p>
      <w:pPr>
        <w:pStyle w:val="Normal"/>
        <w:widowControl w:val="false"/>
        <w:tabs>
          <w:tab w:val="clear" w:pos="708"/>
          <w:tab w:val="left" w:pos="426" w:leader="none"/>
        </w:tabs>
        <w:spacing w:before="120" w:after="120"/>
        <w:jc w:val="both"/>
        <w:rPr>
          <w:rStyle w:val="Style8"/>
          <w:b w:val="false"/>
          <w:bCs/>
          <w:iCs/>
          <w:sz w:val="24"/>
          <w:szCs w:val="24"/>
        </w:rPr>
      </w:pPr>
      <w:r>
        <w:rPr>
          <w:b w:val="false"/>
          <w:bCs/>
          <w:iCs/>
          <w:sz w:val="24"/>
          <w:szCs w:val="24"/>
        </w:rPr>
      </w:r>
    </w:p>
    <w:p>
      <w:pPr>
        <w:pStyle w:val="Normal"/>
        <w:spacing w:before="0" w:after="120"/>
        <w:rPr/>
      </w:pPr>
      <w:r>
        <w:rPr/>
      </w:r>
    </w:p>
    <w:sectPr>
      <w:headerReference w:type="default" r:id="rId6"/>
      <w:headerReference w:type="first" r:id="rId7"/>
      <w:type w:val="nextPage"/>
      <w:pgSz w:w="11906" w:h="16838"/>
      <w:pgMar w:left="1134" w:right="851" w:gutter="0" w:header="680" w:top="1134" w:footer="0" w:bottom="992"/>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Tahoma">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 w:name="OpenSymbol">
    <w:altName w:val="Arial Unicode MS"/>
    <w:charset w:val="01"/>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6</w:t>
    </w:r>
    <w:r>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0</w:t>
    </w:r>
    <w:r>
      <w:rPr/>
      <w:fldChar w:fldCharType="end"/>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2">
    <w:lvl w:ilvl="0">
      <w:start w:val="1"/>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3">
    <w:lvl w:ilvl="0">
      <w:start w:val="1"/>
      <w:numFmt w:val="decimal"/>
      <w:lvlText w:val="%1."/>
      <w:lvlJc w:val="left"/>
      <w:pPr>
        <w:tabs>
          <w:tab w:val="num" w:pos="0"/>
        </w:tabs>
        <w:ind w:left="5038" w:hanging="360"/>
      </w:pPr>
      <w:rPr>
        <w:smallCaps w:val="false"/>
        <w:caps w:val="false"/>
        <w:dstrike w:val="false"/>
        <w:strike w:val="false"/>
        <w:vertAlign w:val="baseline"/>
        <w:position w:val="0"/>
        <w:sz w:val="28"/>
        <w:sz w:val="28"/>
        <w:spacing w:val="0"/>
        <w:i w:val="false"/>
        <w:u w:val="none"/>
        <w:b/>
        <w:kern w:val="0"/>
        <w:effect w:val="none"/>
        <w:szCs w:val="28"/>
        <w:iCs w:val="false"/>
        <w:bCs w:val="false"/>
        <w:em w:val="none"/>
        <w:vanish w:val="false"/>
        <w:rFonts w:ascii="Times New Roman" w:hAnsi="Times New Roman" w:cs="Times New Roman"/>
        <w:color w:val="000000"/>
      </w:rPr>
    </w:lvl>
    <w:lvl w:ilvl="1">
      <w:start w:val="1"/>
      <w:numFmt w:val="decimal"/>
      <w:lvlText w:val="%1.%2."/>
      <w:lvlJc w:val="left"/>
      <w:pPr>
        <w:tabs>
          <w:tab w:val="num" w:pos="0"/>
        </w:tabs>
        <w:ind w:left="709" w:hanging="709"/>
      </w:pPr>
      <w:rPr>
        <w:sz w:val="24"/>
        <w:i w:val="false"/>
        <w:b/>
        <w:szCs w:val="24"/>
        <w:iCs/>
        <w:bCs/>
      </w:rPr>
    </w:lvl>
    <w:lvl w:ilvl="2">
      <w:start w:val="1"/>
      <w:numFmt w:val="decimal"/>
      <w:lvlText w:val="%1.%2.%3."/>
      <w:lvlJc w:val="left"/>
      <w:pPr>
        <w:tabs>
          <w:tab w:val="num" w:pos="0"/>
        </w:tabs>
        <w:ind w:left="1224" w:hanging="504"/>
      </w:pPr>
      <w:rPr>
        <w:sz w:val="24"/>
        <w:b w:val="false"/>
        <w:szCs w:val="24"/>
        <w:bCs w:val="false"/>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1."/>
      <w:lvlJc w:val="left"/>
      <w:pPr>
        <w:tabs>
          <w:tab w:val="num" w:pos="0"/>
        </w:tabs>
        <w:ind w:left="1134" w:hanging="1134"/>
      </w:pPr>
      <w:rPr>
        <w:b/>
        <w:bCs/>
      </w:rPr>
    </w:lvl>
    <w:lvl w:ilvl="1">
      <w:start w:val="1"/>
      <w:numFmt w:val="decimal"/>
      <w:lvlText w:val="%1.%2."/>
      <w:lvlJc w:val="left"/>
      <w:pPr>
        <w:tabs>
          <w:tab w:val="num" w:pos="0"/>
        </w:tabs>
        <w:ind w:left="1134" w:hanging="1134"/>
      </w:pPr>
      <w:rPr>
        <w:b/>
        <w:bCs/>
      </w:rPr>
    </w:lvl>
    <w:lvl w:ilvl="2">
      <w:start w:val="1"/>
      <w:numFmt w:val="decimal"/>
      <w:lvlText w:val="%1.%2.%3."/>
      <w:lvlJc w:val="left"/>
      <w:pPr>
        <w:tabs>
          <w:tab w:val="num" w:pos="0"/>
        </w:tabs>
        <w:ind w:left="1134" w:hanging="1134"/>
      </w:pPr>
      <w:rPr>
        <w:b w:val="false"/>
        <w:bCs w:val="false"/>
      </w:rPr>
    </w:lvl>
    <w:lvl w:ilvl="3">
      <w:start w:val="1"/>
      <w:numFmt w:val="russianLower"/>
      <w:lvlText w:val="(%4)"/>
      <w:lvlJc w:val="left"/>
      <w:pPr>
        <w:tabs>
          <w:tab w:val="num" w:pos="0"/>
        </w:tabs>
        <w:ind w:left="1985"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lvl>
    <w:lvl w:ilvl="6">
      <w:start w:val="1"/>
      <w:numFmt w:val="none"/>
      <w:suff w:val="nothing"/>
      <w:lvlText w:val="%7"/>
      <w:lvlJc w:val="left"/>
      <w:pPr>
        <w:tabs>
          <w:tab w:val="num" w:pos="0"/>
        </w:tabs>
        <w:ind w:left="1701"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1134" w:hanging="0"/>
      </w:pPr>
      <w:rPr/>
    </w:lvl>
  </w:abstractNum>
  <w:abstractNum w:abstractNumId="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
    <w:lvl w:ilvl="0">
      <w:start w:val="1"/>
      <w:numFmt w:val="bullet"/>
      <w:lvlText w:val=""/>
      <w:lvlJc w:val="left"/>
      <w:pPr>
        <w:tabs>
          <w:tab w:val="num" w:pos="720"/>
        </w:tabs>
        <w:ind w:left="720" w:hanging="360"/>
      </w:pPr>
      <w:rPr>
        <w:rFonts w:ascii="Symbol" w:hAnsi="Symbol" w:cs="Symbol" w:hint="default"/>
        <w:sz w:val="24"/>
        <w:szCs w:val="24"/>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9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Heading3"/>
    <w:next w:val="Normal"/>
    <w:link w:val="1"/>
    <w:qFormat/>
    <w:pPr>
      <w:numPr>
        <w:ilvl w:val="0"/>
        <w:numId w:val="3"/>
      </w:numPr>
      <w:outlineLvl w:val="0"/>
    </w:pPr>
    <w:rPr>
      <w:sz w:val="28"/>
      <w:szCs w:val="28"/>
    </w:rPr>
  </w:style>
  <w:style w:type="paragraph" w:styleId="Heading2">
    <w:name w:val="Heading 2"/>
    <w:basedOn w:val="Heading4"/>
    <w:next w:val="Normal"/>
    <w:link w:val="2"/>
    <w:qFormat/>
    <w:pPr>
      <w:outlineLvl w:val="1"/>
    </w:pPr>
    <w:rPr/>
  </w:style>
  <w:style w:type="paragraph" w:styleId="Heading3">
    <w:name w:val="Heading 3"/>
    <w:basedOn w:val="Normal"/>
    <w:next w:val="Normal"/>
    <w:link w:val="3"/>
    <w:autoRedefine/>
    <w:qFormat/>
    <w:pPr>
      <w:keepNext w:val="true"/>
      <w:widowControl/>
      <w:numPr>
        <w:ilvl w:val="0"/>
        <w:numId w:val="0"/>
      </w:numPr>
      <w:suppressAutoHyphens w:val="true"/>
      <w:overflowPunct w:val="false"/>
      <w:bidi w:val="0"/>
      <w:spacing w:lineRule="auto" w:line="240" w:before="120" w:after="60"/>
      <w:ind w:left="0" w:right="0" w:firstLine="680"/>
      <w:jc w:val="left"/>
      <w:outlineLvl w:val="2"/>
    </w:pPr>
    <w:rPr>
      <w:rFonts w:eastAsia="Calibri"/>
      <w:b/>
      <w:bCs/>
      <w:i w:val="false"/>
      <w:iCs w:val="false"/>
      <w:sz w:val="24"/>
      <w:szCs w:val="24"/>
      <w:lang w:val="x-none" w:eastAsia="x-none"/>
    </w:rPr>
  </w:style>
  <w:style w:type="paragraph" w:styleId="Heading4">
    <w:name w:val="Heading 4"/>
    <w:basedOn w:val="Heading3"/>
    <w:next w:val="Normal"/>
    <w:link w:val="4"/>
    <w:qFormat/>
    <w:pPr>
      <w:numPr>
        <w:ilvl w:val="1"/>
        <w:numId w:val="3"/>
      </w:numPr>
      <w:outlineLvl w:val="3"/>
    </w:pPr>
    <w:rPr>
      <w:bCs/>
    </w:rPr>
  </w:style>
  <w:style w:type="paragraph" w:styleId="Heading5">
    <w:name w:val="Heading 5"/>
    <w:basedOn w:val="Normal"/>
    <w:next w:val="Normal"/>
    <w:link w:val="5"/>
    <w:qFormat/>
    <w:pPr>
      <w:numPr>
        <w:ilvl w:val="0"/>
        <w:numId w:val="0"/>
      </w:numPr>
      <w:spacing w:before="240" w:after="60"/>
      <w:outlineLvl w:val="4"/>
    </w:pPr>
    <w:rPr>
      <w:b/>
      <w:bCs/>
      <w:i/>
      <w:iCs/>
      <w:sz w:val="26"/>
      <w:szCs w:val="26"/>
      <w:lang w:val="x-none" w:eastAsia="x-none"/>
    </w:rPr>
  </w:style>
  <w:style w:type="paragraph" w:styleId="Heading6">
    <w:name w:val="Heading 6"/>
    <w:basedOn w:val="Normal"/>
    <w:next w:val="Normal"/>
    <w:link w:val="6"/>
    <w:qFormat/>
    <w:pPr>
      <w:keepNext w:val="true"/>
      <w:keepLines/>
      <w:numPr>
        <w:ilvl w:val="0"/>
        <w:numId w:val="0"/>
      </w:numPr>
      <w:spacing w:before="200" w:after="0"/>
      <w:outlineLvl w:val="5"/>
    </w:pPr>
    <w:rPr>
      <w:rFonts w:ascii="Cambria" w:hAnsi="Cambria"/>
      <w:i/>
      <w:iCs/>
      <w:color w:val="243F60"/>
      <w:sz w:val="20"/>
      <w:szCs w:val="20"/>
      <w:lang w:val="x-none" w:eastAsia="x-none"/>
    </w:rPr>
  </w:style>
  <w:style w:type="paragraph" w:styleId="Heading7">
    <w:name w:val="Heading 7"/>
    <w:basedOn w:val="Normal"/>
    <w:next w:val="Normal"/>
    <w:link w:val="7"/>
    <w:qFormat/>
    <w:pPr>
      <w:keepNext w:val="true"/>
      <w:keepLines/>
      <w:numPr>
        <w:ilvl w:val="0"/>
        <w:numId w:val="0"/>
      </w:numPr>
      <w:spacing w:before="200" w:after="0"/>
      <w:outlineLvl w:val="6"/>
    </w:pPr>
    <w:rPr>
      <w:rFonts w:ascii="Cambria" w:hAnsi="Cambria"/>
      <w:i/>
      <w:iCs/>
      <w:color w:val="404040"/>
      <w:sz w:val="20"/>
      <w:szCs w:val="20"/>
      <w:lang w:val="x-none" w:eastAsia="x-none"/>
    </w:rPr>
  </w:style>
  <w:style w:type="paragraph" w:styleId="Heading8">
    <w:name w:val="Heading 8"/>
    <w:basedOn w:val="Normal"/>
    <w:next w:val="Normal"/>
    <w:link w:val="8"/>
    <w:qFormat/>
    <w:pPr>
      <w:keepNext w:val="true"/>
      <w:keepLines/>
      <w:numPr>
        <w:ilvl w:val="0"/>
        <w:numId w:val="0"/>
      </w:numPr>
      <w:spacing w:before="200" w:after="0"/>
      <w:outlineLvl w:val="7"/>
    </w:pPr>
    <w:rPr>
      <w:rFonts w:ascii="Cambria" w:hAnsi="Cambria"/>
      <w:color w:val="4F81BD"/>
      <w:sz w:val="20"/>
      <w:szCs w:val="20"/>
      <w:lang w:val="x-none" w:eastAsia="x-none"/>
    </w:rPr>
  </w:style>
  <w:style w:type="paragraph" w:styleId="Heading9">
    <w:name w:val="Heading 9"/>
    <w:basedOn w:val="Normal"/>
    <w:next w:val="Normal"/>
    <w:link w:val="9"/>
    <w:qFormat/>
    <w:pPr>
      <w:numPr>
        <w:ilvl w:val="0"/>
        <w:numId w:val="0"/>
      </w:numPr>
      <w:spacing w:before="240" w:after="60"/>
      <w:outlineLvl w:val="8"/>
    </w:pPr>
    <w:rPr>
      <w:rFonts w:ascii="Arial" w:hAnsi="Arial"/>
      <w:sz w:val="22"/>
      <w:szCs w:val="22"/>
      <w:lang w:val="x-none" w:eastAsia="x-none"/>
    </w:rPr>
  </w:style>
  <w:style w:type="character" w:styleId="DefaultParagraphFont">
    <w:name w:val="Default Paragraph Font"/>
    <w:qFormat/>
    <w:rPr/>
  </w:style>
  <w:style w:type="character" w:styleId="Style">
    <w:name w:val="Символ сноски"/>
    <w:qFormat/>
    <w:rPr>
      <w:vertAlign w:val="superscript"/>
    </w:rPr>
  </w:style>
  <w:style w:type="character" w:styleId="FootnoteReference">
    <w:name w:val="Footnote Reference"/>
    <w:rPr>
      <w:vertAlign w:val="superscript"/>
    </w:rPr>
  </w:style>
  <w:style w:type="character" w:styleId="Pagenumber">
    <w:name w:val="page number"/>
    <w:basedOn w:val="DefaultParagraphFont"/>
    <w:qFormat/>
    <w:rPr/>
  </w:style>
  <w:style w:type="character" w:styleId="Hyperlink">
    <w:name w:val="Hyperlink"/>
    <w:rPr>
      <w:color w:val="0000FF"/>
      <w:u w:val="single"/>
    </w:rPr>
  </w:style>
  <w:style w:type="character" w:styleId="Annotationreference">
    <w:name w:val="annotation reference"/>
    <w:qFormat/>
    <w:rPr>
      <w:sz w:val="16"/>
      <w:szCs w:val="16"/>
    </w:rPr>
  </w:style>
  <w:style w:type="character" w:styleId="Strong">
    <w:name w:val="Strong"/>
    <w:qFormat/>
    <w:rPr>
      <w:b/>
      <w:bCs/>
    </w:rPr>
  </w:style>
  <w:style w:type="character" w:styleId="6">
    <w:name w:val="Заголовок 6 Знак"/>
    <w:qFormat/>
    <w:rPr>
      <w:rFonts w:ascii="Cambria" w:hAnsi="Cambria"/>
      <w:i/>
      <w:iCs/>
      <w:color w:val="243F60"/>
      <w:lang w:val="x-none" w:eastAsia="x-none"/>
    </w:rPr>
  </w:style>
  <w:style w:type="character" w:styleId="7">
    <w:name w:val="Заголовок 7 Знак"/>
    <w:qFormat/>
    <w:rPr>
      <w:rFonts w:ascii="Cambria" w:hAnsi="Cambria"/>
      <w:i/>
      <w:iCs/>
      <w:color w:val="404040"/>
      <w:lang w:val="x-none" w:eastAsia="x-none"/>
    </w:rPr>
  </w:style>
  <w:style w:type="character" w:styleId="8">
    <w:name w:val="Заголовок 8 Знак"/>
    <w:qFormat/>
    <w:rPr>
      <w:rFonts w:ascii="Cambria" w:hAnsi="Cambria"/>
      <w:color w:val="4F81BD"/>
      <w:lang w:val="x-none" w:eastAsia="x-none"/>
    </w:rPr>
  </w:style>
  <w:style w:type="character" w:styleId="1">
    <w:name w:val="Заголовок 1 Знак"/>
    <w:qFormat/>
    <w:rPr>
      <w:rFonts w:eastAsia="Calibri"/>
      <w:b/>
      <w:sz w:val="28"/>
      <w:szCs w:val="28"/>
      <w:lang w:val="x-none" w:eastAsia="x-none"/>
    </w:rPr>
  </w:style>
  <w:style w:type="character" w:styleId="2">
    <w:name w:val="Заголовок 2 Знак"/>
    <w:qFormat/>
    <w:rPr>
      <w:rFonts w:eastAsia="Calibri"/>
      <w:b/>
      <w:bCs/>
      <w:sz w:val="24"/>
      <w:szCs w:val="24"/>
      <w:lang w:val="x-none" w:eastAsia="x-none"/>
    </w:rPr>
  </w:style>
  <w:style w:type="character" w:styleId="3">
    <w:name w:val="Заголовок 3 Знак"/>
    <w:qFormat/>
    <w:rPr>
      <w:rFonts w:eastAsia="Calibri"/>
      <w:b/>
      <w:sz w:val="24"/>
      <w:szCs w:val="24"/>
      <w:lang w:val="x-none" w:eastAsia="x-none"/>
    </w:rPr>
  </w:style>
  <w:style w:type="character" w:styleId="4">
    <w:name w:val="Заголовок 4 Знак"/>
    <w:qFormat/>
    <w:rPr>
      <w:rFonts w:eastAsia="Calibri"/>
      <w:b/>
      <w:bCs/>
      <w:sz w:val="24"/>
      <w:szCs w:val="24"/>
      <w:lang w:val="x-none" w:eastAsia="x-none"/>
    </w:rPr>
  </w:style>
  <w:style w:type="character" w:styleId="5">
    <w:name w:val="Заголовок 5 Знак"/>
    <w:qFormat/>
    <w:rPr>
      <w:b/>
      <w:bCs/>
      <w:i/>
      <w:iCs/>
      <w:sz w:val="26"/>
      <w:szCs w:val="26"/>
    </w:rPr>
  </w:style>
  <w:style w:type="character" w:styleId="9">
    <w:name w:val="Заголовок 9 Знак"/>
    <w:qFormat/>
    <w:rPr>
      <w:rFonts w:ascii="Arial" w:hAnsi="Arial" w:cs="Arial"/>
      <w:sz w:val="22"/>
      <w:szCs w:val="22"/>
    </w:rPr>
  </w:style>
  <w:style w:type="character" w:styleId="Style1">
    <w:name w:val="Название Знак"/>
    <w:link w:val="15"/>
    <w:qFormat/>
    <w:rPr>
      <w:sz w:val="28"/>
    </w:rPr>
  </w:style>
  <w:style w:type="character" w:styleId="Style2">
    <w:name w:val="Подзаголовок Знак"/>
    <w:qFormat/>
    <w:rPr>
      <w:rFonts w:ascii="Cambria" w:hAnsi="Cambria"/>
      <w:i/>
      <w:iCs/>
      <w:color w:val="4F81BD"/>
      <w:spacing w:val="15"/>
      <w:sz w:val="24"/>
      <w:szCs w:val="24"/>
      <w:lang w:val="x-none" w:eastAsia="x-none"/>
    </w:rPr>
  </w:style>
  <w:style w:type="character" w:styleId="Emphasis">
    <w:name w:val="Emphasis"/>
    <w:qFormat/>
    <w:rPr>
      <w:i/>
      <w:iCs/>
    </w:rPr>
  </w:style>
  <w:style w:type="character" w:styleId="21">
    <w:name w:val="Цитата 2 Знак"/>
    <w:link w:val="Quote"/>
    <w:qFormat/>
    <w:rPr>
      <w:rFonts w:ascii="Calibri" w:hAnsi="Calibri" w:eastAsia="Calibri"/>
      <w:i/>
      <w:iCs/>
      <w:color w:val="000000"/>
      <w:lang w:val="x-none" w:eastAsia="x-none"/>
    </w:rPr>
  </w:style>
  <w:style w:type="character" w:styleId="Style3">
    <w:name w:val="Выделенная цитата Знак"/>
    <w:link w:val="IntenseQuote"/>
    <w:qFormat/>
    <w:rPr>
      <w:rFonts w:ascii="Calibri" w:hAnsi="Calibri" w:eastAsia="Calibri"/>
      <w:b/>
      <w:bCs/>
      <w:i/>
      <w:iCs/>
      <w:color w:val="4F81BD"/>
      <w:lang w:val="x-none" w:eastAsia="x-none"/>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character" w:styleId="Style4">
    <w:name w:val="Электронная подпись Знак"/>
    <w:link w:val="E-mailSignature"/>
    <w:qFormat/>
    <w:rPr>
      <w:rFonts w:eastAsia="Calibri"/>
      <w:sz w:val="24"/>
      <w:szCs w:val="24"/>
    </w:rPr>
  </w:style>
  <w:style w:type="character" w:styleId="11">
    <w:name w:val="Подпункт Знак1"/>
    <w:link w:val="Style22"/>
    <w:qFormat/>
    <w:rPr>
      <w:sz w:val="28"/>
    </w:rPr>
  </w:style>
  <w:style w:type="character" w:styleId="Style5">
    <w:name w:val="Текст сноски Знак"/>
    <w:qFormat/>
    <w:rPr/>
  </w:style>
  <w:style w:type="character" w:styleId="Style6">
    <w:name w:val="Основной текст Знак"/>
    <w:qFormat/>
    <w:rPr>
      <w:sz w:val="28"/>
      <w:szCs w:val="28"/>
    </w:rPr>
  </w:style>
  <w:style w:type="character" w:styleId="Blk">
    <w:name w:val="blk"/>
    <w:qFormat/>
    <w:rPr/>
  </w:style>
  <w:style w:type="character" w:styleId="Style7">
    <w:name w:val="Абзац списка Знак"/>
    <w:link w:val="ListParagraph"/>
    <w:qFormat/>
    <w:rPr>
      <w:rFonts w:eastAsia="Calibri"/>
      <w:sz w:val="24"/>
      <w:szCs w:val="24"/>
    </w:rPr>
  </w:style>
  <w:style w:type="character" w:styleId="Style8">
    <w:name w:val="комментарий"/>
    <w:qFormat/>
    <w:rPr>
      <w:b/>
      <w:i/>
      <w:shd w:fill="FFFF99" w:val="clear"/>
    </w:rPr>
  </w:style>
  <w:style w:type="character" w:styleId="Style9">
    <w:name w:val="Подподпункт Знак"/>
    <w:link w:val="Style30"/>
    <w:qFormat/>
    <w:rPr>
      <w:sz w:val="26"/>
      <w:szCs w:val="26"/>
    </w:rPr>
  </w:style>
  <w:style w:type="character" w:styleId="31">
    <w:name w:val="УРОВЕНЬ_Абзац_тип3 Знак"/>
    <w:link w:val="36"/>
    <w:qFormat/>
    <w:rPr>
      <w:rFonts w:eastAsia="Calibri"/>
      <w:sz w:val="26"/>
      <w:szCs w:val="28"/>
      <w:lang w:eastAsia="en-US"/>
    </w:rPr>
  </w:style>
  <w:style w:type="character" w:styleId="Style10">
    <w:name w:val="Верхний колонтитул Знак"/>
    <w:qFormat/>
    <w:rPr>
      <w:sz w:val="24"/>
      <w:szCs w:val="24"/>
    </w:rPr>
  </w:style>
  <w:style w:type="character" w:styleId="Style11">
    <w:name w:val="Текст примечания Знак"/>
    <w:link w:val="Annotationtext"/>
    <w:qFormat/>
    <w:rPr/>
  </w:style>
  <w:style w:type="character" w:styleId="Style12">
    <w:name w:val="Текст концевой сноски Знак"/>
    <w:basedOn w:val="DefaultParagraphFont"/>
    <w:qFormat/>
    <w:rPr/>
  </w:style>
  <w:style w:type="character" w:styleId="Style13">
    <w:name w:val="Символ концевой сноски"/>
    <w:qFormat/>
    <w:rPr>
      <w:vertAlign w:val="superscript"/>
    </w:rPr>
  </w:style>
  <w:style w:type="character" w:styleId="EndnoteReference">
    <w:name w:val="Endnote Reference"/>
    <w:rPr>
      <w:vertAlign w:val="superscript"/>
    </w:rPr>
  </w:style>
  <w:style w:type="character" w:styleId="22">
    <w:name w:val="Пункт2 Знак"/>
    <w:link w:val="24"/>
    <w:qFormat/>
    <w:rPr>
      <w:b/>
      <w:sz w:val="28"/>
    </w:rPr>
  </w:style>
  <w:style w:type="character" w:styleId="12">
    <w:name w:val="УРОВЕНЬ_1. Знак"/>
    <w:link w:val="19"/>
    <w:qFormat/>
    <w:rPr>
      <w:rFonts w:eastAsia="Calibri"/>
      <w:caps/>
      <w:sz w:val="28"/>
      <w:szCs w:val="28"/>
      <w:lang w:eastAsia="en-US"/>
    </w:rPr>
  </w:style>
  <w:style w:type="character" w:styleId="13">
    <w:name w:val="Неразрешенное упоминание1"/>
    <w:basedOn w:val="DefaultParagraphFont"/>
    <w:qFormat/>
    <w:rPr>
      <w:color w:val="605E5C"/>
      <w:shd w:fill="E1DFDD" w:val="clear"/>
    </w:rPr>
  </w:style>
  <w:style w:type="character" w:styleId="32">
    <w:name w:val="Основной текст с отступом 3 Знак"/>
    <w:link w:val="BodyTextIndent3"/>
    <w:qFormat/>
    <w:rPr>
      <w:sz w:val="16"/>
      <w:szCs w:val="16"/>
    </w:rPr>
  </w:style>
  <w:style w:type="character" w:styleId="Style14">
    <w:name w:val="Ссылка указателя"/>
    <w:qFormat/>
    <w:rPr/>
  </w:style>
  <w:style w:type="character" w:styleId="Style15">
    <w:name w:val="Маркеры"/>
    <w:qFormat/>
    <w:rPr>
      <w:rFonts w:ascii="OpenSymbol" w:hAnsi="OpenSymbol" w:eastAsia="OpenSymbol" w:cs="OpenSymbol"/>
    </w:rPr>
  </w:style>
  <w:style w:type="paragraph" w:styleId="Style16">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6"/>
    <w:pPr>
      <w:spacing w:before="0" w:after="12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7">
    <w:name w:val="Указатель"/>
    <w:basedOn w:val="Normal"/>
    <w:qFormat/>
    <w:pPr>
      <w:suppressLineNumbers/>
    </w:pPr>
    <w:rPr>
      <w:rFonts w:cs="Arial Unicode MS"/>
    </w:rPr>
  </w:style>
  <w:style w:type="paragraph" w:styleId="Style18">
    <w:name w:val="Название раздела инструкции"/>
    <w:basedOn w:val="Normal"/>
    <w:autoRedefine/>
    <w:qFormat/>
    <w:pPr>
      <w:jc w:val="center"/>
    </w:pPr>
    <w:rPr>
      <w:b/>
    </w:rPr>
  </w:style>
  <w:style w:type="paragraph" w:styleId="Style19">
    <w:name w:val="Раздел положения"/>
    <w:basedOn w:val="Normal"/>
    <w:autoRedefine/>
    <w:qFormat/>
    <w:pPr>
      <w:numPr>
        <w:ilvl w:val="0"/>
        <w:numId w:val="1"/>
      </w:numPr>
      <w:spacing w:before="80" w:after="80"/>
      <w:jc w:val="center"/>
    </w:pPr>
    <w:rPr>
      <w:b/>
      <w:sz w:val="32"/>
      <w:szCs w:val="32"/>
    </w:rPr>
  </w:style>
  <w:style w:type="paragraph" w:styleId="Style20">
    <w:name w:val="Подраздел раздела положения"/>
    <w:basedOn w:val="Normal"/>
    <w:autoRedefine/>
    <w:qFormat/>
    <w:pPr>
      <w:numPr>
        <w:ilvl w:val="1"/>
        <w:numId w:val="1"/>
      </w:numPr>
      <w:spacing w:before="80" w:after="80"/>
      <w:jc w:val="both"/>
    </w:pPr>
    <w:rPr/>
  </w:style>
  <w:style w:type="paragraph" w:styleId="FootnoteText">
    <w:name w:val="Footnote Text"/>
    <w:basedOn w:val="Normal"/>
    <w:link w:val="Style5"/>
    <w:pPr/>
    <w:rPr>
      <w:sz w:val="20"/>
      <w:szCs w:val="20"/>
    </w:rPr>
  </w:style>
  <w:style w:type="paragraph" w:styleId="14">
    <w:name w:val="Шапка 1"/>
    <w:basedOn w:val="Normal"/>
    <w:qFormat/>
    <w:pPr>
      <w:pBdr>
        <w:bottom w:val="thickThinSmallGap" w:sz="24" w:space="1" w:color="000000"/>
      </w:pBdr>
      <w:spacing w:before="0" w:after="240"/>
      <w:jc w:val="center"/>
    </w:pPr>
    <w:rPr>
      <w:sz w:val="22"/>
      <w:szCs w:val="22"/>
    </w:rPr>
  </w:style>
  <w:style w:type="paragraph" w:styleId="23">
    <w:name w:val="Шапка 2"/>
    <w:basedOn w:val="Normal"/>
    <w:qFormat/>
    <w:pPr>
      <w:pBdr>
        <w:bottom w:val="thickThinSmallGap" w:sz="24" w:space="1" w:color="000000"/>
      </w:pBdr>
      <w:spacing w:before="0" w:after="120"/>
      <w:jc w:val="center"/>
    </w:pPr>
    <w:rPr>
      <w:b/>
      <w:sz w:val="22"/>
      <w:szCs w:val="22"/>
    </w:rPr>
  </w:style>
  <w:style w:type="paragraph" w:styleId="33">
    <w:name w:val="Шапка 3"/>
    <w:basedOn w:val="Normal"/>
    <w:qFormat/>
    <w:pPr>
      <w:pBdr>
        <w:bottom w:val="thickThinSmallGap" w:sz="24" w:space="1" w:color="000000"/>
      </w:pBdr>
      <w:spacing w:before="240" w:after="360"/>
      <w:jc w:val="center"/>
    </w:pPr>
    <w:rPr>
      <w:b/>
      <w:sz w:val="24"/>
      <w:szCs w:val="24"/>
    </w:rPr>
  </w:style>
  <w:style w:type="paragraph" w:styleId="15">
    <w:name w:val="Название1"/>
    <w:basedOn w:val="Normal"/>
    <w:link w:val="Style1"/>
    <w:qFormat/>
    <w:pPr>
      <w:jc w:val="center"/>
    </w:pPr>
    <w:rPr>
      <w:szCs w:val="20"/>
      <w:lang w:val="x-none" w:eastAsia="x-none"/>
    </w:rPr>
  </w:style>
  <w:style w:type="paragraph" w:styleId="Style21">
    <w:name w:val="Колонтитул"/>
    <w:basedOn w:val="Normal"/>
    <w:qFormat/>
    <w:pPr/>
    <w:rPr/>
  </w:style>
  <w:style w:type="paragraph" w:styleId="Header">
    <w:name w:val="Header"/>
    <w:basedOn w:val="Normal"/>
    <w:link w:val="Style10"/>
    <w:pPr>
      <w:tabs>
        <w:tab w:val="clear" w:pos="708"/>
        <w:tab w:val="center" w:pos="4677" w:leader="none"/>
        <w:tab w:val="right" w:pos="9355" w:leader="none"/>
      </w:tabs>
    </w:pPr>
    <w:rPr>
      <w:sz w:val="24"/>
      <w:szCs w:val="24"/>
    </w:rPr>
  </w:style>
  <w:style w:type="paragraph" w:styleId="BodyTextIndent">
    <w:name w:val="Body Text Indent"/>
    <w:basedOn w:val="Normal"/>
    <w:pPr>
      <w:ind w:left="360" w:right="0" w:hanging="0"/>
    </w:pPr>
    <w:rPr>
      <w:sz w:val="24"/>
      <w:szCs w:val="24"/>
    </w:rPr>
  </w:style>
  <w:style w:type="paragraph" w:styleId="Footer">
    <w:name w:val="Footer"/>
    <w:basedOn w:val="Normal"/>
    <w:pPr>
      <w:tabs>
        <w:tab w:val="clear" w:pos="708"/>
        <w:tab w:val="center" w:pos="4677" w:leader="none"/>
        <w:tab w:val="right" w:pos="9355" w:leader="none"/>
      </w:tabs>
    </w:pPr>
    <w:rPr/>
  </w:style>
  <w:style w:type="paragraph" w:styleId="BodyTextIndent2">
    <w:name w:val="Body Text Indent 2"/>
    <w:basedOn w:val="Normal"/>
    <w:qFormat/>
    <w:pPr>
      <w:spacing w:lineRule="auto" w:line="480" w:before="0" w:after="120"/>
      <w:ind w:left="283" w:right="0" w:hanging="0"/>
    </w:pPr>
    <w:rPr/>
  </w:style>
  <w:style w:type="paragraph" w:styleId="BodyText3">
    <w:name w:val="Body Text 3"/>
    <w:basedOn w:val="Normal"/>
    <w:qFormat/>
    <w:pPr>
      <w:spacing w:before="0" w:after="120"/>
    </w:pPr>
    <w:rPr>
      <w:sz w:val="16"/>
      <w:szCs w:val="16"/>
    </w:rPr>
  </w:style>
  <w:style w:type="paragraph" w:styleId="BodyTextIndent3">
    <w:name w:val="Body Text Indent 3"/>
    <w:basedOn w:val="Normal"/>
    <w:link w:val="32"/>
    <w:qFormat/>
    <w:pPr>
      <w:spacing w:before="0" w:after="120"/>
      <w:ind w:left="283" w:right="0" w:hanging="0"/>
    </w:pPr>
    <w:rPr>
      <w:sz w:val="16"/>
      <w:szCs w:val="16"/>
    </w:rPr>
  </w:style>
  <w:style w:type="paragraph" w:styleId="BodyText2">
    <w:name w:val="Body Text 2"/>
    <w:basedOn w:val="Normal"/>
    <w:qFormat/>
    <w:pPr>
      <w:spacing w:lineRule="auto" w:line="480" w:before="0" w:after="120"/>
    </w:pPr>
    <w:rPr/>
  </w:style>
  <w:style w:type="paragraph" w:styleId="BlockText">
    <w:name w:val="Block Text"/>
    <w:basedOn w:val="Normal"/>
    <w:qFormat/>
    <w:pPr>
      <w:ind w:left="-567" w:right="-766" w:hanging="0"/>
      <w:jc w:val="center"/>
    </w:pPr>
    <w:rPr>
      <w:b/>
      <w:bCs/>
      <w:sz w:val="24"/>
      <w:szCs w:val="20"/>
    </w:rPr>
  </w:style>
  <w:style w:type="paragraph" w:styleId="Style22">
    <w:name w:val="Подпункт"/>
    <w:basedOn w:val="Normal"/>
    <w:link w:val="11"/>
    <w:qFormat/>
    <w:pPr>
      <w:tabs>
        <w:tab w:val="clear" w:pos="708"/>
        <w:tab w:val="left" w:pos="1134" w:leader="none"/>
      </w:tabs>
      <w:snapToGrid w:val="false"/>
      <w:spacing w:lineRule="auto" w:line="360"/>
      <w:ind w:left="1134" w:right="0" w:hanging="1134"/>
      <w:jc w:val="both"/>
    </w:pPr>
    <w:rPr>
      <w:szCs w:val="20"/>
      <w:lang w:val="x-none" w:eastAsia="x-none"/>
    </w:rPr>
  </w:style>
  <w:style w:type="paragraph" w:styleId="24">
    <w:name w:val="Пункт2"/>
    <w:basedOn w:val="Normal"/>
    <w:link w:val="22"/>
    <w:qFormat/>
    <w:pPr>
      <w:keepNext w:val="true"/>
      <w:numPr>
        <w:ilvl w:val="0"/>
        <w:numId w:val="0"/>
      </w:numPr>
      <w:tabs>
        <w:tab w:val="clear" w:pos="708"/>
        <w:tab w:val="left" w:pos="1134" w:leader="none"/>
      </w:tabs>
      <w:suppressAutoHyphens w:val="true"/>
      <w:snapToGrid w:val="false"/>
      <w:spacing w:before="240" w:after="120"/>
      <w:ind w:left="1134" w:right="0" w:hanging="1134"/>
      <w:outlineLvl w:val="2"/>
    </w:pPr>
    <w:rPr>
      <w:b/>
      <w:szCs w:val="20"/>
    </w:rPr>
  </w:style>
  <w:style w:type="paragraph" w:styleId="TOC1">
    <w:name w:val="TOC 1"/>
    <w:basedOn w:val="Normal"/>
    <w:next w:val="Normal"/>
    <w:autoRedefine/>
    <w:pPr>
      <w:spacing w:before="120" w:after="0"/>
    </w:pPr>
    <w:rPr>
      <w:rFonts w:cs="Calibri Light (Заголовки)"/>
      <w:b/>
      <w:bCs/>
      <w:sz w:val="24"/>
      <w:szCs w:val="24"/>
    </w:rPr>
  </w:style>
  <w:style w:type="paragraph" w:styleId="TOC3">
    <w:name w:val="TOC 3"/>
    <w:basedOn w:val="Normal"/>
    <w:next w:val="Normal"/>
    <w:autoRedefine/>
    <w:pPr>
      <w:ind w:left="280" w:right="0" w:hanging="0"/>
    </w:pPr>
    <w:rPr>
      <w:rFonts w:cs="Calibri"/>
      <w:sz w:val="20"/>
      <w:szCs w:val="20"/>
    </w:rPr>
  </w:style>
  <w:style w:type="paragraph" w:styleId="Style23">
    <w:name w:val="Раздел регламента"/>
    <w:basedOn w:val="Normal"/>
    <w:qFormat/>
    <w:pPr/>
    <w:rPr/>
  </w:style>
  <w:style w:type="paragraph" w:styleId="Style24">
    <w:name w:val="Приложение к регламенту"/>
    <w:basedOn w:val="Normal"/>
    <w:qFormat/>
    <w:pPr>
      <w:jc w:val="right"/>
    </w:pPr>
    <w:rPr/>
  </w:style>
  <w:style w:type="paragraph" w:styleId="TOC2">
    <w:name w:val="TOC 2"/>
    <w:basedOn w:val="Normal"/>
    <w:next w:val="Normal"/>
    <w:autoRedefine/>
    <w:pPr>
      <w:spacing w:before="240" w:after="0"/>
    </w:pPr>
    <w:rPr>
      <w:rFonts w:cs="Calibri"/>
      <w:b/>
      <w:bCs/>
      <w:sz w:val="20"/>
      <w:szCs w:val="20"/>
    </w:rPr>
  </w:style>
  <w:style w:type="paragraph" w:styleId="BalloonText">
    <w:name w:val="Balloon Text"/>
    <w:basedOn w:val="Normal"/>
    <w:qFormat/>
    <w:pPr/>
    <w:rPr>
      <w:rFonts w:ascii="Tahoma" w:hAnsi="Tahoma" w:cs="Tahoma"/>
      <w:sz w:val="16"/>
      <w:szCs w:val="16"/>
    </w:rPr>
  </w:style>
  <w:style w:type="paragraph" w:styleId="Annotationtext">
    <w:name w:val="annotation text"/>
    <w:basedOn w:val="Normal"/>
    <w:link w:val="Style11"/>
    <w:qFormat/>
    <w:pPr/>
    <w:rPr>
      <w:sz w:val="20"/>
      <w:szCs w:val="20"/>
    </w:rPr>
  </w:style>
  <w:style w:type="paragraph" w:styleId="Annotationsubject">
    <w:name w:val="annotation subject"/>
    <w:basedOn w:val="Annotationtext"/>
    <w:next w:val="Annotationtext"/>
    <w:qFormat/>
    <w:pPr/>
    <w:rPr>
      <w:b/>
      <w:bCs/>
    </w:rPr>
  </w:style>
  <w:style w:type="paragraph" w:styleId="16">
    <w:name w:val="Обычный (веб)1"/>
    <w:basedOn w:val="Normal"/>
    <w:qFormat/>
    <w:pPr>
      <w:spacing w:before="280" w:after="280"/>
    </w:pPr>
    <w:rPr>
      <w:rFonts w:ascii="Arial Unicode MS" w:hAnsi="Arial Unicode MS" w:eastAsia="Arial Unicode MS" w:cs="Arial Unicode MS"/>
      <w:sz w:val="24"/>
      <w:szCs w:val="24"/>
    </w:rPr>
  </w:style>
  <w:style w:type="paragraph" w:styleId="TOC9">
    <w:name w:val="TOC 9"/>
    <w:basedOn w:val="Normal"/>
    <w:next w:val="Normal"/>
    <w:autoRedefine/>
    <w:pPr>
      <w:ind w:left="1960" w:right="0" w:hanging="0"/>
    </w:pPr>
    <w:rPr>
      <w:rFonts w:ascii="Calibri" w:hAnsi="Calibri" w:cs="Calibri"/>
      <w:sz w:val="20"/>
      <w:szCs w:val="20"/>
    </w:rPr>
  </w:style>
  <w:style w:type="paragraph" w:styleId="TOC5">
    <w:name w:val="TOC 5"/>
    <w:basedOn w:val="Normal"/>
    <w:next w:val="Normal"/>
    <w:autoRedefine/>
    <w:pPr>
      <w:ind w:left="840" w:right="0" w:hanging="0"/>
    </w:pPr>
    <w:rPr>
      <w:rFonts w:ascii="Calibri" w:hAnsi="Calibri" w:cs="Calibri"/>
      <w:sz w:val="20"/>
      <w:szCs w:val="20"/>
    </w:rPr>
  </w:style>
  <w:style w:type="paragraph" w:styleId="TOC4">
    <w:name w:val="TOC 4"/>
    <w:basedOn w:val="Normal"/>
    <w:next w:val="Normal"/>
    <w:autoRedefine/>
    <w:pPr>
      <w:ind w:left="560" w:right="0" w:hanging="0"/>
    </w:pPr>
    <w:rPr>
      <w:rFonts w:cs="Calibri"/>
      <w:sz w:val="20"/>
      <w:szCs w:val="20"/>
    </w:rPr>
  </w:style>
  <w:style w:type="paragraph" w:styleId="25">
    <w:name w:val="Раздел положения 2"/>
    <w:basedOn w:val="Normal"/>
    <w:qFormat/>
    <w:pPr>
      <w:pageBreakBefore/>
      <w:numPr>
        <w:ilvl w:val="0"/>
        <w:numId w:val="0"/>
      </w:numPr>
      <w:jc w:val="both"/>
      <w:outlineLvl w:val="0"/>
    </w:pPr>
    <w:rPr>
      <w:b/>
    </w:rPr>
  </w:style>
  <w:style w:type="paragraph" w:styleId="Style25">
    <w:name w:val="Знак Знак Знак Знак Знак Знак Знак Знак Знак"/>
    <w:basedOn w:val="Normal"/>
    <w:qFormat/>
    <w:pPr>
      <w:spacing w:lineRule="exact" w:line="240" w:before="0" w:after="160"/>
      <w:jc w:val="both"/>
    </w:pPr>
    <w:rPr>
      <w:rFonts w:ascii="Verdana" w:hAnsi="Verdana" w:cs="Verdana"/>
      <w:sz w:val="22"/>
      <w:szCs w:val="22"/>
      <w:lang w:val="en-US" w:eastAsia="en-US"/>
    </w:rPr>
  </w:style>
  <w:style w:type="paragraph" w:styleId="NoSpacing">
    <w:name w:val="No Spacing"/>
    <w:basedOn w:val="Normal"/>
    <w:qFormat/>
    <w:pPr>
      <w:spacing w:lineRule="auto" w:line="360"/>
    </w:pPr>
    <w:rPr>
      <w:rFonts w:eastAsia="Calibri"/>
      <w:sz w:val="24"/>
      <w:szCs w:val="24"/>
    </w:rPr>
  </w:style>
  <w:style w:type="paragraph" w:styleId="Caption1">
    <w:name w:val="caption1"/>
    <w:basedOn w:val="Normal"/>
    <w:next w:val="Normal"/>
    <w:qFormat/>
    <w:pPr/>
    <w:rPr>
      <w:rFonts w:eastAsia="Calibri"/>
      <w:b/>
      <w:bCs/>
      <w:color w:val="4F81BD"/>
      <w:sz w:val="18"/>
      <w:szCs w:val="18"/>
    </w:rPr>
  </w:style>
  <w:style w:type="paragraph" w:styleId="Subtitle">
    <w:name w:val="Subtitle"/>
    <w:basedOn w:val="Normal"/>
    <w:next w:val="Normal"/>
    <w:link w:val="Style2"/>
    <w:qFormat/>
    <w:pPr>
      <w:numPr>
        <w:ilvl w:val="0"/>
        <w:numId w:val="0"/>
      </w:numPr>
      <w:ind w:left="1066" w:right="0" w:firstLine="709"/>
    </w:pPr>
    <w:rPr>
      <w:rFonts w:ascii="Cambria" w:hAnsi="Cambria"/>
      <w:i/>
      <w:iCs/>
      <w:color w:val="4F81BD"/>
      <w:spacing w:val="15"/>
      <w:sz w:val="24"/>
      <w:szCs w:val="24"/>
      <w:lang w:val="x-none" w:eastAsia="x-none"/>
    </w:rPr>
  </w:style>
  <w:style w:type="paragraph" w:styleId="ListParagraph">
    <w:name w:val="List Paragraph"/>
    <w:basedOn w:val="Normal"/>
    <w:link w:val="Style7"/>
    <w:qFormat/>
    <w:pPr>
      <w:spacing w:before="0" w:after="0"/>
      <w:ind w:left="720" w:right="0" w:hanging="0"/>
      <w:contextualSpacing/>
    </w:pPr>
    <w:rPr>
      <w:rFonts w:eastAsia="Calibri"/>
      <w:sz w:val="24"/>
      <w:szCs w:val="24"/>
    </w:rPr>
  </w:style>
  <w:style w:type="paragraph" w:styleId="Quote">
    <w:name w:val="Quote"/>
    <w:basedOn w:val="Normal"/>
    <w:next w:val="Normal"/>
    <w:link w:val="21"/>
    <w:qFormat/>
    <w:pPr/>
    <w:rPr>
      <w:rFonts w:ascii="Calibri" w:hAnsi="Calibri" w:eastAsia="Calibri"/>
      <w:i/>
      <w:iCs/>
      <w:color w:val="000000"/>
      <w:sz w:val="20"/>
      <w:szCs w:val="20"/>
      <w:lang w:val="x-none" w:eastAsia="x-none"/>
    </w:rPr>
  </w:style>
  <w:style w:type="paragraph" w:styleId="IntenseQuote">
    <w:name w:val="Intense Quote"/>
    <w:basedOn w:val="Normal"/>
    <w:next w:val="Normal"/>
    <w:link w:val="Style3"/>
    <w:qFormat/>
    <w:pPr>
      <w:pBdr>
        <w:bottom w:val="single" w:sz="4" w:space="4" w:color="4F81BD"/>
      </w:pBdr>
      <w:spacing w:before="200" w:after="280"/>
      <w:ind w:left="936" w:right="936" w:hanging="0"/>
    </w:pPr>
    <w:rPr>
      <w:rFonts w:ascii="Calibri" w:hAnsi="Calibri" w:eastAsia="Calibri"/>
      <w:b/>
      <w:bCs/>
      <w:i/>
      <w:iCs/>
      <w:color w:val="4F81BD"/>
      <w:sz w:val="20"/>
      <w:szCs w:val="20"/>
      <w:lang w:val="x-none" w:eastAsia="x-none"/>
    </w:rPr>
  </w:style>
  <w:style w:type="paragraph" w:styleId="IndexHeading">
    <w:name w:val="Index Heading"/>
    <w:basedOn w:val="Style16"/>
    <w:pPr/>
    <w:rPr/>
  </w:style>
  <w:style w:type="paragraph" w:styleId="TOCHeading">
    <w:name w:val="TOC Heading"/>
    <w:basedOn w:val="Heading1"/>
    <w:next w:val="Normal"/>
    <w:qFormat/>
    <w:pPr>
      <w:keepLines/>
      <w:spacing w:before="480" w:after="60"/>
      <w:outlineLvl w:val="9"/>
    </w:pPr>
    <w:rPr>
      <w:rFonts w:ascii="Cambria" w:hAnsi="Cambria"/>
      <w:bCs/>
      <w:color w:val="365F91"/>
    </w:rPr>
  </w:style>
  <w:style w:type="paragraph" w:styleId="E-mailSignature">
    <w:name w:val="E-mail Signature"/>
    <w:basedOn w:val="Normal"/>
    <w:link w:val="Style4"/>
    <w:qFormat/>
    <w:pPr/>
    <w:rPr>
      <w:rFonts w:eastAsia="Calibri"/>
      <w:sz w:val="24"/>
      <w:szCs w:val="24"/>
      <w:lang w:val="x-none" w:eastAsia="x-none"/>
    </w:rPr>
  </w:style>
  <w:style w:type="paragraph" w:styleId="Style26">
    <w:name w:val="Знак"/>
    <w:basedOn w:val="Normal"/>
    <w:qFormat/>
    <w:pPr>
      <w:spacing w:lineRule="exact" w:line="240" w:before="0" w:after="160"/>
    </w:pPr>
    <w:rPr>
      <w:rFonts w:ascii="Verdana" w:hAnsi="Verdana" w:cs="Verdana"/>
      <w:sz w:val="20"/>
      <w:szCs w:val="20"/>
      <w:lang w:val="en-US" w:eastAsia="en-US"/>
    </w:rPr>
  </w:style>
  <w:style w:type="paragraph" w:styleId="34">
    <w:name w:val="Нумерованный список ур3"/>
    <w:basedOn w:val="Normal"/>
    <w:qFormat/>
    <w:pPr>
      <w:numPr>
        <w:ilvl w:val="2"/>
        <w:numId w:val="2"/>
      </w:numPr>
      <w:jc w:val="both"/>
    </w:pPr>
    <w:rPr>
      <w:rFonts w:ascii="Garamond" w:hAnsi="Garamond"/>
      <w:sz w:val="24"/>
      <w:szCs w:val="20"/>
    </w:rPr>
  </w:style>
  <w:style w:type="paragraph" w:styleId="ListBullet4">
    <w:name w:val="List Bullet 4"/>
    <w:basedOn w:val="Normal"/>
    <w:qFormat/>
    <w:pPr>
      <w:numPr>
        <w:ilvl w:val="0"/>
        <w:numId w:val="2"/>
      </w:numPr>
      <w:spacing w:before="120" w:after="0"/>
      <w:jc w:val="both"/>
    </w:pPr>
    <w:rPr>
      <w:rFonts w:ascii="Garamond" w:hAnsi="Garamond"/>
      <w:sz w:val="24"/>
      <w:szCs w:val="20"/>
    </w:rPr>
  </w:style>
  <w:style w:type="paragraph" w:styleId="26">
    <w:name w:val="Нумерованный список ур2"/>
    <w:basedOn w:val="Normal"/>
    <w:qFormat/>
    <w:pPr>
      <w:numPr>
        <w:ilvl w:val="1"/>
        <w:numId w:val="2"/>
      </w:numPr>
      <w:spacing w:before="120" w:after="0"/>
      <w:jc w:val="both"/>
    </w:pPr>
    <w:rPr>
      <w:rFonts w:ascii="Garamond" w:hAnsi="Garamond"/>
      <w:sz w:val="24"/>
      <w:szCs w:val="20"/>
    </w:rPr>
  </w:style>
  <w:style w:type="paragraph" w:styleId="Revision">
    <w:name w:val="Revision"/>
    <w:qFormat/>
    <w:pPr>
      <w:widowControl/>
      <w:suppressAutoHyphens w:val="true"/>
      <w:overflowPunct w:val="false"/>
      <w:bidi w:val="0"/>
      <w:spacing w:before="0" w:after="0"/>
      <w:jc w:val="left"/>
    </w:pPr>
    <w:rPr>
      <w:rFonts w:ascii="Times New Roman" w:hAnsi="Times New Roman" w:eastAsia="Calibri" w:cs="Times New Roman"/>
      <w:color w:val="auto"/>
      <w:kern w:val="0"/>
      <w:sz w:val="24"/>
      <w:szCs w:val="24"/>
      <w:lang w:val="ru-RU" w:eastAsia="ru-RU" w:bidi="ar-SA"/>
    </w:rPr>
  </w:style>
  <w:style w:type="paragraph" w:styleId="ConsPlusNormal">
    <w:name w:val="ConsPlusNormal"/>
    <w:qFormat/>
    <w:pPr>
      <w:widowControl w:val="false"/>
      <w:suppressAutoHyphens w:val="true"/>
      <w:overflowPunct w:val="false"/>
      <w:bidi w:val="0"/>
      <w:spacing w:before="0" w:after="0"/>
      <w:ind w:left="0" w:right="0" w:firstLine="720"/>
      <w:jc w:val="left"/>
    </w:pPr>
    <w:rPr>
      <w:rFonts w:ascii="Arial" w:hAnsi="Arial" w:eastAsia="Times New Roman" w:cs="Arial"/>
      <w:color w:val="auto"/>
      <w:kern w:val="0"/>
      <w:sz w:val="20"/>
      <w:szCs w:val="20"/>
      <w:lang w:val="ru-RU" w:eastAsia="ru-RU" w:bidi="ar-SA"/>
    </w:rPr>
  </w:style>
  <w:style w:type="paragraph" w:styleId="35">
    <w:name w:val="Знак Знак3 Знак Знак"/>
    <w:basedOn w:val="Normal"/>
    <w:qFormat/>
    <w:pPr>
      <w:spacing w:lineRule="exact" w:line="240" w:before="0" w:after="160"/>
      <w:jc w:val="both"/>
    </w:pPr>
    <w:rPr>
      <w:rFonts w:ascii="Verdana" w:hAnsi="Verdana" w:cs="Verdana"/>
      <w:sz w:val="22"/>
      <w:szCs w:val="22"/>
      <w:lang w:val="en-US" w:eastAsia="en-US"/>
    </w:rPr>
  </w:style>
  <w:style w:type="paragraph" w:styleId="Style27">
    <w:name w:val="Пункт"/>
    <w:basedOn w:val="Normal"/>
    <w:qFormat/>
    <w:pPr>
      <w:widowControl w:val="false"/>
      <w:tabs>
        <w:tab w:val="clear" w:pos="708"/>
        <w:tab w:val="left" w:pos="1134" w:leader="none"/>
      </w:tabs>
      <w:spacing w:lineRule="auto" w:line="360" w:before="120" w:after="0"/>
      <w:ind w:left="1134" w:right="800" w:hanging="1134"/>
      <w:jc w:val="both"/>
    </w:pPr>
    <w:rPr>
      <w:rFonts w:ascii="Arial" w:hAnsi="Arial"/>
      <w:b/>
      <w:i/>
      <w:szCs w:val="20"/>
    </w:rPr>
  </w:style>
  <w:style w:type="paragraph" w:styleId="17">
    <w:name w:val="Абзац списка1"/>
    <w:basedOn w:val="Normal"/>
    <w:qFormat/>
    <w:pPr>
      <w:spacing w:lineRule="auto" w:line="276" w:before="0" w:after="200"/>
      <w:ind w:left="720" w:right="0" w:hanging="0"/>
      <w:contextualSpacing/>
    </w:pPr>
    <w:rPr>
      <w:rFonts w:ascii="Calibri" w:hAnsi="Calibri"/>
      <w:sz w:val="22"/>
      <w:szCs w:val="22"/>
      <w:lang w:eastAsia="en-US"/>
    </w:rPr>
  </w:style>
  <w:style w:type="paragraph" w:styleId="Style28">
    <w:name w:val="Таблица"/>
    <w:basedOn w:val="Normal"/>
    <w:qFormat/>
    <w:pPr>
      <w:keepNext w:val="true"/>
      <w:spacing w:before="60" w:after="60"/>
      <w:jc w:val="center"/>
    </w:pPr>
    <w:rPr>
      <w:rFonts w:eastAsia="Calibri"/>
      <w:b/>
      <w:sz w:val="24"/>
      <w:szCs w:val="24"/>
      <w:lang w:val="x-none" w:eastAsia="x-none"/>
    </w:rPr>
  </w:style>
  <w:style w:type="paragraph" w:styleId="Style29">
    <w:name w:val="Таблица шапка"/>
    <w:basedOn w:val="Normal"/>
    <w:qFormat/>
    <w:pPr>
      <w:keepNext w:val="true"/>
      <w:spacing w:before="40" w:after="40"/>
      <w:ind w:left="57" w:right="57" w:hanging="0"/>
    </w:pPr>
    <w:rPr>
      <w:sz w:val="22"/>
      <w:szCs w:val="26"/>
    </w:rPr>
  </w:style>
  <w:style w:type="paragraph" w:styleId="Style30">
    <w:name w:val="Подподпункт"/>
    <w:basedOn w:val="Style22"/>
    <w:link w:val="Style9"/>
    <w:qFormat/>
    <w:pPr>
      <w:tabs>
        <w:tab w:val="clear" w:pos="1134"/>
        <w:tab w:val="left" w:pos="5104" w:leader="none"/>
      </w:tabs>
      <w:snapToGrid w:val="true"/>
      <w:spacing w:lineRule="auto" w:line="240" w:before="120" w:after="0"/>
      <w:ind w:left="5104" w:right="0" w:hanging="567"/>
    </w:pPr>
    <w:rPr>
      <w:sz w:val="26"/>
      <w:szCs w:val="26"/>
      <w:lang w:val="ru-RU" w:eastAsia="ru-RU"/>
    </w:rPr>
  </w:style>
  <w:style w:type="paragraph" w:styleId="Style31">
    <w:name w:val="УРОВЕНЬ_(а)"/>
    <w:basedOn w:val="ListParagraph"/>
    <w:qFormat/>
    <w:pPr>
      <w:numPr>
        <w:ilvl w:val="3"/>
        <w:numId w:val="4"/>
      </w:numPr>
      <w:spacing w:lineRule="exact" w:line="360" w:before="120" w:after="0"/>
      <w:contextualSpacing w:val="false"/>
      <w:jc w:val="both"/>
      <w:outlineLvl w:val="3"/>
    </w:pPr>
    <w:rPr>
      <w:sz w:val="26"/>
      <w:szCs w:val="28"/>
      <w:lang w:eastAsia="en-US"/>
    </w:rPr>
  </w:style>
  <w:style w:type="paragraph" w:styleId="-">
    <w:name w:val="УРОВЕНЬ_-"/>
    <w:basedOn w:val="ListParagraph"/>
    <w:qFormat/>
    <w:pPr>
      <w:numPr>
        <w:ilvl w:val="4"/>
        <w:numId w:val="4"/>
      </w:numPr>
      <w:spacing w:lineRule="exact" w:line="360" w:before="120" w:after="0"/>
      <w:contextualSpacing w:val="false"/>
      <w:jc w:val="both"/>
      <w:outlineLvl w:val="4"/>
    </w:pPr>
    <w:rPr>
      <w:sz w:val="26"/>
      <w:szCs w:val="28"/>
      <w:lang w:eastAsia="en-US"/>
    </w:rPr>
  </w:style>
  <w:style w:type="paragraph" w:styleId="27">
    <w:name w:val="УРОВЕНЬ_Абзац_тип2"/>
    <w:basedOn w:val="ListParagraph"/>
    <w:qFormat/>
    <w:pPr>
      <w:numPr>
        <w:ilvl w:val="6"/>
        <w:numId w:val="4"/>
      </w:numPr>
      <w:spacing w:lineRule="exact" w:line="360" w:before="120" w:after="0"/>
      <w:contextualSpacing w:val="false"/>
      <w:jc w:val="both"/>
    </w:pPr>
    <w:rPr>
      <w:sz w:val="26"/>
      <w:szCs w:val="28"/>
      <w:lang w:eastAsia="en-US"/>
    </w:rPr>
  </w:style>
  <w:style w:type="paragraph" w:styleId="36">
    <w:name w:val="УРОВЕНЬ_Абзац_тип3"/>
    <w:basedOn w:val="ListParagraph"/>
    <w:link w:val="31"/>
    <w:qFormat/>
    <w:pPr>
      <w:numPr>
        <w:ilvl w:val="7"/>
        <w:numId w:val="4"/>
      </w:numPr>
      <w:spacing w:lineRule="exact" w:line="360" w:before="120" w:after="0"/>
      <w:contextualSpacing w:val="false"/>
      <w:jc w:val="both"/>
    </w:pPr>
    <w:rPr>
      <w:sz w:val="26"/>
      <w:szCs w:val="28"/>
      <w:lang w:eastAsia="en-US"/>
    </w:rPr>
  </w:style>
  <w:style w:type="paragraph" w:styleId="Style32">
    <w:name w:val="УРОВЕНЬ_Подпись"/>
    <w:basedOn w:val="ListParagraph"/>
    <w:qFormat/>
    <w:pPr>
      <w:keepNext w:val="true"/>
      <w:numPr>
        <w:ilvl w:val="5"/>
        <w:numId w:val="4"/>
      </w:numPr>
      <w:spacing w:lineRule="exact" w:line="360" w:before="120" w:after="120"/>
      <w:contextualSpacing w:val="false"/>
      <w:jc w:val="right"/>
      <w:outlineLvl w:val="3"/>
    </w:pPr>
    <w:rPr>
      <w:sz w:val="26"/>
      <w:szCs w:val="28"/>
      <w:lang w:eastAsia="en-US"/>
    </w:rPr>
  </w:style>
  <w:style w:type="paragraph" w:styleId="18">
    <w:name w:val="Стиль Заголовок 1 + по ширине"/>
    <w:basedOn w:val="Heading1"/>
    <w:qFormat/>
    <w:pPr>
      <w:keepLines/>
      <w:numPr>
        <w:ilvl w:val="0"/>
        <w:numId w:val="0"/>
      </w:numPr>
      <w:tabs>
        <w:tab w:val="clear" w:pos="708"/>
        <w:tab w:val="left" w:pos="567" w:leader="none"/>
      </w:tabs>
      <w:suppressAutoHyphens w:val="true"/>
      <w:spacing w:before="480" w:after="240"/>
      <w:ind w:left="567" w:right="0" w:hanging="567"/>
      <w:jc w:val="both"/>
    </w:pPr>
    <w:rPr>
      <w:rFonts w:ascii="Arial" w:hAnsi="Arial" w:eastAsia="Times New Roman"/>
      <w:bCs/>
      <w:kern w:val="2"/>
      <w:sz w:val="40"/>
      <w:szCs w:val="20"/>
      <w:lang w:val="ru-RU" w:eastAsia="ru-RU"/>
    </w:rPr>
  </w:style>
  <w:style w:type="paragraph" w:styleId="EndnoteText">
    <w:name w:val="Endnote Text"/>
    <w:basedOn w:val="Normal"/>
    <w:link w:val="Style12"/>
    <w:pPr/>
    <w:rPr>
      <w:sz w:val="20"/>
      <w:szCs w:val="20"/>
    </w:rPr>
  </w:style>
  <w:style w:type="paragraph" w:styleId="28">
    <w:name w:val="Заголовок 2 КВВ"/>
    <w:basedOn w:val="Normal"/>
    <w:qFormat/>
    <w:pPr>
      <w:keepNext w:val="true"/>
      <w:numPr>
        <w:ilvl w:val="0"/>
        <w:numId w:val="5"/>
      </w:numPr>
      <w:suppressAutoHyphens w:val="true"/>
      <w:spacing w:before="120" w:after="120"/>
      <w:jc w:val="both"/>
      <w:outlineLvl w:val="0"/>
    </w:pPr>
    <w:rPr>
      <w:b/>
      <w:kern w:val="2"/>
      <w:sz w:val="24"/>
      <w:szCs w:val="20"/>
      <w:lang w:eastAsia="x-none"/>
    </w:rPr>
  </w:style>
  <w:style w:type="paragraph" w:styleId="Style33">
    <w:name w:val="Таблица текст"/>
    <w:basedOn w:val="Normal"/>
    <w:qFormat/>
    <w:pPr>
      <w:spacing w:before="40" w:after="40"/>
      <w:ind w:left="57" w:right="57" w:hanging="0"/>
    </w:pPr>
    <w:rPr>
      <w:sz w:val="24"/>
      <w:szCs w:val="26"/>
    </w:rPr>
  </w:style>
  <w:style w:type="paragraph" w:styleId="NormalWeb">
    <w:name w:val="Normal (Web)"/>
    <w:basedOn w:val="Normal"/>
    <w:qFormat/>
    <w:pPr>
      <w:spacing w:before="280" w:after="280"/>
    </w:pPr>
    <w:rPr>
      <w:sz w:val="24"/>
      <w:szCs w:val="24"/>
    </w:rPr>
  </w:style>
  <w:style w:type="paragraph" w:styleId="19">
    <w:name w:val="УРОВЕНЬ_1."/>
    <w:basedOn w:val="ListParagraph"/>
    <w:link w:val="12"/>
    <w:qFormat/>
    <w:pPr>
      <w:keepNext w:val="true"/>
      <w:keepLines/>
      <w:numPr>
        <w:ilvl w:val="0"/>
        <w:numId w:val="0"/>
      </w:numPr>
      <w:spacing w:lineRule="auto" w:line="276" w:before="240" w:after="120"/>
      <w:ind w:left="0" w:right="0" w:hanging="0"/>
      <w:contextualSpacing w:val="false"/>
      <w:jc w:val="both"/>
      <w:outlineLvl w:val="0"/>
    </w:pPr>
    <w:rPr>
      <w:caps/>
      <w:sz w:val="28"/>
      <w:szCs w:val="28"/>
      <w:lang w:eastAsia="en-US"/>
    </w:rPr>
  </w:style>
  <w:style w:type="paragraph" w:styleId="TOC6">
    <w:name w:val="TOC 6"/>
    <w:basedOn w:val="Normal"/>
    <w:next w:val="Normal"/>
    <w:autoRedefine/>
    <w:pPr>
      <w:ind w:left="1120" w:right="0" w:hanging="0"/>
    </w:pPr>
    <w:rPr>
      <w:rFonts w:ascii="Calibri" w:hAnsi="Calibri" w:cs="Calibri"/>
      <w:sz w:val="20"/>
      <w:szCs w:val="20"/>
    </w:rPr>
  </w:style>
  <w:style w:type="paragraph" w:styleId="TOC7">
    <w:name w:val="TOC 7"/>
    <w:basedOn w:val="Normal"/>
    <w:next w:val="Normal"/>
    <w:autoRedefine/>
    <w:pPr>
      <w:ind w:left="1400" w:right="0" w:hanging="0"/>
    </w:pPr>
    <w:rPr>
      <w:rFonts w:ascii="Calibri" w:hAnsi="Calibri" w:cs="Calibri"/>
      <w:sz w:val="20"/>
      <w:szCs w:val="20"/>
    </w:rPr>
  </w:style>
  <w:style w:type="paragraph" w:styleId="TOC8">
    <w:name w:val="TOC 8"/>
    <w:basedOn w:val="Normal"/>
    <w:next w:val="Normal"/>
    <w:autoRedefine/>
    <w:pPr>
      <w:ind w:left="1680" w:right="0" w:hanging="0"/>
    </w:pPr>
    <w:rPr>
      <w:rFonts w:ascii="Calibri" w:hAnsi="Calibri" w:cs="Calibri"/>
      <w:sz w:val="20"/>
      <w:szCs w:val="20"/>
    </w:rPr>
  </w:style>
  <w:style w:type="paragraph" w:styleId="Style34">
    <w:name w:val="Содержимое врезки"/>
    <w:basedOn w:val="Normal"/>
    <w:qFormat/>
    <w:pPr/>
    <w:rPr/>
  </w:style>
  <w:style w:type="paragraph" w:styleId="Style35">
    <w:name w:val="Содержимое таблицы"/>
    <w:basedOn w:val="Normal"/>
    <w:qFormat/>
    <w:pPr>
      <w:widowControl w:val="false"/>
      <w:suppressLineNumbers/>
    </w:pPr>
    <w:rPr/>
  </w:style>
  <w:style w:type="paragraph" w:styleId="Style36">
    <w:name w:val="Заголовок таблицы"/>
    <w:basedOn w:val="Style35"/>
    <w:qFormat/>
    <w:pPr>
      <w:suppressLineNumbers/>
      <w:jc w:val="center"/>
    </w:pPr>
    <w:rPr>
      <w:b/>
      <w:bCs/>
    </w:rPr>
  </w:style>
  <w:style w:type="numbering" w:styleId="110">
    <w:name w:val="Стиль1"/>
    <w:qFormat/>
  </w:style>
  <w:style w:type="numbering" w:styleId="29">
    <w:name w:val="Стиль2"/>
    <w:qFormat/>
  </w:style>
  <w:style w:type="numbering" w:styleId="21627633561">
    <w:name w:val="21627633561"/>
    <w:qFormat/>
  </w:style>
  <w:style w:type="numbering" w:styleId="10876066911">
    <w:name w:val="1087606691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header" Target="header6.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725</TotalTime>
  <Application>AlterOffice/3.4.0.9$Linux_X86_64 LibreOffice_project/b8daf9e823b1a5463a2f48435ddc2e8696e7d4fc</Application>
  <AppVersion>15.0000</AppVersion>
  <Pages>9</Pages>
  <Words>2270</Words>
  <Characters>15125</Characters>
  <CharactersWithSpaces>17169</CharactersWithSpaces>
  <Paragraphs>222</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2021-04-04T09:36:00Z</dcterms:created>
  <dc:creator>Быстров Олег Геннадьевич</dc:creator>
  <dc:description/>
  <dc:language>ru-RU</dc:language>
  <cp:lastModifiedBy>streletsva@corp.gidroogk.com</cp:lastModifiedBy>
  <cp:lastPrinted>2026-01-27T10:26:44Z</cp:lastPrinted>
  <dcterms:modified xsi:type="dcterms:W3CDTF">2026-09-24T16:13:55Z</dcterms:modified>
  <cp:revision>72</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file>