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4.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bCs/>
          <w:sz w:val="24"/>
          <w:szCs w:val="24"/>
        </w:rPr>
      </w:pPr>
      <w:r>
        <w:rPr>
          <w:b/>
          <w:bCs/>
          <w:sz w:val="24"/>
          <w:szCs w:val="24"/>
        </w:rPr>
        <w:t xml:space="preserve">Договор поставки </w:t>
      </w:r>
    </w:p>
    <w:p>
      <w:pPr>
        <w:pStyle w:val="Normal"/>
        <w:shd w:val="clear" w:color="auto" w:fill="FFFFFF"/>
        <w:tabs>
          <w:tab w:val="clear" w:pos="708"/>
          <w:tab w:val="left" w:pos="6926" w:leader="none"/>
        </w:tabs>
        <w:jc w:val="center"/>
        <w:rPr>
          <w:b/>
          <w:sz w:val="24"/>
          <w:szCs w:val="24"/>
        </w:rPr>
      </w:pPr>
      <w:r>
        <w:rPr>
          <w:b/>
          <w:bCs/>
          <w:sz w:val="24"/>
          <w:szCs w:val="24"/>
        </w:rPr>
        <w:t>№</w:t>
      </w:r>
    </w:p>
    <w:p>
      <w:pPr>
        <w:pStyle w:val="Normal"/>
        <w:shd w:val="clear" w:color="auto" w:fill="FFFFFF"/>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Саяногорск, рп. Черемушки</w:t>
        <w:tab/>
        <w:t xml:space="preserve">   «___» _________ 2026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совместно в дальнейшем именуемые «Стороны», а по отдельности – «Сторона», заключили настоящий договор поставки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 xml:space="preserve"> </w:t>
      </w: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sz w:val="24"/>
          <w:szCs w:val="24"/>
          <w:lang w:eastAsia="en-US"/>
        </w:rPr>
      </w:pPr>
      <w:r>
        <w:rPr>
          <w:b w:val="false"/>
          <w:sz w:val="24"/>
          <w:szCs w:val="24"/>
          <w:lang w:eastAsia="en-US"/>
        </w:rPr>
        <w:t xml:space="preserve"> </w:t>
      </w:r>
      <w:r>
        <w:rPr>
          <w:rFonts w:ascii="Times New Roman" w:hAnsi="Times New Roman"/>
          <w:color w:val="auto"/>
          <w:sz w:val="24"/>
          <w:szCs w:val="24"/>
          <w:lang w:eastAsia="en-US"/>
        </w:rPr>
        <w:t>«Применимое право»</w:t>
      </w:r>
      <w:r>
        <w:rPr>
          <w:rFonts w:ascii="Times New Roman" w:hAnsi="Times New Roman"/>
          <w:b w:val="false"/>
          <w:color w:val="auto"/>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 xml:space="preserve"> </w:t>
      </w: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firstLine="708"/>
        <w:jc w:val="both"/>
        <w:textAlignment w:val="baseline"/>
        <w:rPr>
          <w:rFonts w:ascii="Times New Roman" w:hAnsi="Times New Roman"/>
          <w:b w:val="false"/>
          <w:color w:val="auto"/>
          <w:sz w:val="24"/>
          <w:szCs w:val="24"/>
          <w:lang w:eastAsia="en-US"/>
        </w:rPr>
      </w:pPr>
      <w:r>
        <w:rPr>
          <w:rFonts w:ascii="Times New Roman" w:hAnsi="Times New Roman"/>
          <w:color w:val="auto"/>
          <w:sz w:val="24"/>
          <w:szCs w:val="24"/>
          <w:lang w:eastAsia="en-US"/>
        </w:rPr>
        <w:t>«Цена Договора»</w:t>
      </w:r>
      <w:r>
        <w:rPr>
          <w:rFonts w:ascii="Times New Roman" w:hAnsi="Times New Roman"/>
          <w:b w:val="false"/>
          <w:color w:val="auto"/>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sz w:val="24"/>
          <w:szCs w:val="24"/>
          <w:lang w:eastAsia="en-US"/>
        </w:rPr>
        <w:t>материалы, оборудование и инструменты для замены поврежденного участка линии связи</w:t>
      </w:r>
      <w:r>
        <w:rPr>
          <w:bCs/>
          <w:i/>
          <w:sz w:val="24"/>
          <w:szCs w:val="24"/>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 - «Саяно-Шушенская ГЭС имени П.С. Непорожнего».</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rPr>
        <w:t>Республика Хакасия, г. Саяногорск, рп. Черемушки, 106, БГСО (далее – «Место поставки»).</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 xml:space="preserve">Общий срок поставки Товара: в течении </w:t>
      </w:r>
      <w:bookmarkStart w:id="0" w:name="_GoBack"/>
      <w:bookmarkEnd w:id="0"/>
      <w:r>
        <w:rPr>
          <w:bCs/>
          <w:sz w:val="24"/>
          <w:szCs w:val="24"/>
        </w:rPr>
        <w:t xml:space="preserve">30 календарных дней с даты заключения договора. </w:t>
      </w:r>
    </w:p>
    <w:p>
      <w:pPr>
        <w:pStyle w:val="Normal"/>
        <w:shd w:val="clear" w:color="auto" w:fill="FFFFFF"/>
        <w:tabs>
          <w:tab w:val="clear" w:pos="708"/>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709" w:leader="none"/>
        </w:tabs>
        <w:ind w:firstLine="709" w:left="0"/>
        <w:jc w:val="both"/>
        <w:rPr/>
      </w:pPr>
      <w:r>
        <w:rPr>
          <w:sz w:val="24"/>
          <w:szCs w:val="24"/>
        </w:rPr>
        <w:t xml:space="preserve">Цена Договора в соответствии со Спецификацией (Приложение № 1 к Договору) является твердой  и составляет _________________________, без учета НДС, </w:t>
      </w:r>
      <w:r>
        <w:rPr>
          <w:bCs/>
          <w:sz w:val="24"/>
          <w:szCs w:val="24"/>
        </w:rPr>
        <w:t>исчисляется дополнительно по ставке, установленной ст. 164 Налогового Кодекса РФ.</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0"/>
        </w:numPr>
        <w:shd w:val="clear" w:color="auto" w:fill="FFFFFF"/>
        <w:tabs>
          <w:tab w:val="clear" w:pos="708"/>
          <w:tab w:val="left" w:pos="567" w:leader="none"/>
        </w:tabs>
        <w:ind w:firstLine="720"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shd w:val="clear" w:color="auto" w:fill="FFFFFF"/>
        <w:tabs>
          <w:tab w:val="clear" w:pos="708"/>
          <w:tab w:val="left" w:pos="1418" w:leader="none"/>
        </w:tabs>
        <w:jc w:val="both"/>
        <w:rPr>
          <w:bCs/>
          <w:sz w:val="24"/>
          <w:szCs w:val="24"/>
        </w:rPr>
      </w:pPr>
      <w:r>
        <w:rPr>
          <w:bCs/>
          <w:sz w:val="24"/>
          <w:szCs w:val="24"/>
        </w:rPr>
        <w:t xml:space="preserve">           </w:t>
      </w:r>
      <w:r>
        <w:rPr>
          <w:bCs/>
          <w:sz w:val="24"/>
          <w:szCs w:val="24"/>
        </w:rPr>
        <w:t>2.2.3. подлежащие уплате налоги, сборы и пошлины (в том числе по таможенному оформлению Товара, если применимо);</w:t>
      </w:r>
    </w:p>
    <w:p>
      <w:pPr>
        <w:pStyle w:val="Normal"/>
        <w:shd w:val="clear" w:color="auto" w:fill="FFFFFF"/>
        <w:tabs>
          <w:tab w:val="clear" w:pos="708"/>
          <w:tab w:val="left" w:pos="1418" w:leader="none"/>
        </w:tabs>
        <w:jc w:val="both"/>
        <w:rPr>
          <w:bCs/>
          <w:sz w:val="24"/>
          <w:szCs w:val="24"/>
        </w:rPr>
      </w:pPr>
      <w:r>
        <w:rPr>
          <w:bCs/>
          <w:sz w:val="24"/>
          <w:szCs w:val="24"/>
        </w:rPr>
        <w:t xml:space="preserve">           </w:t>
      </w:r>
      <w:r>
        <w:rPr>
          <w:bCs/>
          <w:sz w:val="24"/>
          <w:szCs w:val="24"/>
        </w:rPr>
        <w:t xml:space="preserve">2.2.4. заработную плату, накладные и командировочные расходы, перемещение и размещение персонала Поставщика; </w:t>
      </w:r>
    </w:p>
    <w:p>
      <w:pPr>
        <w:pStyle w:val="Normal"/>
        <w:shd w:val="clear" w:color="auto" w:fill="FFFFFF"/>
        <w:tabs>
          <w:tab w:val="clear" w:pos="708"/>
          <w:tab w:val="left" w:pos="1418" w:leader="none"/>
        </w:tabs>
        <w:jc w:val="both"/>
        <w:rPr>
          <w:bCs/>
          <w:sz w:val="24"/>
          <w:szCs w:val="24"/>
        </w:rPr>
      </w:pPr>
      <w:r>
        <w:rPr>
          <w:bCs/>
          <w:sz w:val="24"/>
          <w:szCs w:val="24"/>
        </w:rPr>
        <w:t xml:space="preserve">           </w:t>
      </w:r>
      <w:r>
        <w:rPr>
          <w:bCs/>
          <w:sz w:val="24"/>
          <w:szCs w:val="24"/>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Товара, и с учетом пункта 2.4.3 Договора.</w:t>
      </w:r>
    </w:p>
    <w:p>
      <w:pPr>
        <w:pStyle w:val="Norma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Последующий платеж в размере 70 % (семидесяти процентов) от стоимости Товара выплачиваются Поставщику в течение 20 (двадцати) календарных дней с даты подписания Сторонами накладной ТОРГ-12, на основании счета, выставленного Поставщиком, и с учетом пункта 2.4.3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8"/>
          <w:tab w:val="left" w:pos="1134"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8"/>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tabs>
          <w:tab w:val="clear" w:pos="708"/>
          <w:tab w:val="left" w:pos="1134" w:leader="none"/>
        </w:tabs>
        <w:ind w:firstLine="709"/>
        <w:jc w:val="both"/>
        <w:rPr>
          <w:sz w:val="24"/>
          <w:szCs w:val="24"/>
        </w:rPr>
      </w:pPr>
      <w:r>
        <w:rPr>
          <w:sz w:val="24"/>
          <w:szCs w:val="24"/>
        </w:rPr>
      </w:r>
    </w:p>
    <w:p>
      <w:pPr>
        <w:pStyle w:val="Normal"/>
        <w:tabs>
          <w:tab w:val="clear" w:pos="708"/>
          <w:tab w:val="left" w:pos="1134" w:leader="none"/>
        </w:tabs>
        <w:ind w:firstLine="709"/>
        <w:jc w:val="both"/>
        <w:rPr>
          <w:sz w:val="24"/>
          <w:szCs w:val="24"/>
        </w:rPr>
      </w:pPr>
      <w:r>
        <w:rPr>
          <w:sz w:val="24"/>
          <w:szCs w:val="24"/>
        </w:rPr>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rPr>
      </w:pPr>
      <w:r>
        <w:rPr>
          <w:sz w:val="24"/>
          <w:szCs w:val="24"/>
        </w:rPr>
        <w:t>сертификат качества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технический паспорт на русском языке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инструкция по эксплуатации на русском языке в 1 (одном)экз.;</w:t>
      </w:r>
    </w:p>
    <w:p>
      <w:pPr>
        <w:pStyle w:val="Normal"/>
        <w:numPr>
          <w:ilvl w:val="0"/>
          <w:numId w:val="4"/>
        </w:numPr>
        <w:tabs>
          <w:tab w:val="clear" w:pos="708"/>
          <w:tab w:val="left" w:pos="1418" w:leader="none"/>
        </w:tabs>
        <w:ind w:firstLine="709" w:left="0"/>
        <w:jc w:val="both"/>
        <w:rPr>
          <w:sz w:val="24"/>
          <w:szCs w:val="24"/>
        </w:rPr>
      </w:pPr>
      <w:r>
        <w:rPr>
          <w:sz w:val="24"/>
          <w:szCs w:val="24"/>
        </w:rPr>
        <w:t>упаковочный лист в 1 (одном) экз.;</w:t>
      </w:r>
    </w:p>
    <w:p>
      <w:pPr>
        <w:pStyle w:val="Normal"/>
        <w:numPr>
          <w:ilvl w:val="0"/>
          <w:numId w:val="3"/>
        </w:numPr>
        <w:tabs>
          <w:tab w:val="clear" w:pos="708"/>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накладная ТОРГ-12 в 2 (двух)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5 (пяти)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8"/>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замечаний Покупатель подписывает накладную ТОРГ-12.</w:t>
      </w:r>
    </w:p>
    <w:p>
      <w:pPr>
        <w:pStyle w:val="Normal"/>
        <w:numPr>
          <w:ilvl w:val="1"/>
          <w:numId w:val="2"/>
        </w:numPr>
        <w:shd w:val="clear" w:color="auto" w:fill="FFFFFF"/>
        <w:tabs>
          <w:tab w:val="clear" w:pos="708"/>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numPr>
          <w:ilvl w:val="1"/>
          <w:numId w:val="2"/>
        </w:numPr>
        <w:shd w:val="clear" w:color="auto" w:fill="FFFFFF"/>
        <w:tabs>
          <w:tab w:val="clear" w:pos="708"/>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 12 (двенадцать) месяцев и начинает течь с даты подписания Сторонами накладной ТОРГ-12.</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
        </w:numPr>
        <w:tabs>
          <w:tab w:val="clear" w:pos="708"/>
          <w:tab w:val="left" w:pos="1276" w:leader="none"/>
        </w:tabs>
        <w:ind w:firstLine="709" w:left="0"/>
        <w:jc w:val="both"/>
        <w:rPr>
          <w:bCs/>
          <w:sz w:val="24"/>
          <w:szCs w:val="24"/>
        </w:rPr>
      </w:pPr>
      <w:r>
        <w:rPr>
          <w:bCs/>
          <w:sz w:val="24"/>
          <w:szCs w:val="24"/>
        </w:rPr>
        <w:t xml:space="preserve">Покупатель не несет ответственности за ненадлежащее исполнение обязательств </w:t>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ListParagraph"/>
        <w:widowControl/>
        <w:numPr>
          <w:ilvl w:val="1"/>
          <w:numId w:val="2"/>
        </w:numPr>
        <w:tabs>
          <w:tab w:val="clear" w:pos="708"/>
          <w:tab w:val="left" w:pos="1276" w:leader="none"/>
        </w:tabs>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numPr>
          <w:ilvl w:val="2"/>
          <w:numId w:val="2"/>
        </w:numPr>
        <w:tabs>
          <w:tab w:val="clear" w:pos="708"/>
        </w:tabs>
        <w:ind w:firstLine="709" w:left="0"/>
        <w:jc w:val="both"/>
        <w:rPr>
          <w:bCs/>
          <w:sz w:val="24"/>
          <w:szCs w:val="24"/>
        </w:rPr>
      </w:pPr>
      <w:r>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numPr>
          <w:ilvl w:val="2"/>
          <w:numId w:val="2"/>
        </w:numPr>
        <w:tabs>
          <w:tab w:val="clear" w:pos="708"/>
        </w:tabs>
        <w:ind w:firstLine="709" w:left="0"/>
        <w:jc w:val="both"/>
        <w:rPr>
          <w:bCs/>
          <w:sz w:val="24"/>
          <w:szCs w:val="24"/>
        </w:rPr>
      </w:pPr>
      <w:r>
        <w:rPr>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tabs>
          <w:tab w:val="clear" w:pos="708"/>
          <w:tab w:val="left" w:pos="1276" w:leader="none"/>
          <w:tab w:val="left" w:pos="1701" w:leader="none"/>
        </w:tabs>
        <w:ind w:firstLine="709" w:left="0"/>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2 к Договору. </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причиненные убытки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8"/>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Споры, указанные в пункте 7.1 Договора,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12.8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нарушение Поставщиком общего срока поставки Товара, установленного Договором, более чем на 60 (шестьдесят) календарных дней по причинам, не зависящим от Покупателя;</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10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2"/>
        </w:numPr>
        <w:shd w:val="clear" w:color="auto" w:fill="FFFFFF"/>
        <w:tabs>
          <w:tab w:val="clear" w:pos="708"/>
          <w:tab w:val="left" w:pos="142" w:leader="none"/>
          <w:tab w:val="left" w:pos="1418" w:leader="none"/>
        </w:tabs>
        <w:ind w:firstLine="709" w:left="0"/>
        <w:jc w:val="both"/>
        <w:rPr>
          <w:sz w:val="24"/>
          <w:szCs w:val="24"/>
        </w:rPr>
      </w:pPr>
      <w:r>
        <w:rPr>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8"/>
          <w:tab w:val="left" w:pos="142" w:leader="none"/>
          <w:tab w:val="left" w:pos="709" w:leader="none"/>
        </w:tabs>
        <w:jc w:val="both"/>
        <w:rPr>
          <w:sz w:val="24"/>
          <w:szCs w:val="24"/>
        </w:rPr>
      </w:pPr>
      <w:r>
        <w:rPr>
          <w:sz w:val="24"/>
          <w:szCs w:val="24"/>
        </w:rPr>
        <w:tab/>
        <w:tab/>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12.8 Договора.</w:t>
      </w:r>
      <w:bookmarkEnd w:id="9"/>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bookmarkEnd w:id="10"/>
    </w:p>
    <w:p>
      <w:pPr>
        <w:pStyle w:val="Normal"/>
        <w:ind w:firstLine="709"/>
        <w:jc w:val="both"/>
        <w:rPr>
          <w:bCs/>
          <w:sz w:val="24"/>
          <w:szCs w:val="24"/>
        </w:rPr>
      </w:pPr>
      <w:r>
        <w:rPr>
          <w:bCs/>
          <w:sz w:val="24"/>
          <w:szCs w:val="24"/>
        </w:rPr>
        <w:t xml:space="preserve">Приложение № 2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hanging="0" w:left="0"/>
        <w:rPr>
          <w:b/>
          <w:bCs/>
          <w:sz w:val="24"/>
          <w:szCs w:val="24"/>
        </w:rPr>
      </w:pPr>
      <w:r>
        <w:rPr>
          <w:b/>
          <w:bCs/>
          <w:sz w:val="24"/>
          <w:szCs w:val="24"/>
        </w:rPr>
      </w:r>
    </w:p>
    <w:tbl>
      <w:tblPr>
        <w:tblW w:w="9639" w:type="dxa"/>
        <w:jc w:val="left"/>
        <w:tblInd w:w="-5" w:type="dxa"/>
        <w:tblLayout w:type="fixed"/>
        <w:tblCellMar>
          <w:top w:w="0" w:type="dxa"/>
          <w:left w:w="108" w:type="dxa"/>
          <w:bottom w:w="0" w:type="dxa"/>
          <w:right w:w="108" w:type="dxa"/>
        </w:tblCellMar>
        <w:tblLook w:val="01e0" w:noHBand="0" w:noVBand="0" w:firstColumn="1" w:lastRow="1" w:lastColumn="1" w:firstRow="1"/>
      </w:tblPr>
      <w:tblGrid>
        <w:gridCol w:w="2481"/>
        <w:gridCol w:w="3756"/>
        <w:gridCol w:w="3402"/>
      </w:tblGrid>
      <w:tr>
        <w:trPr>
          <w:tblHeader w:val="true"/>
          <w:trHeight w:val="794"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ind w:hanging="0" w:left="360"/>
              <w:jc w:val="center"/>
              <w:rPr>
                <w:b/>
                <w:color w:val="000000"/>
                <w:sz w:val="24"/>
                <w:szCs w:val="24"/>
                <w:lang w:eastAsia="en-US"/>
              </w:rPr>
            </w:pPr>
            <w:r>
              <w:rPr>
                <w:b/>
                <w:color w:val="000000"/>
                <w:sz w:val="24"/>
                <w:szCs w:val="24"/>
                <w:lang w:eastAsia="en-US"/>
              </w:rPr>
              <w:t>Наименование реквизита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jc w:val="center"/>
              <w:rPr>
                <w:b/>
                <w:color w:val="000000"/>
                <w:sz w:val="24"/>
                <w:szCs w:val="24"/>
                <w:lang w:eastAsia="en-US"/>
              </w:rPr>
            </w:pPr>
            <w:r>
              <w:rPr>
                <w:b/>
                <w:color w:val="000000"/>
                <w:sz w:val="24"/>
                <w:szCs w:val="24"/>
                <w:lang w:eastAsia="en-US"/>
              </w:rPr>
              <w:t>Покупатель</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jc w:val="center"/>
              <w:rPr>
                <w:b/>
                <w:sz w:val="24"/>
                <w:szCs w:val="24"/>
                <w:lang w:eastAsia="en-US"/>
              </w:rPr>
            </w:pPr>
            <w:r>
              <w:rPr>
                <w:b/>
                <w:sz w:val="24"/>
                <w:szCs w:val="24"/>
                <w:lang w:eastAsia="en-US"/>
              </w:rPr>
              <w:t>Поставщик</w:t>
            </w:r>
          </w:p>
        </w:tc>
      </w:tr>
      <w:tr>
        <w:trPr>
          <w:trHeight w:val="558"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Полное наименование</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Публичное акционерное общество «Федеральная гидрогенерирующая компания-РусГидро»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60"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Сокращенное наименование</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ПАО «РусГидро»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77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Место нахождения Общества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44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Почтовый адрес для отправки корреспонденции</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 xml:space="preserve">655619, Российская Федерация, Республика Хакасия, </w:t>
            </w:r>
          </w:p>
          <w:p>
            <w:pPr>
              <w:pStyle w:val="Normal"/>
              <w:widowControl w:val="false"/>
              <w:snapToGrid w:val="false"/>
              <w:spacing w:lineRule="auto" w:line="216"/>
              <w:jc w:val="center"/>
              <w:rPr>
                <w:sz w:val="24"/>
                <w:szCs w:val="24"/>
                <w:lang w:eastAsia="en-US"/>
              </w:rPr>
            </w:pPr>
            <w:r>
              <w:rPr>
                <w:sz w:val="24"/>
                <w:szCs w:val="24"/>
                <w:lang w:eastAsia="en-US"/>
              </w:rPr>
              <w:t xml:space="preserve">г. Саяногорск, рп. Черемушки, </w:t>
            </w:r>
          </w:p>
          <w:p>
            <w:pPr>
              <w:pStyle w:val="Normal"/>
              <w:widowControl w:val="false"/>
              <w:snapToGrid w:val="false"/>
              <w:spacing w:lineRule="auto" w:line="216"/>
              <w:jc w:val="center"/>
              <w:rPr>
                <w:sz w:val="24"/>
                <w:szCs w:val="24"/>
                <w:lang w:eastAsia="en-US"/>
              </w:rPr>
            </w:pPr>
            <w:r>
              <w:rPr>
                <w:sz w:val="24"/>
                <w:szCs w:val="24"/>
                <w:lang w:eastAsia="en-US"/>
              </w:rPr>
              <w:t>а/я 39</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92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Полное наименование филиала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Филиал Публичного акционерного общества «Федеральная гидрогенерирующая компания - РусГидро» - «Саяно-Шушенская ГЭС имени П.С. Непорожнего»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725"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Сокращенное наименование филиала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Филиал ПАО «РусГидро» – «Саяно-Шушенская ГЭС имени П.С. Непорожнего»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884"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Место нахождения филиала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 xml:space="preserve">655619, Российская Федерация, Республика Хакасия, </w:t>
            </w:r>
          </w:p>
          <w:p>
            <w:pPr>
              <w:pStyle w:val="Normal"/>
              <w:widowControl w:val="false"/>
              <w:snapToGrid w:val="false"/>
              <w:spacing w:lineRule="auto" w:line="216"/>
              <w:jc w:val="center"/>
              <w:rPr>
                <w:sz w:val="24"/>
                <w:szCs w:val="24"/>
                <w:lang w:eastAsia="en-US"/>
              </w:rPr>
            </w:pPr>
            <w:r>
              <w:rPr>
                <w:sz w:val="24"/>
                <w:szCs w:val="24"/>
                <w:lang w:eastAsia="en-US"/>
              </w:rPr>
              <w:t>г. Саяногорск, рп. Черемушки</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982"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Получатель</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Филиал ПАО «РусГидро» – «Саяно-Шушенская ГЭС имени П.С. Непорожнего»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84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Банк получателя</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spacing w:lineRule="exact" w:line="230"/>
              <w:ind w:hanging="0" w:left="-40"/>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413"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Расчетный счет</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23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Корреспондентский счет</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175"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БИК</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15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ИНН/КПП</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Default"/>
              <w:widowControl w:val="false"/>
              <w:spacing w:lineRule="auto" w:line="252"/>
              <w:jc w:val="center"/>
              <w:rPr>
                <w:lang w:eastAsia="en-US"/>
              </w:rPr>
            </w:pPr>
            <w:r>
              <w:rPr>
                <w:lang w:eastAsia="en-US"/>
              </w:rPr>
            </w:r>
          </w:p>
        </w:tc>
      </w:tr>
      <w:tr>
        <w:trPr>
          <w:trHeight w:val="15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ОГРН</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225"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Тел./ факс</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326"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Руководитель</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71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sz w:val="24"/>
                <w:szCs w:val="24"/>
                <w:lang w:eastAsia="en-US"/>
              </w:rPr>
            </w:pPr>
            <w:r>
              <w:rPr>
                <w:color w:val="000000"/>
                <w:sz w:val="24"/>
                <w:szCs w:val="24"/>
                <w:lang w:eastAsia="en-US"/>
              </w:rPr>
              <w:t>Контактное лицо</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val="en-US" w:eastAsia="en-US"/>
              </w:rPr>
            </w:pPr>
            <w:r>
              <w:rPr>
                <w:sz w:val="24"/>
                <w:szCs w:val="24"/>
                <w:lang w:val="en-US"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eastAsia="en-US"/>
              </w:rPr>
            </w:pPr>
            <w:r>
              <w:rPr>
                <w:sz w:val="24"/>
                <w:szCs w:val="24"/>
                <w:lang w:eastAsia="en-US"/>
              </w:rPr>
            </w:r>
          </w:p>
        </w:tc>
      </w:tr>
      <w:tr>
        <w:trPr>
          <w:trHeight w:val="608"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Лицо, имеющее право подписи первичных документов</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eastAsia="en-US"/>
              </w:rPr>
            </w:pPr>
            <w:r>
              <w:rPr>
                <w:sz w:val="24"/>
                <w:szCs w:val="24"/>
                <w:lang w:eastAsia="en-US"/>
              </w:rPr>
            </w:r>
          </w:p>
        </w:tc>
      </w:tr>
    </w:tbl>
    <w:p>
      <w:pPr>
        <w:pStyle w:val="ListParagraph"/>
        <w:widowControl/>
        <w:shd w:val="clear" w:color="auto" w:fill="FFFFFF"/>
        <w:tabs>
          <w:tab w:val="clear" w:pos="708"/>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398"/>
        <w:gridCol w:w="277"/>
        <w:gridCol w:w="203"/>
        <w:gridCol w:w="12"/>
      </w:tblGrid>
      <w:tr>
        <w:trPr/>
        <w:tc>
          <w:tcPr>
            <w:tcW w:w="9675" w:type="dxa"/>
            <w:gridSpan w:val="2"/>
            <w:tcBorders/>
          </w:tcPr>
          <w:p>
            <w:pPr>
              <w:pStyle w:val="Normal"/>
              <w:widowControl w:val="false"/>
              <w:numPr>
                <w:ilvl w:val="0"/>
                <w:numId w:val="0"/>
              </w:numPr>
              <w:ind w:hanging="0" w:left="0"/>
              <w:jc w:val="center"/>
              <w:outlineLvl w:val="0"/>
              <w:rPr>
                <w:b/>
                <w:bCs/>
                <w:sz w:val="24"/>
                <w:szCs w:val="24"/>
              </w:rPr>
            </w:pPr>
            <w:r>
              <w:rPr>
                <w:b/>
                <w:bCs/>
                <w:sz w:val="24"/>
                <w:szCs w:val="24"/>
              </w:rPr>
              <w:t>ПОДПИСИ СТОРОН:</w:t>
            </w:r>
          </w:p>
          <w:p>
            <w:pPr>
              <w:pStyle w:val="Normal"/>
              <w:widowControl w:val="false"/>
              <w:numPr>
                <w:ilvl w:val="0"/>
                <w:numId w:val="0"/>
              </w:numPr>
              <w:ind w:hanging="0" w:left="0"/>
              <w:jc w:val="center"/>
              <w:outlineLvl w:val="0"/>
              <w:rPr>
                <w:b/>
                <w:bCs/>
                <w:sz w:val="24"/>
                <w:szCs w:val="24"/>
              </w:rPr>
            </w:pPr>
            <w:r>
              <w:rPr>
                <w:b/>
                <w:bCs/>
                <w:sz w:val="24"/>
                <w:szCs w:val="24"/>
              </w:rPr>
            </w:r>
          </w:p>
          <w:tbl>
            <w:tblPr>
              <w:tblW w:w="98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tcPr>
                <w:p>
                  <w:pPr>
                    <w:pStyle w:val="Normal"/>
                    <w:widowControl w:val="false"/>
                    <w:spacing w:lineRule="auto" w:line="252"/>
                    <w:rPr>
                      <w:b/>
                      <w:sz w:val="24"/>
                      <w:szCs w:val="24"/>
                      <w:lang w:eastAsia="en-US"/>
                    </w:rPr>
                  </w:pPr>
                  <w:r>
                    <w:rPr>
                      <w:b/>
                      <w:sz w:val="24"/>
                      <w:szCs w:val="24"/>
                      <w:lang w:eastAsia="en-US"/>
                    </w:rPr>
                    <w:t>Покупатель:</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252"/>
                    <w:rPr>
                      <w:sz w:val="24"/>
                      <w:szCs w:val="24"/>
                      <w:lang w:eastAsia="en-US"/>
                    </w:rPr>
                  </w:pPr>
                  <w:r>
                    <w:rPr>
                      <w:sz w:val="24"/>
                      <w:szCs w:val="24"/>
                      <w:lang w:eastAsia="en-US"/>
                    </w:rPr>
                    <w:t xml:space="preserve">___________________   / </w:t>
                  </w:r>
                </w:p>
                <w:p>
                  <w:pPr>
                    <w:pStyle w:val="Normal"/>
                    <w:widowControl w:val="false"/>
                    <w:spacing w:lineRule="auto" w:line="252"/>
                    <w:rPr>
                      <w:sz w:val="24"/>
                      <w:szCs w:val="24"/>
                      <w:lang w:eastAsia="en-US"/>
                    </w:rPr>
                  </w:pPr>
                  <w:r>
                    <w:rPr>
                      <w:sz w:val="24"/>
                      <w:szCs w:val="24"/>
                      <w:lang w:eastAsia="en-US"/>
                    </w:rPr>
                  </w:r>
                </w:p>
              </w:tc>
              <w:tc>
                <w:tcPr>
                  <w:tcW w:w="4819" w:type="dxa"/>
                  <w:tcBorders/>
                </w:tcPr>
                <w:p>
                  <w:pPr>
                    <w:pStyle w:val="Normal"/>
                    <w:widowControl w:val="false"/>
                    <w:spacing w:lineRule="auto" w:line="252"/>
                    <w:ind w:firstLine="34"/>
                    <w:rPr>
                      <w:b/>
                      <w:sz w:val="24"/>
                      <w:szCs w:val="24"/>
                      <w:lang w:eastAsia="en-US"/>
                    </w:rPr>
                  </w:pPr>
                  <w:r>
                    <w:rPr>
                      <w:b/>
                      <w:sz w:val="24"/>
                      <w:szCs w:val="24"/>
                      <w:lang w:eastAsia="en-US"/>
                    </w:rPr>
                    <w:t>Поставщик:</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252"/>
                    <w:rPr>
                      <w:b/>
                      <w:sz w:val="24"/>
                      <w:szCs w:val="24"/>
                      <w:lang w:eastAsia="en-US"/>
                    </w:rPr>
                  </w:pPr>
                  <w:r>
                    <w:rPr>
                      <w:sz w:val="24"/>
                      <w:szCs w:val="24"/>
                      <w:lang w:eastAsia="en-US"/>
                    </w:rPr>
                    <w:t>__________________ /</w:t>
                  </w:r>
                </w:p>
              </w:tc>
            </w:tr>
          </w:tbl>
          <w:p>
            <w:pPr>
              <w:pStyle w:val="Normal"/>
              <w:widowControl w:val="false"/>
              <w:rPr>
                <w:sz w:val="24"/>
                <w:szCs w:val="24"/>
              </w:rPr>
            </w:pPr>
            <w:r>
              <w:rPr>
                <w:sz w:val="24"/>
                <w:szCs w:val="24"/>
              </w:rPr>
            </w:r>
          </w:p>
        </w:tc>
        <w:tc>
          <w:tcPr>
            <w:tcW w:w="215" w:type="dxa"/>
            <w:gridSpan w:val="2"/>
            <w:tcBorders/>
          </w:tcPr>
          <w:p>
            <w:pPr>
              <w:pStyle w:val="Normal"/>
              <w:widowControl w:val="false"/>
              <w:rPr>
                <w:sz w:val="24"/>
                <w:szCs w:val="24"/>
              </w:rPr>
            </w:pPr>
            <w:r>
              <w:rPr>
                <w:sz w:val="24"/>
                <w:szCs w:val="24"/>
              </w:rPr>
            </w:r>
          </w:p>
        </w:tc>
      </w:tr>
      <w:tr>
        <w:trPr/>
        <w:tc>
          <w:tcPr>
            <w:tcW w:w="9675" w:type="dxa"/>
            <w:gridSpan w:val="2"/>
            <w:tcBorders/>
            <w:shd w:color="auto" w:fill="auto" w:val="clear"/>
          </w:tcPr>
          <w:p>
            <w:pPr>
              <w:pStyle w:val="Normal"/>
              <w:widowControl w:val="false"/>
              <w:rPr>
                <w:sz w:val="24"/>
                <w:szCs w:val="24"/>
              </w:rPr>
            </w:pPr>
            <w:r>
              <w:rPr>
                <w:sz w:val="24"/>
                <w:szCs w:val="24"/>
              </w:rPr>
            </w:r>
          </w:p>
        </w:tc>
        <w:tc>
          <w:tcPr>
            <w:tcW w:w="215" w:type="dxa"/>
            <w:gridSpan w:val="2"/>
            <w:tcBorders/>
            <w:shd w:color="auto" w:fill="auto" w:val="clear"/>
          </w:tcPr>
          <w:p>
            <w:pPr>
              <w:pStyle w:val="Normal"/>
              <w:widowControl w:val="false"/>
              <w:rPr>
                <w:sz w:val="24"/>
                <w:szCs w:val="24"/>
              </w:rPr>
            </w:pPr>
            <w:r>
              <w:rPr>
                <w:sz w:val="24"/>
                <w:szCs w:val="24"/>
              </w:rPr>
            </w:r>
          </w:p>
        </w:tc>
      </w:tr>
      <w:tr>
        <w:trPr/>
        <w:tc>
          <w:tcPr>
            <w:tcW w:w="9398" w:type="dxa"/>
            <w:tcBorders/>
            <w:shd w:color="auto" w:fill="auto" w:val="clear"/>
          </w:tcPr>
          <w:p>
            <w:pPr>
              <w:pStyle w:val="Normal"/>
              <w:widowControl w:val="false"/>
              <w:rPr>
                <w:sz w:val="24"/>
                <w:szCs w:val="24"/>
              </w:rPr>
            </w:pPr>
            <w:r>
              <w:rPr>
                <w:sz w:val="24"/>
                <w:szCs w:val="24"/>
              </w:rPr>
            </w:r>
          </w:p>
        </w:tc>
        <w:tc>
          <w:tcPr>
            <w:tcW w:w="480" w:type="dxa"/>
            <w:gridSpan w:val="2"/>
            <w:tcBorders/>
            <w:shd w:color="auto" w:fill="auto" w:val="clear"/>
          </w:tcPr>
          <w:p>
            <w:pPr>
              <w:pStyle w:val="Normal"/>
              <w:widowControl w:val="false"/>
              <w:rPr>
                <w:sz w:val="24"/>
                <w:szCs w:val="24"/>
              </w:rPr>
            </w:pPr>
            <w:r>
              <w:rPr>
                <w:sz w:val="24"/>
                <w:szCs w:val="24"/>
              </w:rPr>
            </w:r>
          </w:p>
        </w:tc>
        <w:tc>
          <w:tcPr>
            <w:tcW w:w="12" w:type="dxa"/>
            <w:tcBorders/>
          </w:tcPr>
          <w:p>
            <w:pPr>
              <w:pStyle w:val="Normal"/>
              <w:widowControl w:val="false"/>
              <w:rPr/>
            </w:pPr>
            <w:r>
              <w:rPr/>
            </w:r>
          </w:p>
        </w:tc>
      </w:tr>
    </w:tbl>
    <w:p>
      <w:pPr>
        <w:sectPr>
          <w:headerReference w:type="default" r:id="rId2"/>
          <w:headerReference w:type="first" r:id="rId3"/>
          <w:footerReference w:type="default" r:id="rId4"/>
          <w:type w:val="nextPage"/>
          <w:pgSz w:w="11906" w:h="16838"/>
          <w:pgMar w:left="1418" w:right="851" w:gutter="0" w:header="709" w:top="1134" w:footer="709" w:bottom="2268"/>
          <w:pgNumType w:fmt="decimal"/>
          <w:formProt w:val="false"/>
          <w:titlePg/>
          <w:textDirection w:val="lrTb"/>
          <w:docGrid w:type="default" w:linePitch="360" w:charSpace="8192"/>
        </w:sectPr>
      </w:pPr>
    </w:p>
    <w:p>
      <w:pPr>
        <w:pStyle w:val="Normal"/>
        <w:suppressAutoHyphens w:val="true"/>
        <w:ind w:firstLine="5103" w:right="96"/>
        <w:jc w:val="right"/>
        <w:rPr>
          <w:sz w:val="24"/>
          <w:szCs w:val="24"/>
        </w:rPr>
      </w:pPr>
      <w:r>
        <w:rPr>
          <w:sz w:val="24"/>
          <w:szCs w:val="24"/>
        </w:rPr>
        <w:t>Приложение № 2</w:t>
      </w:r>
    </w:p>
    <w:p>
      <w:pPr>
        <w:pStyle w:val="Normal"/>
        <w:suppressAutoHyphens w:val="true"/>
        <w:ind w:firstLine="5103" w:right="96"/>
        <w:jc w:val="right"/>
        <w:rPr>
          <w:sz w:val="24"/>
          <w:szCs w:val="24"/>
        </w:rPr>
      </w:pPr>
      <w:r>
        <w:rPr>
          <w:sz w:val="24"/>
          <w:szCs w:val="24"/>
        </w:rPr>
        <w:t xml:space="preserve">к Договору поставки </w:t>
      </w:r>
    </w:p>
    <w:p>
      <w:pPr>
        <w:pStyle w:val="Normal"/>
        <w:suppressAutoHyphens w:val="true"/>
        <w:ind w:firstLine="5103" w:right="96"/>
        <w:jc w:val="right"/>
        <w:rPr>
          <w:sz w:val="24"/>
          <w:szCs w:val="24"/>
        </w:rPr>
      </w:pPr>
      <w:r>
        <w:rPr>
          <w:sz w:val="24"/>
          <w:szCs w:val="24"/>
        </w:rPr>
        <w:t xml:space="preserve">от «____» __________ 20 _ г. </w:t>
      </w:r>
    </w:p>
    <w:p>
      <w:pPr>
        <w:pStyle w:val="Normal"/>
        <w:suppressAutoHyphens w:val="true"/>
        <w:ind w:firstLine="5103" w:right="96"/>
        <w:jc w:val="right"/>
        <w:rPr>
          <w:sz w:val="24"/>
          <w:szCs w:val="24"/>
        </w:rPr>
      </w:pPr>
      <w:r>
        <w:rPr>
          <w:sz w:val="24"/>
          <w:szCs w:val="24"/>
        </w:rPr>
        <w:t xml:space="preserve">№ </w:t>
      </w:r>
    </w:p>
    <w:p>
      <w:pPr>
        <w:pStyle w:val="Normal"/>
        <w:widowControl/>
        <w:rPr>
          <w:rFonts w:eastAsia="Calibri"/>
          <w:b/>
          <w:sz w:val="24"/>
          <w:szCs w:val="24"/>
          <w:lang w:eastAsia="en-US"/>
        </w:rPr>
      </w:pPr>
      <w:r>
        <w:rPr>
          <w:rFonts w:eastAsia="Calibri"/>
          <w:b/>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tbl>
      <w:tblPr>
        <w:tblW w:w="49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46"/>
        <w:gridCol w:w="5797"/>
      </w:tblGrid>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769"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73"/>
        <w:gridCol w:w="4795"/>
      </w:tblGrid>
      <w:tr>
        <w:trPr>
          <w:trHeight w:val="1797" w:hRule="atLeast"/>
        </w:trPr>
        <w:tc>
          <w:tcPr>
            <w:tcW w:w="4973" w:type="dxa"/>
            <w:tcBorders/>
            <w:shd w:color="auto" w:fill="auto" w:val="clear"/>
          </w:tcPr>
          <w:p>
            <w:pPr>
              <w:pStyle w:val="Normal"/>
              <w:widowControl w:val="false"/>
              <w:spacing w:lineRule="auto" w:line="252"/>
              <w:rPr>
                <w:b/>
                <w:sz w:val="24"/>
                <w:szCs w:val="24"/>
                <w:lang w:eastAsia="en-US"/>
              </w:rPr>
            </w:pPr>
            <w:r>
              <w:rPr>
                <w:b/>
                <w:sz w:val="24"/>
                <w:szCs w:val="24"/>
                <w:lang w:eastAsia="en-US"/>
              </w:rPr>
              <w:t>Покупатель:</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252"/>
              <w:rPr>
                <w:sz w:val="24"/>
                <w:szCs w:val="24"/>
                <w:lang w:eastAsia="en-US"/>
              </w:rPr>
            </w:pPr>
            <w:r>
              <w:rPr>
                <w:sz w:val="24"/>
                <w:szCs w:val="24"/>
                <w:lang w:eastAsia="en-US"/>
              </w:rPr>
              <w:t xml:space="preserve">___________________   / </w:t>
            </w:r>
          </w:p>
          <w:p>
            <w:pPr>
              <w:pStyle w:val="Normal"/>
              <w:widowControl w:val="false"/>
              <w:spacing w:lineRule="auto" w:line="360"/>
              <w:rPr>
                <w:sz w:val="24"/>
                <w:szCs w:val="24"/>
              </w:rPr>
            </w:pPr>
            <w:r>
              <w:rPr>
                <w:sz w:val="24"/>
                <w:szCs w:val="24"/>
              </w:rPr>
            </w:r>
          </w:p>
        </w:tc>
        <w:tc>
          <w:tcPr>
            <w:tcW w:w="4795" w:type="dxa"/>
            <w:tcBorders/>
            <w:shd w:color="auto" w:fill="auto" w:val="clear"/>
          </w:tcPr>
          <w:p>
            <w:pPr>
              <w:pStyle w:val="Normal"/>
              <w:widowControl w:val="false"/>
              <w:spacing w:lineRule="auto" w:line="252"/>
              <w:ind w:firstLine="34"/>
              <w:rPr>
                <w:b/>
                <w:sz w:val="24"/>
                <w:szCs w:val="24"/>
                <w:lang w:eastAsia="en-US"/>
              </w:rPr>
            </w:pPr>
            <w:r>
              <w:rPr>
                <w:b/>
                <w:sz w:val="24"/>
                <w:szCs w:val="24"/>
                <w:lang w:eastAsia="en-US"/>
              </w:rPr>
              <w:t>Поставщик:</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360"/>
              <w:ind w:firstLine="33"/>
              <w:rPr>
                <w:b/>
                <w:sz w:val="24"/>
                <w:szCs w:val="24"/>
              </w:rPr>
            </w:pPr>
            <w:r>
              <w:rPr>
                <w:sz w:val="24"/>
                <w:szCs w:val="24"/>
                <w:lang w:eastAsia="en-US"/>
              </w:rPr>
              <w:t>__________________ /</w:t>
            </w:r>
            <w:r>
              <w:rPr>
                <w:b/>
                <w:sz w:val="24"/>
                <w:szCs w:val="24"/>
              </w:rPr>
              <w:t xml:space="preserve"> </w:t>
            </w:r>
          </w:p>
        </w:tc>
      </w:tr>
    </w:tbl>
    <w:p>
      <w:pPr>
        <w:pStyle w:val="Normal"/>
        <w:rPr>
          <w:b/>
          <w:bCs/>
          <w:sz w:val="24"/>
          <w:szCs w:val="24"/>
        </w:rPr>
      </w:pPr>
      <w:r>
        <w:rPr>
          <w:b/>
          <w:bCs/>
          <w:sz w:val="24"/>
          <w:szCs w:val="24"/>
        </w:rPr>
      </w:r>
    </w:p>
    <w:sectPr>
      <w:headerReference w:type="default" r:id="rId5"/>
      <w:headerReference w:type="first" r:id="rId6"/>
      <w:footerReference w:type="default" r:id="rId7"/>
      <w:footerReference w:type="first" r:id="rId8"/>
      <w:type w:val="nextPage"/>
      <w:pgSz w:w="11906" w:h="16838"/>
      <w:pgMar w:left="1418" w:right="851" w:gutter="0" w:header="567" w:top="1134" w:footer="709" w:bottom="226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ucida Grande CY">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141"/>
        </w:tabs>
        <w:ind w:left="1141" w:hanging="432"/>
      </w:pPr>
      <w:rPr>
        <w:sz w:val="24"/>
        <w:b w:val="false"/>
        <w:szCs w:val="24"/>
      </w:rPr>
    </w:lvl>
    <w:lvl w:ilvl="2">
      <w:start w:val="1"/>
      <w:numFmt w:val="decimal"/>
      <w:lvlText w:val="%1.%2.%3."/>
      <w:lvlJc w:val="left"/>
      <w:pPr>
        <w:tabs>
          <w:tab w:val="num" w:pos="1855"/>
        </w:tabs>
        <w:ind w:left="1639"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480" w:hanging="480"/>
      </w:pPr>
      <w:rPr/>
    </w:lvl>
    <w:lvl w:ilvl="1">
      <w:start w:val="2"/>
      <w:numFmt w:val="decimal"/>
      <w:lvlText w:val="%1.%2"/>
      <w:lvlJc w:val="left"/>
      <w:pPr>
        <w:tabs>
          <w:tab w:val="num" w:pos="0"/>
        </w:tabs>
        <w:ind w:left="840" w:hanging="480"/>
      </w:pPr>
      <w:rPr/>
    </w:lvl>
    <w:lvl w:ilvl="2">
      <w:start w:val="2"/>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uiPriority w:val="99"/>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0"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2"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4"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5"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Default" w:customStyle="1">
    <w:name w:val="Default"/>
    <w:qFormat/>
    <w:rsid w:val="003e6e1a"/>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12" w:customStyle="1">
    <w:name w:val="Без интервала1"/>
    <w:uiPriority w:val="1"/>
    <w:qFormat/>
    <w:rsid w:val="00140e4a"/>
    <w:pPr>
      <w:widowControl/>
      <w:suppressAutoHyphens w:val="true"/>
      <w:bidi w:val="0"/>
      <w:spacing w:before="0" w:after="0"/>
      <w:jc w:val="left"/>
    </w:pPr>
    <w:rPr>
      <w:rFonts w:ascii="Lucida Grande CY" w:hAnsi="Lucida Grande CY" w:eastAsia="Lucida Grande CY" w:cs="Times New Roman"/>
      <w:color w:val="auto"/>
      <w:kern w:val="0"/>
      <w:sz w:val="24"/>
      <w:szCs w:val="24"/>
      <w:lang w:val="ru-RU" w:eastAsia="ar-SA"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9F4474-FED9-4D99-B59D-BF04B5D6D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Application>AlterOffice/2026.2.0.0$Linux_X86_64 LibreOffice_project/bc4ef1adf80b36c7a6365f8ed6cbf29021361edd</Application>
  <AppVersion>15.0000</AppVersion>
  <Pages>18</Pages>
  <Words>6224</Words>
  <Characters>44066</Characters>
  <CharactersWithSpaces>50071</CharactersWithSpaces>
  <Paragraphs>270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2025-03-11T01:25:00Z</dcterms:created>
  <dc:creator>tsypilev_ag</dc:creator>
  <dc:description/>
  <dc:language>ru-RU</dc:language>
  <cp:lastModifiedBy>dvortcovaaa@corp.gidroogk.com</cp:lastModifiedBy>
  <cp:lastPrinted>2018-05-22T09:46:00Z</cp:lastPrinted>
  <dcterms:modified xsi:type="dcterms:W3CDTF">2026-09-24T16:15:33Z</dcterms:modified>
  <cp:revision>11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