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3"/>
        <w:tblW w:w="99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56"/>
        <w:gridCol w:w="731"/>
        <w:gridCol w:w="4534"/>
      </w:tblGrid>
      <w:tr>
        <w:trPr/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«ПОДГОТОВИЛ»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«УТВЕРЖДАЮ»</w:t>
            </w:r>
          </w:p>
        </w:tc>
      </w:tr>
      <w:tr>
        <w:trPr/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Технический куратор договора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Инициатор договора</w:t>
            </w:r>
          </w:p>
        </w:tc>
      </w:tr>
      <w:tr>
        <w:trPr/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Ведущий специалист отдела комплексного обслуживания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Начальник управления обслуживания объектов</w:t>
            </w:r>
          </w:p>
        </w:tc>
      </w:tr>
      <w:tr>
        <w:trPr>
          <w:trHeight w:val="352" w:hRule="atLeast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Стрелец В.А.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Решетникова А.А.</w:t>
            </w:r>
          </w:p>
        </w:tc>
      </w:tr>
      <w:tr>
        <w:trPr/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25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» сентябр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я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2026 года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25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» сентябр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я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2026 года</w:t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Технические требования на оказание услуг</w:t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«</w:t>
      </w:r>
      <w:r>
        <w:rPr>
          <w:rFonts w:eastAsia="Calibri"/>
          <w:b/>
          <w:bCs/>
          <w:shd w:fill="auto" w:val="clear"/>
        </w:rPr>
        <w:t>ОКПД2 49.39.13.000 Оказание транспортных услуг по доставке сотрудников до места работы: филиал ПАО «РусГидро»-«Чебоксарская ГЭС»</w:t>
      </w:r>
    </w:p>
    <w:p>
      <w:pPr>
        <w:pStyle w:val="Normal"/>
        <w:jc w:val="center"/>
        <w:rPr>
          <w:rFonts w:eastAsia="Calibri"/>
          <w:b/>
          <w:bCs/>
          <w:highlight w:val="none"/>
          <w:shd w:fill="auto" w:val="clear"/>
        </w:rPr>
      </w:pPr>
      <w:r>
        <w:rPr>
          <w:rFonts w:eastAsia="Calibri"/>
          <w:b/>
          <w:bCs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Calibri"/>
          <w:b/>
          <w:bCs/>
          <w:shd w:fill="auto" w:val="clear"/>
        </w:rPr>
        <w:t>Лот № 0004-ПРО ДЭК-2027-СК РусГидр</w:t>
      </w:r>
    </w:p>
    <w:p>
      <w:pPr>
        <w:pStyle w:val="Normal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both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numPr>
          <w:ilvl w:val="0"/>
          <w:numId w:val="3"/>
        </w:numPr>
        <w:ind w:left="0" w:hanging="0"/>
        <w:jc w:val="center"/>
        <w:outlineLvl w:val="0"/>
        <w:rPr>
          <w:rFonts w:eastAsia="Calibri"/>
          <w:caps/>
          <w:lang w:val="x-none" w:eastAsia="x-none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Общие</w:t>
      </w:r>
      <w:r>
        <w:rPr>
          <w:rFonts w:eastAsia="Calibri"/>
          <w:lang w:val="x-none" w:eastAsia="x-none"/>
        </w:rPr>
        <w:t xml:space="preserve">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сведения</w:t>
      </w:r>
    </w:p>
    <w:p>
      <w:pPr>
        <w:pStyle w:val="Normal"/>
        <w:numPr>
          <w:ilvl w:val="0"/>
          <w:numId w:val="0"/>
        </w:numPr>
        <w:ind w:left="0" w:hanging="0"/>
        <w:outlineLvl w:val="0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keepNext w:val="true"/>
        <w:numPr>
          <w:ilvl w:val="1"/>
          <w:numId w:val="3"/>
        </w:numPr>
        <w:ind w:left="0" w:firstLine="709"/>
        <w:outlineLvl w:val="3"/>
        <w:rPr>
          <w:rFonts w:eastAsia="Calibri"/>
          <w:bCs/>
          <w:sz w:val="24"/>
          <w:szCs w:val="24"/>
          <w:lang w:val="x-none" w:eastAsia="x-none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Обозначения</w:t>
      </w:r>
      <w:r>
        <w:rPr>
          <w:rFonts w:eastAsia="Calibri"/>
          <w:bCs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bCs/>
          <w:sz w:val="24"/>
          <w:szCs w:val="24"/>
          <w:lang w:val="x-none" w:eastAsia="x-none"/>
        </w:rPr>
        <w:t xml:space="preserve">и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964"/>
        <w:gridCol w:w="5818"/>
      </w:tblGrid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Технические требования (ТТ)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Настоящие Технические требования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Заказчик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АО «СК РусГидро»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Филиалы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филиал ПАО «РусГидро» - «Чебоксарская ГЭС».</w:t>
            </w:r>
          </w:p>
        </w:tc>
      </w:tr>
      <w:tr>
        <w:trPr>
          <w:trHeight w:val="209" w:hRule="atLeast"/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Объекты (Объект воздействия)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 xml:space="preserve">Перевозка пассажиров (сотрудников) к месту работы в филиалы и обратно 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Исполнитель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 xml:space="preserve">Исполнителем по договору может быть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из числа лиц, </w:t>
            </w:r>
            <w:r>
              <w:rPr>
                <w:rFonts w:eastAsia="Calibri"/>
                <w:b/>
                <w:bCs/>
                <w:sz w:val="22"/>
                <w:szCs w:val="22"/>
              </w:rPr>
              <w:t>относящихся к субъектам МСП</w:t>
            </w:r>
            <w:r>
              <w:rPr>
                <w:rFonts w:eastAsia="Calibri"/>
                <w:sz w:val="22"/>
                <w:szCs w:val="22"/>
              </w:rPr>
              <w:t>, а также физические лица, не являющиеся индивидуальными предпринимателями и имеющими специальный налоговой режим «Налог профессиональный доход».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 xml:space="preserve">Субъект МСП 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Субъект малого и среднего предпринимательства субъект МСП) – определяется в соответствии с Федеральным законом от 24.07.2007 № 209-ФЗ «О развитии малого и среднего предпринимательства в Российской Федерации».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СТО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Стандарт обслуживания зданий и территорий Группы РусГидро, утверждённый приказом ПАО «РусГидро» от 07.10.2022 №750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rPr/>
      </w:pPr>
      <w:bookmarkStart w:id="0" w:name="_Toc54643696_Копия_1"/>
      <w:bookmarkStart w:id="1" w:name="_Toc46743506_Копия_1"/>
      <w:r>
        <w:rPr>
          <w:b/>
          <w:bCs/>
        </w:rPr>
        <w:t>Наименование</w:t>
      </w:r>
      <w:r>
        <w:rPr/>
        <w:t xml:space="preserve"> </w:t>
      </w:r>
      <w:r>
        <w:rPr>
          <w:b/>
          <w:bCs/>
        </w:rPr>
        <w:t>закупаемой продукции</w:t>
      </w:r>
      <w:bookmarkEnd w:id="0"/>
      <w:bookmarkEnd w:id="1"/>
    </w:p>
    <w:p>
      <w:pPr>
        <w:pStyle w:val="Normal"/>
        <w:widowControl w:val="false"/>
        <w:spacing w:before="0" w:after="0"/>
        <w:ind w:left="0" w:right="0" w:firstLine="709"/>
        <w:jc w:val="both"/>
        <w:rPr/>
      </w:pPr>
      <w:r>
        <w:rPr>
          <w:rFonts w:eastAsia="Calibri"/>
          <w:iCs/>
          <w:sz w:val="24"/>
          <w:szCs w:val="24"/>
          <w:lang w:eastAsia="x-none"/>
        </w:rPr>
        <w:t>ОКПД2 49.39.13.000 Оказание транспортных услуг по доставке сотрудников до места работы: филиал ПАО «РусГидро»-«Чебоксарская ГЭС».</w:t>
      </w:r>
    </w:p>
    <w:p>
      <w:pPr>
        <w:pStyle w:val="Normal"/>
        <w:widowControl w:val="false"/>
        <w:spacing w:before="0" w:after="0"/>
        <w:ind w:left="0" w:right="0" w:firstLine="709"/>
        <w:jc w:val="both"/>
        <w:rPr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rPr/>
      </w:pPr>
      <w:bookmarkStart w:id="2" w:name="_Toc54643697_Копия_1"/>
      <w:bookmarkStart w:id="3" w:name="_Toc46743507_Копия_1"/>
      <w:r>
        <w:rPr>
          <w:b/>
          <w:bCs/>
        </w:rPr>
        <w:t xml:space="preserve">Цель </w:t>
      </w:r>
      <w:bookmarkEnd w:id="3"/>
      <w:r>
        <w:rPr>
          <w:b/>
          <w:bCs/>
        </w:rPr>
        <w:t>оказания услуг</w:t>
      </w:r>
      <w:bookmarkEnd w:id="2"/>
    </w:p>
    <w:p>
      <w:pPr>
        <w:pStyle w:val="Normal"/>
        <w:widowControl w:val="false"/>
        <w:spacing w:before="0" w:after="0"/>
        <w:ind w:left="0" w:right="0" w:firstLine="709"/>
        <w:jc w:val="both"/>
        <w:rPr/>
      </w:pPr>
      <w:r>
        <w:rPr>
          <w:rFonts w:eastAsia="Calibri"/>
          <w:sz w:val="24"/>
          <w:szCs w:val="24"/>
          <w:lang w:eastAsia="x-none"/>
        </w:rPr>
        <w:t>В целях исполнения доходного договора заключенного между АО «СК РусГидро» и филиалом ПАО «РусГидро» - «Чебоксарская ГЭС».</w:t>
      </w:r>
    </w:p>
    <w:p>
      <w:pPr>
        <w:pStyle w:val="Normal"/>
        <w:widowControl w:val="false"/>
        <w:spacing w:before="0" w:after="0"/>
        <w:ind w:left="0" w:right="0" w:firstLine="709"/>
        <w:jc w:val="both"/>
        <w:rPr/>
      </w:pPr>
      <w:r>
        <w:rPr>
          <w:rFonts w:eastAsia="Calibri"/>
          <w:sz w:val="24"/>
          <w:szCs w:val="24"/>
          <w:lang w:eastAsia="x-none"/>
        </w:rPr>
        <w:t xml:space="preserve">Предоставление транспортных средств с водителем для перевозки сотрудников, задействованных в обслуживании задний и помещений филиала ПАО «РусГидро» - «Чебоксарская ГЭС», </w:t>
      </w:r>
      <w:r>
        <w:rPr>
          <w:rFonts w:eastAsia="Calibri"/>
          <w:color w:val="000000"/>
          <w:sz w:val="24"/>
          <w:szCs w:val="24"/>
          <w:lang w:eastAsia="x-none"/>
        </w:rPr>
        <w:t>находящегося по адресу Чувашская Республика, г. Новочебоксарск, ул. Набережная, влд. 34.</w:t>
      </w:r>
    </w:p>
    <w:p>
      <w:pPr>
        <w:pStyle w:val="Normal"/>
        <w:widowControl w:val="false"/>
        <w:spacing w:before="0" w:after="0"/>
        <w:ind w:left="0" w:right="0" w:firstLine="709"/>
        <w:jc w:val="both"/>
        <w:rPr>
          <w:rFonts w:eastAsia="Calibri"/>
          <w:b w:val="false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Fonts w:eastAsia="Calibri"/>
          <w:b w:val="false"/>
          <w:i w:val="false"/>
          <w:sz w:val="24"/>
          <w:szCs w:val="24"/>
          <w:shd w:fill="auto" w:val="clear"/>
          <w:lang w:eastAsia="x-none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rPr/>
      </w:pPr>
      <w:bookmarkStart w:id="4" w:name="_Toc54643698_Копия_1"/>
      <w:bookmarkStart w:id="5" w:name="_Toc46743508_Копия_1"/>
      <w:r>
        <w:rPr>
          <w:b/>
          <w:bCs/>
        </w:rPr>
        <w:t>Существующее положение</w:t>
      </w:r>
      <w:bookmarkEnd w:id="5"/>
      <w:r>
        <w:rPr>
          <w:b/>
          <w:bCs/>
        </w:rPr>
        <w:t xml:space="preserve"> </w:t>
      </w:r>
      <w:bookmarkEnd w:id="4"/>
    </w:p>
    <w:p>
      <w:pPr>
        <w:pStyle w:val="Normal"/>
        <w:widowControl w:val="false"/>
        <w:spacing w:before="0" w:after="0"/>
        <w:ind w:left="0" w:right="0" w:firstLine="709"/>
        <w:jc w:val="both"/>
        <w:rPr/>
      </w:pPr>
      <w:r>
        <w:rPr>
          <w:rFonts w:eastAsia="Calibri"/>
          <w:sz w:val="24"/>
          <w:szCs w:val="24"/>
          <w:lang w:eastAsia="x-none"/>
        </w:rPr>
        <w:t>Перевозка пассажиров (сотрудников Заказчика) осуществляется пассажирским автомобильным транспортном по маршруту, согласно таблице № 2. Минимальное количество перевозимых пассажиров указано в таблице №1.</w:t>
      </w:r>
    </w:p>
    <w:p>
      <w:pPr>
        <w:pStyle w:val="ListParagraph"/>
        <w:spacing w:before="0" w:after="0"/>
        <w:ind w:left="0" w:right="0" w:firstLine="709"/>
        <w:contextualSpacing w:val="false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 Перечень маршрутов Заказчика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627"/>
        <w:gridCol w:w="5381"/>
        <w:gridCol w:w="3913"/>
      </w:tblGrid>
      <w:tr>
        <w:trPr/>
        <w:tc>
          <w:tcPr>
            <w:tcW w:w="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firstLine="426"/>
              <w:jc w:val="center"/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</w:pPr>
            <w:r>
              <w:rPr>
                <w:b/>
                <w:kern w:val="2"/>
                <w:sz w:val="20"/>
                <w:szCs w:val="20"/>
                <w:lang w:eastAsia="zh-CN" w:bidi="hi-IN"/>
              </w:rPr>
              <w:t>№</w:t>
            </w:r>
          </w:p>
        </w:tc>
        <w:tc>
          <w:tcPr>
            <w:tcW w:w="5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firstLine="426"/>
              <w:jc w:val="center"/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  <w:t>Номер маршрута</w:t>
            </w:r>
          </w:p>
        </w:tc>
        <w:tc>
          <w:tcPr>
            <w:tcW w:w="391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b/>
                <w:kern w:val="2"/>
                <w:sz w:val="20"/>
                <w:szCs w:val="20"/>
                <w:lang w:val="ru-RU" w:eastAsia="zh-CN" w:bidi="hi-IN"/>
              </w:rPr>
              <w:t>Минимальное к</w:t>
            </w:r>
            <w:r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  <w:t>оличество пассажиров, которое необходимо перевезти ежедневно по каждому маршруту (не менее)</w:t>
            </w:r>
          </w:p>
        </w:tc>
      </w:tr>
      <w:tr>
        <w:trPr/>
        <w:tc>
          <w:tcPr>
            <w:tcW w:w="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0" w:right="0" w:hanging="0"/>
              <w:jc w:val="center"/>
              <w:rPr/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5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Маршрут № 1 (понедельник- пятница)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35</w:t>
            </w:r>
          </w:p>
        </w:tc>
      </w:tr>
      <w:tr>
        <w:trPr/>
        <w:tc>
          <w:tcPr>
            <w:tcW w:w="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0" w:right="0" w:hanging="0"/>
              <w:jc w:val="center"/>
              <w:rPr/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5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Маршрут № 2 (обратное направление понедельник- четверг)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35</w:t>
            </w:r>
          </w:p>
        </w:tc>
      </w:tr>
      <w:tr>
        <w:trPr/>
        <w:tc>
          <w:tcPr>
            <w:tcW w:w="627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0" w:right="0" w:hanging="0"/>
              <w:jc w:val="center"/>
              <w:rPr/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5381" w:type="dxa"/>
            <w:tcBorders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hanging="0"/>
              <w:jc w:val="left"/>
              <w:rPr>
                <w:rFonts w:ascii="Times New Roman" w:hAnsi="Times New Roman" w:eastAsia="SimSun" w:cs="Mangal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0"/>
                <w:szCs w:val="20"/>
                <w:lang w:val="ru-RU" w:eastAsia="zh-CN" w:bidi="hi-IN"/>
              </w:rPr>
              <w:t>Маршрут № 3 (обратное направление пятница)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35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0" w:after="0"/>
        <w:ind w:left="0" w:right="0"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jc w:val="both"/>
        <w:rPr/>
      </w:pPr>
      <w:bookmarkStart w:id="6" w:name="_Toc546437001_Копия_1"/>
      <w:bookmarkStart w:id="7" w:name="_Hlk498576041_Копия_1"/>
      <w:bookmarkStart w:id="8" w:name="_Toc467435091_Копия_1"/>
      <w:r>
        <w:rPr>
          <w:b/>
          <w:bCs/>
        </w:rPr>
        <w:t xml:space="preserve"> </w:t>
      </w:r>
      <w:r>
        <w:rPr>
          <w:b/>
          <w:bCs/>
        </w:rPr>
        <w:t xml:space="preserve">Информация в отношении исполнения договора, </w:t>
      </w:r>
      <w:bookmarkStart w:id="9" w:name="_Hlk464923471_Копия_1"/>
      <w:r>
        <w:rPr>
          <w:b/>
          <w:bCs/>
        </w:rPr>
        <w:t xml:space="preserve">которая должна быть учтена при подготовке заявки </w:t>
      </w:r>
      <w:bookmarkEnd w:id="9"/>
      <w:r>
        <w:rPr>
          <w:b/>
          <w:bCs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7"/>
      <w:bookmarkEnd w:id="8"/>
      <w:r>
        <w:rPr/>
        <w:t xml:space="preserve"> </w:t>
      </w:r>
      <w:bookmarkEnd w:id="6"/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color w:val="000000"/>
        </w:rPr>
        <w:t xml:space="preserve">Услуги оказываются по будним дням (понедельник-пятница, за исключением праздничных выходных дней) </w:t>
      </w:r>
      <w:r>
        <w:rPr/>
        <w:t xml:space="preserve">с 01.01.2027 г. по 31.12.2027 г. включительно в соответствии с маршрутами движения, указанными </w:t>
      </w:r>
      <w:r>
        <w:rPr>
          <w:color w:val="000000"/>
        </w:rPr>
        <w:t xml:space="preserve">в Таблице 2 настоящих Технических требований. </w:t>
      </w:r>
      <w:r>
        <w:rPr/>
        <w:t>Оказание услуг в праздничные и/или выходные дни осуществляются по предварительно направленной заявке Заказчика без взимания дополнительной платы.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color w:val="000000"/>
        </w:rPr>
        <w:t>Желателен опыт</w:t>
      </w:r>
      <w:r>
        <w:rPr/>
        <w:t xml:space="preserve"> работы автотранспортного предприятия по перевозке пассажиров в данном направлении.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 xml:space="preserve">Наличие </w:t>
      </w:r>
      <w:r>
        <w:rPr>
          <w:b/>
          <w:bCs/>
        </w:rPr>
        <w:t>лицензии на осуществление деятельности по перевозки людей автомобильным транспортом (в соответствии с требованиями Федерального закона о лицензировании отдельных видов деятельности от 04.05.2011 N 99-ФЗ (ред. от 29.12.2022), п. 2 ст. 4, ст. 6 Федерального закона от 30.10.2018 № 386-ФЗ.).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 xml:space="preserve">Выполнение услуги подтверждается УПД, подписанного сторонами. Основанием для формирования УПД являются путевые листы. </w:t>
      </w:r>
      <w:r>
        <w:rPr>
          <w:color w:val="000000"/>
        </w:rPr>
        <w:t>При перевозке представителем Исполнителя заполняется путевой лист. Путевой лист должен содержать разрешение на осуществление дорожного движения.</w:t>
      </w:r>
    </w:p>
    <w:p>
      <w:pPr>
        <w:pStyle w:val="ListParagraph"/>
        <w:numPr>
          <w:ilvl w:val="0"/>
          <w:numId w:val="0"/>
        </w:numPr>
        <w:spacing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b/>
          <w:bCs/>
          <w:lang w:eastAsia="x-none"/>
        </w:rPr>
        <w:t>Требования к автотранспортному средству.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Для осуществления перевозки используются автобусы, которые соответствуют по назначению и конструкции техническим требованиям к перевозкам пассажиров, допущенные в установленном порядке к участию в дорожном движении.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b/>
          <w:bCs/>
          <w:u w:val="single"/>
          <w:shd w:fill="auto" w:val="clear"/>
        </w:rPr>
        <w:t>Минимальное</w:t>
      </w:r>
      <w:r>
        <w:rPr>
          <w:shd w:fill="auto" w:val="clear"/>
        </w:rPr>
        <w:t xml:space="preserve"> количество автобусов: 1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b/>
          <w:bCs/>
          <w:u w:val="single"/>
          <w:shd w:fill="auto" w:val="clear"/>
        </w:rPr>
        <w:t>Минимальное</w:t>
      </w:r>
      <w:r>
        <w:rPr>
          <w:shd w:fill="auto" w:val="clear"/>
        </w:rPr>
        <w:t xml:space="preserve"> количество сидячих мест: 35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shd w:fill="auto" w:val="clear"/>
        </w:rPr>
        <w:t>Наличие автотранспорта с учетом обязатель</w:t>
      </w:r>
      <w:r>
        <w:rPr/>
        <w:t>ного ежедневного резерва на праве собственности или ином законном основании, прошедшего технический осмотр, оснащенного аппаратурой спутниковой навигации ГЛОНАСС или ГЛОНАСС/GPS, оснащенных техническими средствами контроля за соблюдением водителем режимов движения, труда и отдыха.</w:t>
      </w:r>
      <w:r>
        <w:rPr>
          <w:b/>
          <w:bCs/>
        </w:rPr>
        <w:t xml:space="preserve">  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Предоставляемые для оказания услуг транспортные средства должны быть зарегистрированы в территориальных органах ГИБДД Российской Федерации.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 xml:space="preserve">Транспортные средства должны проходить в установленном порядке годовой технический осмотр с получением диагностических карт, плановое техническое обслуживание (в том числе сезонная замена автошин) и текущий ремонт на авторизированных станциях технического обслуживания. 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Транспортные средства, подлежащие обязательному страхованию, должны иметь полисы обязательного страхования гражданской ответственности владельцев транспортных средств (ОСАГО).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Все транспортные средства должны быть оснащены автомобильной аптечкой и средствами пожаротушения с действующими сроками использования, исправными домкратами, противооткатными средствами и запасными колесами.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Техника предоставляется в технически исправном состоянии. Осуществление ежедневного предрейсового и послерейсового инструментального контроля техники.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Наличие и предоставление подменных единиц техники в случае неисправности основных единиц техники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Салон: обивка - ткань, пол - пластик (резина), не скользящий.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 xml:space="preserve">Комплектация: Система обогрева и вентиляции с противопылевым фильтром и режимом рециркуляции. 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Транспортные средства снаружи должны иметь знаки о том, что совершаются рейсовые пассажирские перевозки.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При использовании состояние транспортного средства должно быть технически исправным, что должно подтверждаться проверкой Исполнителем до выполнения рейса.</w:t>
      </w:r>
    </w:p>
    <w:p>
      <w:pPr>
        <w:pStyle w:val="ListParagraph"/>
        <w:spacing w:before="0" w:after="0"/>
        <w:ind w:left="0" w:right="0" w:firstLine="709"/>
        <w:contextualSpacing w:val="false"/>
        <w:jc w:val="both"/>
        <w:rPr/>
      </w:pPr>
      <w:r>
        <w:rPr/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b/>
          <w:bCs/>
          <w:lang w:eastAsia="x-none"/>
        </w:rPr>
        <w:t xml:space="preserve"> </w:t>
      </w:r>
      <w:r>
        <w:rPr>
          <w:b/>
          <w:bCs/>
          <w:lang w:eastAsia="x-none"/>
        </w:rPr>
        <w:t>Иные требования общего характера.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обязан выполнить услуги в соответствии с требованиями заказчика и нести все расходы, связанные с выполнением данных услуг.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Наличие у водителей соответствующей категории на право управления транспортным средством.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несет ответственность за квалификацию и допуск персонала для оказания услуг, в соответствии с действующим законодательством (Наличие у водителей предварительного и периодического медицинских осмотров, с оформлением заключения о медицинской пригодности с учетом выполняемой ими работы и профессии, проводимого в соответствии с Приказом Минздрава РФ от 28.01.2021 N 29Н. Прохождение водителями ежесменного предрейсового и послерейсового медицинских осмотров в соответствии с Приказом от Минздрава России от 15.12.2014 N 835н «Об утверждении Порядка проведения предсменных, предрейсовых и послесменных, послерейсовых медицинских осмотров»).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При невозможности осуществления основным экипажем своих обязанностей, Исполнитель обязан своевременно предоставить замену персонала, квалификация которых должна отвечать требованиям эксплуатации транспортного средства данного вида.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Соблюдение правил дорожного движения.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Своевременное и надлежащее ведение путевой документации;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Соблюдение требований внутриобъектового и контрольно-пропускного режимов, установленных на территории Заказчика.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Соблюдение требований и правила охраны труда, технической, промышленной, пожарной, экологической безопасности и иные установленные на территории Заказчика требования.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принимает все обоснованные меры предосторожности, направленные на охрану окружающей среды в процессе выполнения работ. Обязанности Исполнителя включают в себя, помимо прочего, предотвращение загрязнения окружающей среды оборудованием и материалами Исполнителя и т.д.;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должен обеспечить при необходимости выезд на места дорожно-транспортных происшествий собственного штатного представителя для участия в надлежащем оформлении материалов, являющихся основанием для последующего возмещения ущерба (в том числе с причинением вреда жизни, здоровью и имуществу).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несет расходы, возникающие с эксплуатацией транспортных средств: оплата полиса ОСАГО, отплата медосмотра водителей, оплата топлива, оплата планового ТО, текущего и капитального ремонта, горюче-смазочных и иных используемых эксплуатационных материалов. Расходы на услуги по мойке и иному текущему эксплуатационному обслуживанию.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/>
        <w:t>Исполнитель обеспечивает ведение фактического учёта работы транспортных средств с выдачей и ведением соответствующих путевых листов (прочих документов в соответствии с законодательством РФ), использования по каждой единице транспорта топлива, расходных материалов и прочих эксплуатационных расходов. Исполнитель, по требованию Заказчика обязан ознакомить его с документами по учету работы транспортных средств и эксплуатационных</w:t>
      </w:r>
      <w:r>
        <w:rPr>
          <w:lang w:eastAsia="x-none"/>
        </w:rPr>
        <w:t xml:space="preserve"> расходов.</w:t>
      </w:r>
    </w:p>
    <w:p>
      <w:pPr>
        <w:pStyle w:val="Normal"/>
        <w:spacing w:before="0" w:after="0"/>
        <w:ind w:left="0" w:right="0"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b/>
          <w:bCs/>
          <w:lang w:eastAsia="x-none"/>
        </w:rPr>
        <w:t>Требования к автотранспортному средству в соответствии с законодательством:</w:t>
      </w:r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x-none" w:bidi="ar-SA"/>
        </w:rPr>
        <w:t>Соответствие</w:t>
      </w:r>
      <w:r>
        <w:rPr>
          <w:b w:val="false"/>
          <w:bCs w:val="false"/>
        </w:rPr>
        <w:t xml:space="preserve"> с требованиями действующего законодательства РФ, в т.ч.: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</w:rPr>
        <w:t xml:space="preserve">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от 03.08.2018 N 283-ФЗ (последняя редакция), 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</w:rPr>
        <w:t xml:space="preserve">Постановления Правительства РФ от 22 декабря 2020 г. N 2216, 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</w:rPr>
        <w:t xml:space="preserve">Федеральный закон от 13.07.2015 N 220-ФЗ (ред. от 08.08.2024)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(с изм. и доп., вступ. в силу с 01.09.2024), 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</w:rPr>
        <w:t>Федеральный закон от 25.04.2002 N 40-ФЗ (ред. от 25.12.2023) «Об обязательном страховании гражданской ответственности владельцев транспортных средств» (с изм. и доп., вступ. в силу с 01.10.2024),</w:t>
      </w:r>
      <w:r>
        <w:rPr>
          <w:bCs/>
          <w:color w:val="22272F"/>
          <w:shd w:fill="FFFFFF" w:val="clear"/>
        </w:rPr>
        <w:t xml:space="preserve"> 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  <w:color w:val="000000"/>
          <w:kern w:val="2"/>
        </w:rPr>
        <w:t>Постановления Правительства РФ от 23.10.1993 N 1090 (ред. от 19.04.2024)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движения»),</w:t>
      </w:r>
      <w:r>
        <w:rPr/>
        <w:t xml:space="preserve"> 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  <w:color w:val="000000"/>
          <w:kern w:val="2"/>
        </w:rPr>
        <w:t>Постановления Правительства РФ от 15.09.2020 N 1434 (ред. от 09.12.2023) «Об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Федерации»</w:t>
      </w:r>
    </w:p>
    <w:p>
      <w:pPr>
        <w:pStyle w:val="ListParagraph"/>
        <w:numPr>
          <w:ilvl w:val="0"/>
          <w:numId w:val="9"/>
        </w:numPr>
        <w:suppressAutoHyphens w:val="false"/>
        <w:ind w:left="357" w:hanging="357"/>
        <w:jc w:val="both"/>
        <w:rPr>
          <w:b/>
          <w:bCs/>
          <w:color w:val="000000"/>
          <w:kern w:val="2"/>
        </w:rPr>
      </w:pPr>
      <w:r>
        <w:rPr>
          <w:bCs/>
          <w:color w:val="000000"/>
          <w:kern w:val="2"/>
          <w:sz w:val="24"/>
          <w:szCs w:val="24"/>
        </w:rPr>
        <w:t>Национальный стандарт РФ ГОСТ Р 58287-2018 «Отличительные знаки и информационное обеспечение транспортных средств пассажирского наземного транспорта, остановочных пунктов и автостанций. Общие технические требования».</w:t>
      </w:r>
    </w:p>
    <w:p>
      <w:pPr>
        <w:pStyle w:val="ListParagraph"/>
        <w:numPr>
          <w:ilvl w:val="0"/>
          <w:numId w:val="0"/>
        </w:numPr>
        <w:suppressAutoHyphens w:val="false"/>
        <w:ind w:left="357" w:hanging="0"/>
        <w:jc w:val="both"/>
        <w:rPr>
          <w:b/>
          <w:bCs/>
          <w:color w:val="000000"/>
          <w:kern w:val="2"/>
        </w:rPr>
      </w:pPr>
      <w:r>
        <w:rPr/>
      </w:r>
    </w:p>
    <w:p>
      <w:pPr>
        <w:pStyle w:val="ListParagraph"/>
        <w:numPr>
          <w:ilvl w:val="0"/>
          <w:numId w:val="3"/>
        </w:numPr>
        <w:ind w:left="0" w:right="0" w:hanging="0"/>
        <w:jc w:val="center"/>
        <w:rPr>
          <w:sz w:val="24"/>
          <w:szCs w:val="24"/>
        </w:rPr>
      </w:pPr>
      <w:bookmarkStart w:id="10" w:name="_Toc513396932_Копия_1"/>
      <w:bookmarkStart w:id="11" w:name="_Toc546437022_Копия_1"/>
      <w:r>
        <w:rPr>
          <w:b/>
          <w:bCs/>
          <w:sz w:val="24"/>
          <w:szCs w:val="24"/>
        </w:rPr>
        <w:t xml:space="preserve">Требования к </w:t>
      </w:r>
      <w:bookmarkEnd w:id="10"/>
      <w:bookmarkEnd w:id="11"/>
      <w:r>
        <w:rPr>
          <w:b/>
          <w:bCs/>
          <w:sz w:val="24"/>
          <w:szCs w:val="24"/>
        </w:rPr>
        <w:t>услугам</w:t>
      </w:r>
    </w:p>
    <w:p>
      <w:pPr>
        <w:pStyle w:val="ListParagraph"/>
        <w:ind w:left="0" w:hanging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1"/>
          <w:numId w:val="3"/>
        </w:numPr>
        <w:spacing w:before="0" w:after="0"/>
        <w:ind w:left="0" w:right="0" w:firstLine="709"/>
        <w:contextualSpacing w:val="false"/>
        <w:rPr>
          <w:sz w:val="24"/>
          <w:szCs w:val="24"/>
        </w:rPr>
      </w:pPr>
      <w:bookmarkStart w:id="12" w:name="_Toc546437032_Копия_1"/>
      <w:r>
        <w:rPr>
          <w:b/>
          <w:bCs/>
          <w:sz w:val="24"/>
          <w:szCs w:val="24"/>
        </w:rPr>
        <w:t>Требования к объемам и срокам оказания услуг</w:t>
      </w:r>
      <w:bookmarkEnd w:id="12"/>
    </w:p>
    <w:p>
      <w:pPr>
        <w:pStyle w:val="ListParagraph"/>
        <w:numPr>
          <w:ilvl w:val="2"/>
          <w:numId w:val="3"/>
        </w:numPr>
        <w:spacing w:before="0" w:after="0"/>
        <w:ind w:left="0" w:right="0" w:firstLine="709"/>
        <w:contextualSpacing w:val="false"/>
        <w:jc w:val="both"/>
        <w:rPr>
          <w:sz w:val="24"/>
          <w:szCs w:val="24"/>
        </w:rPr>
      </w:pPr>
      <w:bookmarkStart w:id="13" w:name="_Toc546437042_Копия_1"/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Требования к перечню и объему услуг</w:t>
      </w:r>
      <w:bookmarkEnd w:id="13"/>
    </w:p>
    <w:p>
      <w:pPr>
        <w:pStyle w:val="ListParagraph"/>
        <w:numPr>
          <w:ilvl w:val="0"/>
          <w:numId w:val="0"/>
        </w:numPr>
        <w:spacing w:before="0" w:after="0"/>
        <w:ind w:left="0" w:right="0" w:hanging="0"/>
        <w:contextualSpacing w:val="false"/>
        <w:jc w:val="both"/>
        <w:rPr>
          <w:b/>
          <w:bCs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ind w:left="0" w:right="0" w:hanging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 2. Маршруты и расписание движения </w:t>
      </w:r>
    </w:p>
    <w:tbl>
      <w:tblPr>
        <w:tblW w:w="97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9"/>
        <w:gridCol w:w="3195"/>
      </w:tblGrid>
      <w:tr>
        <w:trPr>
          <w:trHeight w:val="20" w:hRule="atLeast"/>
        </w:trPr>
        <w:tc>
          <w:tcPr>
            <w:tcW w:w="97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EDEDED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Маршрут № 1 (прямое направление) понедельник - пятница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отправления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Ельниковский проезд 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отправления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05:40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посадки №1 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Турист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 1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05:42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№2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Глория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№2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05:44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№3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Спортивная школа 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№3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05:46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№4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Музыкальная школа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№4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05:48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№5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ЦТДЮ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№5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05:50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№6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Роща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№6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05:53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посадки №7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Парковая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посадки №7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05:55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Конечная точка прибытия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Набережная, 34 (ГЭС)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конечную точку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05:58</w:t>
            </w:r>
          </w:p>
        </w:tc>
      </w:tr>
      <w:tr>
        <w:trPr>
          <w:trHeight w:val="20" w:hRule="atLeast"/>
        </w:trPr>
        <w:tc>
          <w:tcPr>
            <w:tcW w:w="97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EDEDED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Маршрут № 2 (обратное направление) понедельник - четверг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отправления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Набережная, 34 (ГЭС)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отправления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15:05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№1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Кинотеатр «Заря»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 1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15:07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№2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«Антей»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№2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15:10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высадки пассажиров №3 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Улица «Комсомольская»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№3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15:15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 высадки пассажиров №4 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«Каблучок»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№4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15:18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высадки пассажиров №5 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«Весна»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№5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15:20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№6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Соборная площадь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№6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15:30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№7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ул. Пионерская</w:t>
            </w:r>
            <w:r>
              <w:rPr>
                <w:sz w:val="20"/>
                <w:szCs w:val="20"/>
              </w:rPr>
              <w:t xml:space="preserve"> (по требованию)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№7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15:40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№8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Новочебоксарский рынок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Время прибытия в промежуточную точку высадки пассажиров №8 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15:50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№9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Детская поликлиника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№9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16:00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прибытия (конечная точка)</w:t>
            </w:r>
          </w:p>
        </w:tc>
        <w:tc>
          <w:tcPr>
            <w:tcW w:w="3195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«Турист»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конечную точку</w:t>
            </w:r>
          </w:p>
        </w:tc>
        <w:tc>
          <w:tcPr>
            <w:tcW w:w="3195" w:type="dxa"/>
            <w:tcBorders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16:05 (время местное)</w:t>
            </w:r>
          </w:p>
        </w:tc>
      </w:tr>
      <w:tr>
        <w:trPr>
          <w:trHeight w:val="20" w:hRule="atLeast"/>
        </w:trPr>
        <w:tc>
          <w:tcPr>
            <w:tcW w:w="9764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DBDBDB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Маршрут № 3 (обратное направление) пятница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отправления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Набережная, 34 (ГЭС)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отправления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14:05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Кинотеатр «Заря»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 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14:07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«Антей»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14:10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высадки пассажиров №3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Улица «Комсомольская»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№3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14:15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 высадки пассажиров №4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«Каблучок»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№4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14:18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Промежуточная точка высадки пассажиров №5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«Весна»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№5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14:20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Соборная площадь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14:30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№7</w:t>
            </w:r>
          </w:p>
        </w:tc>
        <w:tc>
          <w:tcPr>
            <w:tcW w:w="3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ул. Пионерская</w:t>
            </w:r>
            <w:r>
              <w:rPr>
                <w:sz w:val="20"/>
                <w:szCs w:val="20"/>
              </w:rPr>
              <w:t xml:space="preserve"> (по требованию)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№7</w:t>
            </w:r>
          </w:p>
        </w:tc>
        <w:tc>
          <w:tcPr>
            <w:tcW w:w="3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14:40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№8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Новочебоксарский рынок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Время прибытия в промежуточную точку высадки пассажиров №8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14:50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точка высадки пассажиров №9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Детская поликлиника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промежуточную точку высадки пассажиров №9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15:00 (время местное)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прибытия (конечная точка)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Магазин «Турист»</w:t>
            </w:r>
          </w:p>
        </w:tc>
      </w:tr>
      <w:tr>
        <w:trPr>
          <w:trHeight w:val="20" w:hRule="atLeast"/>
        </w:trPr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прибытия в конечную точку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15:05 (время местное)</w:t>
            </w:r>
          </w:p>
        </w:tc>
      </w:tr>
    </w:tbl>
    <w:p>
      <w:pPr>
        <w:pStyle w:val="42"/>
        <w:widowControl/>
        <w:spacing w:before="0" w:after="0"/>
        <w:contextualSpacing/>
        <w:rPr>
          <w:color w:val="auto"/>
          <w:spacing w:val="0"/>
          <w:sz w:val="24"/>
          <w:szCs w:val="24"/>
          <w:highlight w:val="yellow"/>
        </w:rPr>
      </w:pPr>
      <w:r>
        <w:rPr>
          <w:color w:val="auto"/>
          <w:spacing w:val="0"/>
          <w:sz w:val="24"/>
          <w:szCs w:val="24"/>
          <w:highlight w:val="yellow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/>
          <w:bCs w:val="false"/>
          <w:color w:val="000000"/>
          <w:spacing w:val="0"/>
          <w:sz w:val="24"/>
          <w:szCs w:val="24"/>
          <w:shd w:fill="auto" w:val="clear"/>
          <w:lang w:eastAsia="x-none"/>
        </w:rPr>
        <w:t xml:space="preserve">Доставка сотрудников на работу и обратно одним автобусом по г. Новочебоксарск. </w:t>
      </w:r>
    </w:p>
    <w:p>
      <w:pPr>
        <w:pStyle w:val="Normal"/>
        <w:rPr>
          <w:sz w:val="24"/>
          <w:szCs w:val="24"/>
        </w:rPr>
      </w:pPr>
      <w:r>
        <w:rPr>
          <w:rFonts w:eastAsia="Calibri"/>
          <w:bCs w:val="false"/>
          <w:color w:val="000000"/>
          <w:spacing w:val="0"/>
          <w:sz w:val="24"/>
          <w:szCs w:val="24"/>
          <w:shd w:fill="auto" w:val="clear"/>
          <w:lang w:eastAsia="x-none"/>
        </w:rPr>
        <w:t xml:space="preserve">Утром на работу по адресу: г. Набережная ул.,34 Новочебоксарск, Россия (доставка к 5:58). Вечером-обратно (отбытие в 15:05), пятница короткий день с 06:00 до 14:00. </w:t>
      </w:r>
    </w:p>
    <w:p>
      <w:pPr>
        <w:pStyle w:val="Normal"/>
        <w:spacing w:before="0" w:after="0"/>
        <w:contextualSpacing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snapToGrid w:val="false"/>
        <w:spacing w:before="0" w:after="0"/>
        <w:ind w:left="0" w:firstLine="567"/>
        <w:contextualSpacing/>
        <w:jc w:val="both"/>
        <w:outlineLvl w:val="2"/>
        <w:rPr>
          <w:rFonts w:eastAsia="Calibri"/>
          <w:b/>
          <w:bCs/>
          <w:sz w:val="24"/>
          <w:szCs w:val="24"/>
          <w:lang w:val="x-none"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  <w:t>Таблица 3.</w:t>
      </w:r>
      <w:r>
        <w:rPr>
          <w:rFonts w:eastAsia="Calibri"/>
          <w:b/>
          <w:bCs/>
          <w:sz w:val="24"/>
          <w:szCs w:val="24"/>
          <w:lang w:val="x-none" w:eastAsia="x-none"/>
        </w:rPr>
        <w:t xml:space="preserve"> Объем оказываемых услуг</w:t>
      </w:r>
      <w:r>
        <w:rPr>
          <w:rStyle w:val="Style8"/>
          <w:rFonts w:eastAsia="Calibri"/>
          <w:bCs/>
          <w:i w:val="false"/>
          <w:sz w:val="24"/>
          <w:szCs w:val="24"/>
          <w:shd w:fill="auto" w:val="clear"/>
          <w:lang w:val="x-none" w:eastAsia="x-none"/>
        </w:rPr>
        <w:t>.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26"/>
        <w:gridCol w:w="5347"/>
        <w:gridCol w:w="1702"/>
        <w:gridCol w:w="1934"/>
      </w:tblGrid>
      <w:tr>
        <w:trPr/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№ </w:t>
            </w:r>
            <w:r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услуг / этапа услуг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</w:t>
            </w:r>
          </w:p>
        </w:tc>
      </w:tr>
      <w:tr>
        <w:trPr/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>
        <w:trPr>
          <w:trHeight w:val="924" w:hRule="atLeast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left="0" w:right="0" w:hanging="0"/>
              <w:contextualSpacing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ОКПД2 49.39.13.000 Оказание транспортных услуг по доставке сотрудников до места работы: филиал ПАО «РусГидро»-«Чебоксарская ГЭС»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мес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12</w:t>
            </w:r>
          </w:p>
        </w:tc>
      </w:tr>
    </w:tbl>
    <w:p>
      <w:pPr>
        <w:pStyle w:val="Normal"/>
        <w:tabs>
          <w:tab w:val="clear" w:pos="708"/>
          <w:tab w:val="left" w:pos="1560" w:leader="none"/>
        </w:tabs>
        <w:ind w:hanging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*Количество рабочих дней для оказания услуг составляет 247 </w:t>
      </w:r>
      <w:r>
        <w:rPr>
          <w:i/>
          <w:iCs/>
          <w:color w:val="000000"/>
          <w:sz w:val="24"/>
          <w:szCs w:val="24"/>
        </w:rPr>
        <w:t>дней , Понедельник – пятница (будни, за исключением праздничных дней).</w:t>
      </w:r>
    </w:p>
    <w:p>
      <w:pPr>
        <w:pStyle w:val="Normal"/>
        <w:tabs>
          <w:tab w:val="clear" w:pos="708"/>
          <w:tab w:val="left" w:pos="1560" w:leader="none"/>
        </w:tabs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2"/>
          <w:numId w:val="3"/>
        </w:numPr>
        <w:tabs>
          <w:tab w:val="clear" w:pos="708"/>
          <w:tab w:val="left" w:pos="1560" w:leader="none"/>
        </w:tabs>
        <w:ind w:left="284" w:firstLine="425"/>
        <w:jc w:val="both"/>
        <w:rPr>
          <w:b/>
          <w:bCs/>
        </w:rPr>
      </w:pPr>
      <w:bookmarkStart w:id="14" w:name="_Toc513396961_Копия_1"/>
      <w:r>
        <w:rPr>
          <w:b/>
          <w:bCs/>
        </w:rPr>
        <w:t xml:space="preserve">Требования </w:t>
      </w:r>
      <w:bookmarkEnd w:id="14"/>
      <w:r>
        <w:rPr>
          <w:b/>
          <w:bCs/>
        </w:rPr>
        <w:t>к срокам оказания услуг</w:t>
      </w:r>
    </w:p>
    <w:p>
      <w:pPr>
        <w:pStyle w:val="Normal"/>
        <w:tabs>
          <w:tab w:val="clear" w:pos="708"/>
          <w:tab w:val="left" w:pos="1560" w:leader="none"/>
        </w:tabs>
        <w:ind w:left="284" w:firstLine="42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Таблица 4. </w:t>
      </w:r>
      <w:bookmarkStart w:id="15" w:name="_Hlk504652841_Копия_1"/>
      <w:r>
        <w:rPr>
          <w:b/>
          <w:bCs/>
          <w:sz w:val="24"/>
          <w:szCs w:val="24"/>
        </w:rPr>
        <w:t xml:space="preserve">Требования к срокам </w:t>
      </w:r>
      <w:bookmarkEnd w:id="15"/>
      <w:r>
        <w:rPr>
          <w:b/>
          <w:bCs/>
          <w:sz w:val="24"/>
          <w:szCs w:val="24"/>
        </w:rPr>
        <w:t>оказания услуг</w:t>
      </w:r>
    </w:p>
    <w:tbl>
      <w:tblPr>
        <w:tblW w:w="9810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33"/>
        <w:gridCol w:w="3845"/>
        <w:gridCol w:w="2478"/>
        <w:gridCol w:w="2653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bookmarkStart w:id="16" w:name="_Toc4674351011_Копия_1"/>
            <w:bookmarkStart w:id="17" w:name="_Toc4674351011_Копия_1"/>
            <w:bookmarkEnd w:id="17"/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ОКПД2 49.39.13.000 Оказание транспортных услуг по доставке сотрудников до места работы: филиал ПАО «РусГидро»-«Чебоксарская ГЭС»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3"/>
        </w:numPr>
        <w:ind w:left="0" w:firstLine="709"/>
        <w:rPr>
          <w:b/>
          <w:bCs/>
        </w:rPr>
      </w:pPr>
      <w:bookmarkStart w:id="18" w:name="_Toc54643709_Копия_1"/>
      <w:bookmarkStart w:id="19" w:name="_Toc54643708_Копия_1"/>
      <w:bookmarkStart w:id="20" w:name="_Toc46743511_Копия_1"/>
      <w:r>
        <w:rPr>
          <w:b/>
          <w:bCs/>
        </w:rPr>
        <w:t xml:space="preserve">Требования к </w:t>
      </w:r>
      <w:bookmarkEnd w:id="20"/>
      <w:r>
        <w:rPr>
          <w:b/>
          <w:bCs/>
        </w:rPr>
        <w:t>качеству услуг</w:t>
      </w:r>
      <w:bookmarkEnd w:id="19"/>
    </w:p>
    <w:p>
      <w:pPr>
        <w:pStyle w:val="Normal"/>
        <w:rPr>
          <w:b/>
          <w:bCs/>
          <w:sz w:val="24"/>
          <w:szCs w:val="24"/>
        </w:rPr>
      </w:pPr>
      <w:bookmarkStart w:id="21" w:name="_Toc51339698_Копия_1"/>
      <w:r>
        <w:rPr>
          <w:b/>
          <w:bCs/>
          <w:sz w:val="24"/>
          <w:szCs w:val="24"/>
        </w:rPr>
        <w:t xml:space="preserve">Таблица 5. Требования к </w:t>
      </w:r>
      <w:bookmarkEnd w:id="21"/>
      <w:r>
        <w:rPr>
          <w:b/>
          <w:bCs/>
          <w:sz w:val="24"/>
          <w:szCs w:val="24"/>
        </w:rPr>
        <w:t>качеству услуг</w:t>
      </w:r>
      <w:bookmarkEnd w:id="18"/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rFonts w:eastAsia="Calibri"/>
          <w:b w:val="false"/>
          <w:bCs w:val="false"/>
          <w:sz w:val="24"/>
          <w:szCs w:val="24"/>
        </w:rPr>
        <w:t>ОКПД2 49.39.13.000 Оказание транспортных услуг по доставке сотрудников до места работы: филиал ПАО «РусГидро»-«Чебоксарская ГЭС»</w:t>
      </w:r>
    </w:p>
    <w:tbl>
      <w:tblPr>
        <w:tblStyle w:val="affff3"/>
        <w:tblW w:w="15052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707"/>
        <w:gridCol w:w="2244"/>
        <w:gridCol w:w="3852"/>
        <w:gridCol w:w="2652"/>
        <w:gridCol w:w="2887"/>
        <w:gridCol w:w="2709"/>
      </w:tblGrid>
      <w:tr>
        <w:trPr/>
        <w:tc>
          <w:tcPr>
            <w:tcW w:w="7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2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53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6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bookmarkStart w:id="22" w:name="_Toc53499667_Копия_1"/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</w:t>
            </w:r>
            <w:bookmarkEnd w:id="22"/>
          </w:p>
        </w:tc>
        <w:tc>
          <w:tcPr>
            <w:tcW w:w="22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6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 w:val="fals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Наличие лицензии на осуществление деятельности по перевозке пассажиров и иных лиц автобусами (в соответствии с требованиями Федерального закона о лицензировании отдельных видов деятельности от 04.05.2011 N 99-ФЗ (ред. от 29.12.2022), п. 2 ст. 4, ст. 6 Федерального закона от 30.10.2018 № 386-ФЗ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Исполнитель должен иметь в наличии следующие документы 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-  Паспорт транспортного средства (ПТС) 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 Копия договора аренды (в случае владения по договору аренды)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 Копия договора лизинга (в случае владения по договору лизинга)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 Копия иного документа, подтверждающего законное право владения (в случае владения на ином основании).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Копия полиса ОСАГО на транспортное средство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Копия договора с медицинской организацией на проведение медосмотров для водителей автобусов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 w:val="false"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 Копия полиса ОСГОП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560" w:leader="none"/>
              </w:tabs>
              <w:suppressAutoHyphens w:val="true"/>
              <w:spacing w:before="0" w:after="0"/>
              <w:ind w:left="0" w:hanging="0"/>
              <w:contextualSpacing w:val="false"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Предоставляется по Запросу Заказчика.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 xml:space="preserve">Подтверждается в составе заявки копией лицензии. 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Предоставления Заказчику автомобилей в технически исправном состоянии, заправленных горюче-смазочными материалами и другими необходимыми эксплуатационными жидкостями в объемах оказания услуги.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Транспортные средства должны иметь шины, соответствующие погодным условиям, соответствовать требованиям безопасности, техническому состоянию и методам проверок, установленных ГОСТом Р 51709-2001. «ТРЕБОВАНИЯ БЕЗОПАСНОСТИ К ТЕХНИЧЕСКОМУ СОСТОЯНИЮ И МЕТОДЫ ПРОВЕРКИ»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Салон автомобиля должен быть чистым, отапливаемым, сиденья обеспечены ремнями безопасности.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Обеспечивать ежедневный контроль технического состояния автомобиля перед выездом к Заказчику.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Проведение технического обслуживание и ремонт автомобилей.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Проведение водительским составом ежедневного предрейсового медицинского осмотра перед выездом к Заказчику, согласно рекомендациям Минздрава РФ и Минтранса РФ от 29.01.2002г.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проведения планового технического обслуживания (ремонта) Исполнитель обязан предоставить другое транспортное средство.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должен соблюдать требования локальных нормативных документов, действующих в РФ, в части безопасности пассажиров.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обеспечивает возможность выезда собственного представителя на место дорожно-транспортного происшествия и участия в надлежащем оформлении материалов, являющихся основанием для последующего возмещения возможного ущерба (в том числе в связи с причинением вреда жизни, здоровью, имуществу пассажиров);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обеспечивает возможность выбора оптимального маршрута движения до пункта назначения, определяемого Заказчиком, с учетом особенностей организации дорожного движения (наличие «пробок», заторов, ремонтов дорог, организации реверсивного движения на отдельных участках магистралей и т.п.)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 управлению транспортным средством допускаются лица, имеющие удостоверение на право управления данной категорией транспортных средств, прошедшие предрейсовый медицинский осмотр.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Результатом оказания услуг является своевременная доставка сотрудников к месту работы и обратно в соответствии с маршрутами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Исполнитель своевременно предоставляет Заказчику все необходимые (в том числе запрашиваемые) отчетные документы, связанные с оказанием услуг.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Наличие полиса ОСАГО на автотранспорт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Предоставляемые транспортные средства должны быть технически исправны и укомплектованы согласно правилам дорожного движения, правилам перевозки пассажиров.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9215" w:hRule="atLeast"/>
        </w:trPr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Исполнитель обеспечивает: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соответствие оказываемых услуг требованиям качества, безопасности жизни и здоровья, иным требованиям безопасности (санитарным нормам и правилам, государственным стандартам и т.п.), лицензирования, установленным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техническую исправность автомобиля, проведение предрейсового или предсменного осмотра и контроля технического состояния автомобиля;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проведение предрейсового медицинского осмотра водителей;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полиса страхования гражданской ответственности перевозчика за причинение вреда жизни, здоровью, имуществу пассажиров;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на праве собственности /аренда/лизинг и предоставление резервного аналогичного транспортного средства, в случае поломки или задержки основного транспортного средства;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действующей лицензии на перевозку пассажиров и багажа автомобильным транспортом;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действующей лицензии на проведение предрейсовых медицинских осмотров водителей либо наличие договора с медицинским учреждением для проведения предрейсовых медицинских осмотров водителей;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штате должностного лица, ответственного за безопасность дорожного движения, прошедшего аттестацию на право занимать соответствующую должность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производственного помещения на праве собственности или аренды для проведения предрейсового контроля технического состояния, технического обслуживания и ремонта техники;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соблюдение всех требований и рекомендаций Роспотребнадзора по проведению профилактических мероприятий и дезинфекции автотранспортных средств для перевозки пассажиров;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содержание автомобиля в надлежащем санитарном состоянии (регулярная мойка кузова и чистка салона, отсутствие в салоне и багажнике пахнущих и пачкающих жидкостей и веществ, горюче-смазочных материалов);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оснащение автомобиля зимними автошинами (при оказании услуг в зимний период, а также при отрицательных уличных температурах);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автомобиле всех штатных систем безопасности, в том числе ремней безопасности на всех пассажирских сидениях;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автомобиле средств пожаротушения (огнетушителей) и аптечки для оказания первой медицинской помощи.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2192" w:hRule="atLeast"/>
        </w:trPr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требованиям Правил дорожного движения, утвержденных Постановлением Правительства РФ от 23.10.1993 № 1090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Транспортные средства в зависимости от их типа соответствуют Федеральному закону №196-ФЗ «О безопасности дорожного движения» (с учётом изменений). Техническому регламенту Таможенного союза «О безопасности колесных транспортных средств» (TP ТС 018/2011), требованиям ГИБДД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Салон пассажирского транспорта должен соответствовать требованиям ГОСТ P41.36-2004 ПРАВИЛА ЕЭК ООН №361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08.11.2007 № 259-ФЗ «Устав автомобильного транспорта и городского наземного электрического транспорта»;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10.12.1995 №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25.04.2002 № 40-ФЗ «Об обязательном страховании гражданской ответственности владельцев транспортных средств»;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14.06.2012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09.02.2007 № 16-ФЗ «О транспортной безопасности»;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24.11.1995 № 181-ФЗ «О социальной защите инвалидов в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27.02.2019 № 195 «О лицензировании деятельности по перевозкам пассажиров и иных лиц автобусами»;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07.10.2020 N 1616 (ред. от 23.12.2021) "О лицензировании деятельности по перевозкам пассажиров и иных лиц автобусами" (вместе с "Положением о лицензировании деятельности по перевозкам пассажиров и иных лиц автобусами") (с изм. и доп., вступ. в силу с 01.03.2022);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01.10.2020 № 1586 «Об утверждении Правил перевозок пассажиров и багажа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30.04.2021 № 145 «Об утверждении Правил обеспечения безопасности перевозок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16.10.2020 № 424 «Об утверждении Особенностей режима рабочего времени и времени отдыха, условий труда водителей автомобилей»;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31.07.2020 № 282 «Об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Правила дорожного движения Российской Федерации, утвержденные постановлением Совета Министров - Правительством Российской Федерации от 23.10.1993 № 1090;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08.10.2020 № 1640 «Об утверждении требований по обеспечению транспортной безопасности, учитывающих уровни безопасности для транспортных средств автомобильного транспорта и городского наземного электрического транспорта»;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Национальный стандарт Российской Федерации ГОСТ Р 51090-2017 «Средства общественного пассажирского транспорта. Общие технические требования доступности и безопасности для инвалидов»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распоряжение Минтранса России от 31.01.2017 № НА-19-р «Об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3 декабря 2020 г. N 1998 "О категориях оснащаемых тахографами транспортных средств, осуществляющих регулярные перевозки пассажиров, а также видах сообщения, в которых осуществляются такие перевозки транспортными средствами указанных категорий" (с изменениями и дополнениями от 31.03.2022 г.)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ind w:firstLine="426"/>
        <w:jc w:val="center"/>
        <w:rPr>
          <w:b/>
          <w:bCs/>
          <w:sz w:val="24"/>
          <w:szCs w:val="24"/>
        </w:rPr>
      </w:pPr>
      <w:bookmarkStart w:id="23" w:name="_Toc54643710_Копия_1"/>
      <w:bookmarkStart w:id="24" w:name="_Toc53395937_Копия_1"/>
      <w:bookmarkStart w:id="25" w:name="_Toc53393312_Копия_1"/>
      <w:bookmarkStart w:id="26" w:name="_Toc51339699_Копия_1"/>
      <w:bookmarkStart w:id="27" w:name="_Toc46743519_Копия_1"/>
      <w:bookmarkEnd w:id="26"/>
      <w:bookmarkEnd w:id="27"/>
      <w:r>
        <w:rPr>
          <w:b/>
          <w:bCs/>
          <w:sz w:val="24"/>
          <w:szCs w:val="24"/>
        </w:rPr>
        <w:t>3.Требования к документации по ценообразованию</w:t>
      </w:r>
      <w:bookmarkEnd w:id="24"/>
      <w:bookmarkEnd w:id="25"/>
      <w:r>
        <w:rPr>
          <w:b/>
          <w:bCs/>
          <w:sz w:val="24"/>
          <w:szCs w:val="24"/>
        </w:rPr>
        <w:t xml:space="preserve"> на этапе закупки</w:t>
      </w:r>
      <w:bookmarkEnd w:id="23"/>
    </w:p>
    <w:p>
      <w:pPr>
        <w:pStyle w:val="ListParagraph"/>
        <w:ind w:left="0" w:firstLine="709"/>
        <w:jc w:val="both"/>
        <w:rPr/>
      </w:pPr>
      <w:r>
        <w:rPr/>
        <w:t>3.1. В обоснование стоимости своей заявки Участник предоставляет Коммерческое предложение, по установленным в Запрос</w:t>
      </w:r>
      <w:r>
        <w:rPr/>
        <w:t>е</w:t>
      </w:r>
      <w:r>
        <w:rPr/>
        <w:t xml:space="preserve"> технико-коммерческих предложений формам (с учетом прилагаемых к ним инструкций по заполнению).</w:t>
      </w:r>
    </w:p>
    <w:p>
      <w:pPr>
        <w:pStyle w:val="ListParagraph"/>
        <w:ind w:left="0" w:firstLine="709"/>
        <w:jc w:val="both"/>
        <w:rPr>
          <w:lang w:val="x-none" w:eastAsia="x-none"/>
        </w:rPr>
      </w:pPr>
      <w:r>
        <w:rPr/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договора.</w:t>
      </w:r>
    </w:p>
    <w:p>
      <w:pPr>
        <w:pStyle w:val="Normal"/>
        <w:ind w:firstLine="426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spacing w:before="0" w:after="0"/>
        <w:ind w:firstLine="426"/>
        <w:contextualSpacing/>
        <w:jc w:val="center"/>
        <w:rPr>
          <w:rFonts w:eastAsia="Calibri"/>
          <w:b/>
          <w:bCs/>
          <w:sz w:val="24"/>
          <w:szCs w:val="24"/>
        </w:rPr>
      </w:pPr>
      <w:bookmarkStart w:id="28" w:name="_Toc54643711_Копия_1"/>
      <w:bookmarkStart w:id="29" w:name="_Toc54281228_Копия_1"/>
      <w:r>
        <w:rPr>
          <w:rFonts w:eastAsia="Calibri"/>
          <w:b/>
          <w:bCs/>
          <w:sz w:val="24"/>
          <w:szCs w:val="24"/>
        </w:rPr>
        <w:t>4.Требования к документации по ценообразованию на этапе заключения (исполнения) договора</w:t>
      </w:r>
      <w:bookmarkEnd w:id="28"/>
      <w:bookmarkEnd w:id="29"/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>По результатам закупки договор заключается с предельной стоимостью и единичными расценками из заявки (КП) Победителя.</w:t>
      </w:r>
    </w:p>
    <w:p>
      <w:pPr>
        <w:pStyle w:val="Normal"/>
        <w:widowControl w:val="false"/>
        <w:tabs>
          <w:tab w:val="clear" w:pos="708"/>
          <w:tab w:val="left" w:pos="6936" w:leader="none"/>
        </w:tabs>
        <w:ind w:firstLine="709"/>
        <w:jc w:val="both"/>
        <w:rPr/>
      </w:pPr>
      <w:r>
        <w:rPr>
          <w:sz w:val="24"/>
          <w:szCs w:val="24"/>
        </w:rPr>
        <w:t xml:space="preserve">Все затраты исполнителя по оказанию услуг, должны быть включены в тариф. </w:t>
      </w:r>
    </w:p>
    <w:p>
      <w:pPr>
        <w:pStyle w:val="Normal"/>
        <w:widowControl w:val="false"/>
        <w:tabs>
          <w:tab w:val="clear" w:pos="708"/>
          <w:tab w:val="left" w:pos="6936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6936" w:leader="none"/>
        </w:tabs>
        <w:ind w:firstLine="709"/>
        <w:jc w:val="both"/>
        <w:rPr/>
      </w:pPr>
      <w:r>
        <w:rPr/>
      </w:r>
      <w:bookmarkStart w:id="30" w:name="_Toc546437061"/>
      <w:bookmarkStart w:id="31" w:name="_Toc546437061"/>
      <w:bookmarkEnd w:id="31"/>
    </w:p>
    <w:sectPr>
      <w:headerReference w:type="default" r:id="rId7"/>
      <w:headerReference w:type="first" r:id="rId8"/>
      <w:footerReference w:type="default" r:id="rId9"/>
      <w:type w:val="nextPage"/>
      <w:pgSz w:w="11906" w:h="16838"/>
      <w:pgMar w:left="1134" w:right="1134" w:gutter="0" w:header="1134" w:top="1417" w:footer="1134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Verdana">
    <w:charset w:val="01"/>
    <w:family w:val="roman"/>
    <w:pitch w:val="default"/>
  </w:font>
  <w:font w:name="Garamond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5F12405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F12405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200"/>
  <w:revisionView w:insDel="0" w:formatting="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41" w:customStyle="1">
    <w:name w:val="4. Текст Знак"/>
    <w:link w:val="42"/>
    <w:uiPriority w:val="99"/>
    <w:qFormat/>
    <w:locked/>
    <w:rsid w:val="00df5030"/>
    <w:rPr>
      <w:bCs/>
      <w:color w:val="000000"/>
      <w:spacing w:val="2"/>
      <w:sz w:val="24"/>
      <w:szCs w:val="24"/>
    </w:rPr>
  </w:style>
  <w:style w:type="character" w:styleId="LineNumber">
    <w:name w:val="Line Number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 w:customStyle="1">
    <w:name w:val="4. Текст"/>
    <w:basedOn w:val="Annotationtext"/>
    <w:link w:val="41"/>
    <w:autoRedefine/>
    <w:uiPriority w:val="99"/>
    <w:qFormat/>
    <w:rsid w:val="00df5030"/>
    <w:pPr>
      <w:widowControl w:val="false"/>
      <w:tabs>
        <w:tab w:val="clear" w:pos="708"/>
        <w:tab w:val="left" w:pos="7608" w:leader="none"/>
      </w:tabs>
      <w:jc w:val="both"/>
    </w:pPr>
    <w:rPr>
      <w:bCs/>
      <w:color w:val="000000"/>
      <w:spacing w:val="2"/>
      <w:sz w:val="24"/>
      <w:szCs w:val="24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4" w:customStyle="1">
    <w:name w:val="Заголовок таблицы"/>
    <w:basedOn w:val="Style3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2041</TotalTime>
  <Application>AlterOffice/3.4.0.9$Linux_X86_64 LibreOffice_project/b8daf9e823b1a5463a2f48435ddc2e8696e7d4fc</Application>
  <AppVersion>15.0000</AppVersion>
  <Pages>14</Pages>
  <Words>3487</Words>
  <Characters>24780</Characters>
  <CharactersWithSpaces>27846</CharactersWithSpaces>
  <Paragraphs>421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2023-10-02T03:41:00Z</dcterms:created>
  <dc:creator>Быстров Олег Геннадьевич</dc:creator>
  <dc:description/>
  <dc:language>ru-RU</dc:language>
  <cp:lastModifiedBy>kabakovaes</cp:lastModifiedBy>
  <cp:lastPrinted>2024-12-20T11:20:06Z</cp:lastPrinted>
  <dcterms:modified xsi:type="dcterms:W3CDTF">2026-09-22T15:12:15Z</dcterms:modified>
  <cp:revision>149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