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aption1"/>
        <w:spacing w:before="120" w:after="120"/>
        <w:jc w:val="center"/>
        <w:rPr/>
      </w:pPr>
      <w:r>
        <w:rPr/>
        <w:t>Договор № 0004-ПРО-ДЭК-2027-СКРГ</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г. Хабаровск</w:t>
        <w:tab/>
      </w:r>
      <w:r>
        <w:rPr>
          <w:b/>
          <w:lang w:val="ru-RU"/>
        </w:rPr>
        <w:t>«___</w:t>
      </w:r>
      <w:r>
        <w:rPr>
          <w:bCs/>
          <w:lang w:val="ru-RU"/>
        </w:rPr>
        <w:t>» _______ 202_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sz w:val="24"/>
          <w:szCs w:val="24"/>
          <w:lang w:val="ru-RU"/>
        </w:rPr>
        <w:t>Акционерное общество «Сервисная Компания РусГидро»</w:t>
      </w:r>
      <w:r>
        <w:rPr>
          <w:bCs/>
          <w:sz w:val="24"/>
          <w:szCs w:val="24"/>
          <w:lang w:val="ru-RU"/>
        </w:rPr>
        <w:t xml:space="preserve"> </w:t>
      </w:r>
      <w:r>
        <w:rPr>
          <w:b/>
          <w:sz w:val="24"/>
          <w:szCs w:val="24"/>
          <w:lang w:val="ru-RU"/>
        </w:rPr>
        <w:t xml:space="preserve">(АО «СК РусГидро») </w:t>
      </w:r>
      <w:r>
        <w:rPr>
          <w:bCs/>
          <w:sz w:val="24"/>
          <w:szCs w:val="24"/>
          <w:lang w:val="ru-RU"/>
        </w:rPr>
        <w:t xml:space="preserve">именуемое в дальнейшем </w:t>
      </w:r>
      <w:r>
        <w:rPr>
          <w:b/>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w:t>
      </w:r>
      <w:r>
        <w:rPr>
          <w:rStyle w:val="Fontstyle01"/>
          <w:sz w:val="24"/>
          <w:szCs w:val="24"/>
          <w:lang w:val="ru-RU"/>
        </w:rPr>
        <w:t>f8a9625c-8e17-4b33-9c41-a1dff6d90045 от 17.04.2024</w:t>
      </w:r>
      <w:r>
        <w:rPr>
          <w:bCs/>
          <w:sz w:val="24"/>
          <w:szCs w:val="24"/>
          <w:lang w:val="ru-RU"/>
        </w:rPr>
        <w:t xml:space="preserve">, с одной стороны, и </w:t>
      </w:r>
      <w:r>
        <w:rPr>
          <w:b/>
          <w:sz w:val="24"/>
          <w:szCs w:val="24"/>
          <w:lang w:val="ru-RU"/>
        </w:rPr>
        <w:t>_______________________________________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______________________ действующего на основании 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xml:space="preserve">, </w:t>
      </w:r>
      <w:r>
        <w:rPr>
          <w:sz w:val="24"/>
          <w:szCs w:val="24"/>
          <w:highlight w:val="lightGray"/>
          <w:lang w:val="ru-RU"/>
        </w:rPr>
        <w:t xml:space="preserve">по результатам проведенной Покупателем </w:t>
      </w:r>
      <w:r>
        <w:rPr>
          <w:sz w:val="24"/>
          <w:szCs w:val="24"/>
          <w:highlight w:val="lightGray"/>
          <w:lang w:val="ru-RU"/>
        </w:rPr>
        <w:t>упрощенной процедуры закупки п</w:t>
      </w:r>
      <w:r>
        <w:rPr>
          <w:bCs/>
          <w:sz w:val="24"/>
          <w:szCs w:val="24"/>
          <w:highlight w:val="lightGray"/>
          <w:lang w:val="ru-RU"/>
        </w:rPr>
        <w:t>о лоту №</w:t>
      </w:r>
      <w:r>
        <w:rPr>
          <w:bCs/>
          <w:sz w:val="24"/>
          <w:szCs w:val="24"/>
          <w:highlight w:val="lightGray"/>
        </w:rPr>
        <w:t> </w:t>
      </w:r>
      <w:r>
        <w:rPr>
          <w:bCs/>
          <w:sz w:val="24"/>
          <w:szCs w:val="24"/>
          <w:highlight w:val="lightGray"/>
          <w:lang w:val="ru-RU"/>
        </w:rPr>
        <w:t xml:space="preserve"> 0004-ПРО ДЭК-2027-СК РусГидро</w:t>
      </w:r>
      <w:r>
        <w:rPr>
          <w:sz w:val="24"/>
          <w:szCs w:val="24"/>
          <w:highlight w:val="lightGray"/>
          <w:lang w:val="ru-RU"/>
        </w:rPr>
        <w:t xml:space="preserve"> и на основании протокола о результатах от «___» _________ г</w:t>
      </w:r>
      <w:r>
        <w:rPr>
          <w:sz w:val="24"/>
          <w:szCs w:val="24"/>
          <w:highlight w:val="lightGray"/>
          <w:lang w:val="ru-RU"/>
        </w:rPr>
        <w:t>ода</w:t>
      </w:r>
      <w:r>
        <w:rPr>
          <w:sz w:val="24"/>
          <w:szCs w:val="24"/>
          <w:highlight w:val="lightGray"/>
          <w:lang w:val="ru-RU"/>
        </w:rPr>
        <w:t xml:space="preserve"> №_______, </w:t>
      </w:r>
      <w:r>
        <w:rPr>
          <w:bCs/>
          <w:sz w:val="24"/>
          <w:szCs w:val="24"/>
          <w:lang w:val="ru-RU"/>
        </w:rPr>
        <w:t>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ListParagraph"/>
        <w:shd w:val="clear" w:color="auto" w:fill="FFFFFF"/>
        <w:tabs>
          <w:tab w:val="clear" w:pos="708"/>
          <w:tab w:val="left" w:pos="0" w:leader="none"/>
        </w:tabs>
        <w:overflowPunct w:val="true"/>
        <w:ind w:left="0" w:firstLine="709"/>
        <w:jc w:val="both"/>
        <w:textAlignment w:val="baseline"/>
        <w:rPr>
          <w:lang w:eastAsia="en-US"/>
        </w:rPr>
      </w:pPr>
      <w:r>
        <w:rPr>
          <w:b/>
          <w:bCs/>
          <w:lang w:eastAsia="en-US"/>
        </w:rPr>
        <w:t>«Применимое право»</w:t>
      </w:r>
      <w:r>
        <w:rPr>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Normal"/>
        <w:tabs>
          <w:tab w:val="clear" w:pos="708"/>
          <w:tab w:val="left" w:pos="0" w:leader="none"/>
        </w:tabs>
        <w:ind w:firstLine="709"/>
        <w:jc w:val="both"/>
        <w:rPr>
          <w:lang w:val="ru-RU" w:eastAsia="en-US"/>
        </w:rPr>
      </w:pPr>
      <w:r>
        <w:rPr>
          <w:b/>
          <w:bCs/>
          <w:lang w:val="ru-RU" w:eastAsia="en-US"/>
        </w:rPr>
        <w:t>«Цена Договора»</w:t>
      </w:r>
      <w:r>
        <w:rPr>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rPr>
          <w:lang w:val="ru-RU" w:eastAsia="en-US"/>
        </w:rPr>
      </w:pPr>
      <w:r>
        <w:rPr>
          <w:lang w:val="ru-RU" w:eastAsia="en-US"/>
        </w:rPr>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t>Исполнитель обязуется в соответствии с Техническими требованиями (Приложение № 1 к Договору) оказать Заказчику транспортные услуги</w:t>
      </w:r>
      <w:r>
        <w:rPr>
          <w:color w:val="000000"/>
          <w:spacing w:val="-2"/>
        </w:rPr>
        <w:t xml:space="preserve"> по </w:t>
      </w:r>
      <w:r>
        <w:rPr>
          <w:rFonts w:eastAsia="Calibri"/>
          <w:color w:val="000000"/>
          <w:spacing w:val="-2"/>
          <w:sz w:val="24"/>
          <w:szCs w:val="24"/>
        </w:rPr>
        <w:t>по доставке сотрудников до места работы: филиал ПАО «РусГидро» - «Чебоксарская ГЭС»</w:t>
      </w:r>
      <w:r>
        <w:rPr>
          <w:color w:val="000000"/>
          <w:spacing w:val="-2"/>
        </w:rPr>
        <w:t xml:space="preserve"> </w:t>
      </w:r>
      <w:r>
        <w:rPr/>
        <w:t>(</w:t>
      </w:r>
      <w:r>
        <w:rPr>
          <w:bCs/>
        </w:rPr>
        <w:t>далее – «Услуги»)</w:t>
      </w:r>
      <w:r>
        <w:rPr/>
        <w:t>, а Заказчик принять и оплатить Услуги в соответствии с условиями Договора.</w:t>
      </w:r>
    </w:p>
    <w:p>
      <w:pPr>
        <w:pStyle w:val="ListParagraph"/>
        <w:numPr>
          <w:ilvl w:val="1"/>
          <w:numId w:val="3"/>
        </w:numPr>
        <w:shd w:val="clear" w:color="auto" w:fill="FFFFFF"/>
        <w:tabs>
          <w:tab w:val="clear" w:pos="708"/>
          <w:tab w:val="left" w:pos="1134" w:leader="none"/>
        </w:tabs>
        <w:suppressAutoHyphens w:val="true"/>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lang w:val="ru-RU"/>
        </w:rPr>
        <w:t>Услуги по Договору оказываются для нужд: АО «СК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rPr>
      </w:pPr>
      <w:r>
        <w:rPr>
          <w:lang w:val="ru-RU"/>
        </w:rPr>
        <w:t xml:space="preserve">Место оказания Услуг: </w:t>
      </w:r>
      <w:r>
        <w:rPr>
          <w:color w:val="000000"/>
          <w:spacing w:val="-2"/>
          <w:lang w:val="ru-RU"/>
        </w:rPr>
        <w:t>Чувашская республика, г. Новочебоксарск</w:t>
      </w:r>
    </w:p>
    <w:p>
      <w:pPr>
        <w:pStyle w:val="Normal"/>
        <w:widowControl w:val="false"/>
        <w:tabs>
          <w:tab w:val="clear" w:pos="708"/>
          <w:tab w:val="left" w:pos="1134" w:leader="none"/>
        </w:tabs>
        <w:ind w:left="709" w:hanging="0"/>
        <w:jc w:val="both"/>
        <w:rPr>
          <w:bCs/>
          <w:lang w:val="ru-RU"/>
        </w:rPr>
      </w:pPr>
      <w:r>
        <w:rPr>
          <w:bCs/>
          <w:lang w:val="ru-RU"/>
        </w:rPr>
        <w:t>1.5. Начало оказания Услуг: «01» января 2027 г</w:t>
      </w:r>
      <w:r>
        <w:rPr>
          <w:bCs/>
          <w:lang w:val="ru-RU"/>
        </w:rPr>
        <w:t>ода</w:t>
      </w:r>
    </w:p>
    <w:p>
      <w:pPr>
        <w:pStyle w:val="Normal"/>
        <w:widowControl w:val="false"/>
        <w:tabs>
          <w:tab w:val="clear" w:pos="708"/>
          <w:tab w:val="left" w:pos="1134" w:leader="none"/>
        </w:tabs>
        <w:ind w:left="709" w:hanging="0"/>
        <w:jc w:val="both"/>
        <w:rPr>
          <w:bCs/>
          <w:lang w:val="ru-RU"/>
        </w:rPr>
      </w:pPr>
      <w:r>
        <w:rPr>
          <w:bCs/>
          <w:lang w:val="ru-RU"/>
        </w:rPr>
        <w:t>1.6. Окончание оказания Услуг: «31» декабря 2027 г</w:t>
      </w:r>
      <w:r>
        <w:rPr>
          <w:bCs/>
          <w:lang w:val="ru-RU"/>
        </w:rPr>
        <w:t>ода</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left="0" w:firstLine="709"/>
        <w:rPr>
          <w:lang w:val="ru-RU"/>
        </w:rPr>
      </w:pPr>
      <w:r>
        <w:rPr>
          <w:lang w:val="ru-RU"/>
        </w:rPr>
        <w:t>Обеспечить доступ к объектам обслуживания.</w:t>
      </w:r>
    </w:p>
    <w:p>
      <w:pPr>
        <w:pStyle w:val="Normal"/>
        <w:numPr>
          <w:ilvl w:val="2"/>
          <w:numId w:val="3"/>
        </w:numPr>
        <w:ind w:left="0" w:firstLine="709"/>
        <w:rPr>
          <w:lang w:val="ru-RU"/>
        </w:rPr>
      </w:pPr>
      <w:bookmarkStart w:id="0" w:name="_Hlk88647536"/>
      <w:r>
        <w:rPr>
          <w:lang w:val="ru-RU"/>
        </w:rPr>
        <w:t>Выполнять иные обязанности, предусмотренные Договором.</w:t>
      </w:r>
      <w:bookmarkEnd w:id="0"/>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5"/>
        </w:numPr>
        <w:shd w:val="clear" w:color="auto" w:fill="FFFFFF"/>
        <w:tabs>
          <w:tab w:val="clear" w:pos="708"/>
          <w:tab w:val="left" w:pos="1418" w:leader="none"/>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pPr>
        <w:pStyle w:val="ListParagraph"/>
        <w:numPr>
          <w:ilvl w:val="2"/>
          <w:numId w:val="5"/>
        </w:numPr>
        <w:shd w:val="clear" w:color="auto" w:fill="FFFFFF"/>
        <w:tabs>
          <w:tab w:val="clear" w:pos="708"/>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rPr/>
        <w:t>, установленных Договором, и не влечет возникновения права Исполнителя на их оплату.</w:t>
      </w:r>
    </w:p>
    <w:p>
      <w:pPr>
        <w:pStyle w:val="ListParagraph"/>
        <w:numPr>
          <w:ilvl w:val="2"/>
          <w:numId w:val="5"/>
        </w:numPr>
        <w:shd w:val="clear" w:color="auto" w:fill="FFFFFF"/>
        <w:tabs>
          <w:tab w:val="clear" w:pos="708"/>
          <w:tab w:val="left" w:pos="1418" w:leader="none"/>
        </w:tabs>
        <w:ind w:left="0" w:firstLine="709"/>
        <w:jc w:val="both"/>
        <w:rPr/>
      </w:pPr>
      <w:bookmarkStart w:id="3" w:name="_Ref361319348"/>
      <w:bookmarkEnd w:id="2"/>
      <w:r>
        <w:rP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rPr/>
        <w:t xml:space="preserve"> </w:t>
      </w:r>
    </w:p>
    <w:p>
      <w:pPr>
        <w:pStyle w:val="Normal"/>
        <w:numPr>
          <w:ilvl w:val="2"/>
          <w:numId w:val="5"/>
        </w:numPr>
        <w:tabs>
          <w:tab w:val="clear" w:pos="708"/>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5"/>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pPr>
        <w:pStyle w:val="ListParagraph"/>
        <w:numPr>
          <w:ilvl w:val="1"/>
          <w:numId w:val="5"/>
        </w:numPr>
        <w:shd w:val="clear" w:color="auto" w:fill="FFFFFF"/>
        <w:tabs>
          <w:tab w:val="clear" w:pos="708"/>
          <w:tab w:val="left" w:pos="1134" w:leader="none"/>
        </w:tabs>
        <w:ind w:left="0" w:firstLine="709"/>
        <w:jc w:val="both"/>
        <w:rPr>
          <w:b/>
          <w:bCs/>
        </w:rPr>
      </w:pPr>
      <w:r>
        <w:rPr>
          <w:b/>
          <w:bCs/>
          <w:u w:val="single"/>
        </w:rPr>
        <w:t>Исполнитель обязан</w:t>
      </w:r>
      <w:r>
        <w:rPr>
          <w:b/>
          <w:bCs/>
        </w:rPr>
        <w:t>:</w:t>
      </w:r>
    </w:p>
    <w:p>
      <w:pPr>
        <w:pStyle w:val="ListParagraph"/>
        <w:numPr>
          <w:ilvl w:val="2"/>
          <w:numId w:val="5"/>
        </w:numPr>
        <w:shd w:val="clear" w:color="auto" w:fill="FFFFFF"/>
        <w:tabs>
          <w:tab w:val="clear" w:pos="708"/>
          <w:tab w:val="left" w:pos="1418" w:leader="none"/>
        </w:tabs>
        <w:ind w:left="0" w:firstLine="709"/>
        <w:jc w:val="both"/>
        <w:rPr/>
      </w:pPr>
      <w:r>
        <w:rP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w:t>
      </w:r>
    </w:p>
    <w:p>
      <w:pPr>
        <w:pStyle w:val="ListParagraph"/>
        <w:numPr>
          <w:ilvl w:val="2"/>
          <w:numId w:val="5"/>
        </w:numPr>
        <w:shd w:val="clear" w:color="auto" w:fill="FFFFFF"/>
        <w:tabs>
          <w:tab w:val="clear" w:pos="708"/>
          <w:tab w:val="left" w:pos="1418" w:leader="none"/>
        </w:tabs>
        <w:ind w:left="0" w:firstLine="709"/>
        <w:jc w:val="both"/>
        <w:rPr>
          <w:bCs/>
        </w:rPr>
      </w:pPr>
      <w:r>
        <w:rPr>
          <w:bCs/>
        </w:rPr>
        <w:t>До фактического начала оказания Услуг предоставить Заказчику:</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6"/>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clear" w:pos="708"/>
          <w:tab w:val="left" w:pos="709" w:leader="none"/>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5"/>
        </w:numPr>
        <w:shd w:val="clear" w:color="auto" w:fill="FFFFFF"/>
        <w:tabs>
          <w:tab w:val="clear" w:pos="708"/>
          <w:tab w:val="left" w:pos="1418" w:leader="none"/>
        </w:tabs>
        <w:ind w:left="0" w:firstLine="709"/>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5"/>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8"/>
          <w:tab w:val="left" w:pos="1276" w:leader="none"/>
        </w:tabs>
        <w:ind w:left="0" w:firstLine="709"/>
        <w:jc w:val="both"/>
        <w:rPr/>
      </w:pPr>
      <w: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5"/>
        </w:numPr>
        <w:shd w:val="clear" w:color="auto" w:fill="FFFFFF"/>
        <w:tabs>
          <w:tab w:val="clear" w:pos="708"/>
          <w:tab w:val="left" w:pos="1418" w:leader="none"/>
        </w:tabs>
        <w:ind w:left="0" w:firstLine="709"/>
        <w:jc w:val="both"/>
        <w:rPr/>
      </w:pPr>
      <w: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5"/>
        </w:numPr>
        <w:shd w:val="clear" w:color="auto" w:fill="FFFFFF"/>
        <w:tabs>
          <w:tab w:val="clear" w:pos="708"/>
          <w:tab w:val="left" w:pos="1418" w:leader="none"/>
        </w:tabs>
        <w:ind w:left="0" w:firstLine="709"/>
        <w:jc w:val="both"/>
        <w:rPr/>
      </w:pPr>
      <w:r>
        <w:rP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5"/>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5"/>
        </w:numPr>
        <w:shd w:val="clear" w:color="auto" w:fill="FFFFFF"/>
        <w:tabs>
          <w:tab w:val="clear" w:pos="708"/>
          <w:tab w:val="left" w:pos="1418" w:leader="none"/>
        </w:tabs>
        <w:ind w:left="0" w:firstLine="709"/>
        <w:jc w:val="both"/>
        <w:rPr/>
      </w:pPr>
      <w: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5"/>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8"/>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pPr>
        <w:pStyle w:val="ListParagraph"/>
        <w:shd w:val="clear" w:color="auto" w:fill="FFFFFF"/>
        <w:tabs>
          <w:tab w:val="clear" w:pos="708"/>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отдельных видов Услуг, кроме случая, указанного в пункте 2.3.10.1 Договора. </w:t>
      </w:r>
    </w:p>
    <w:p>
      <w:pPr>
        <w:pStyle w:val="ListParagraph"/>
        <w:numPr>
          <w:ilvl w:val="2"/>
          <w:numId w:val="5"/>
        </w:numPr>
        <w:shd w:val="clear" w:color="auto" w:fill="FFFFFF"/>
        <w:tabs>
          <w:tab w:val="clear" w:pos="708"/>
          <w:tab w:val="left" w:pos="1418" w:leader="none"/>
        </w:tabs>
        <w:ind w:left="0" w:firstLine="709"/>
        <w:jc w:val="both"/>
        <w:rPr/>
      </w:pPr>
      <w:bookmarkStart w:id="4"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4"/>
    </w:p>
    <w:p>
      <w:pPr>
        <w:pStyle w:val="ListParagraph"/>
        <w:numPr>
          <w:ilvl w:val="3"/>
          <w:numId w:val="5"/>
        </w:numPr>
        <w:shd w:val="clear" w:color="auto" w:fill="FFFFFF"/>
        <w:tabs>
          <w:tab w:val="clear" w:pos="708"/>
          <w:tab w:val="left" w:pos="1701" w:leader="none"/>
        </w:tabs>
        <w:ind w:left="0" w:firstLine="709"/>
        <w:jc w:val="both"/>
        <w:rPr/>
      </w:pPr>
      <w:bookmarkStart w:id="5"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rPr/>
        <w:t xml:space="preserve"> </w:t>
      </w:r>
    </w:p>
    <w:p>
      <w:pPr>
        <w:pStyle w:val="ListParagraph"/>
        <w:numPr>
          <w:ilvl w:val="3"/>
          <w:numId w:val="5"/>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5"/>
        </w:numPr>
        <w:shd w:val="clear" w:color="auto" w:fill="FFFFFF"/>
        <w:tabs>
          <w:tab w:val="clear" w:pos="708"/>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8"/>
          <w:tab w:val="left" w:pos="1276" w:leader="none"/>
        </w:tabs>
        <w:ind w:left="0" w:firstLine="709"/>
        <w:jc w:val="both"/>
        <w:rPr/>
      </w:pPr>
      <w:r>
        <w:rPr/>
        <w:t>Невыполнение Исполнителем требований пункта 2.3.10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5"/>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5"/>
        </w:numPr>
        <w:shd w:val="clear" w:color="auto" w:fill="FFFFFF"/>
        <w:tabs>
          <w:tab w:val="clear" w:pos="708"/>
          <w:tab w:val="left" w:pos="1418" w:leader="none"/>
        </w:tabs>
        <w:ind w:left="0" w:firstLine="709"/>
        <w:jc w:val="both"/>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pPr>
        <w:pStyle w:val="ListParagraph"/>
        <w:numPr>
          <w:ilvl w:val="2"/>
          <w:numId w:val="5"/>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7"/>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аресте и/или блокировании счетов и/или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7"/>
        </w:numPr>
        <w:tabs>
          <w:tab w:val="clear" w:pos="708"/>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5"/>
        </w:numPr>
        <w:tabs>
          <w:tab w:val="clear" w:pos="708"/>
          <w:tab w:val="left" w:pos="1134" w:leader="none"/>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5"/>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5"/>
        </w:numPr>
        <w:shd w:val="clear" w:color="auto" w:fill="FFFFFF"/>
        <w:tabs>
          <w:tab w:val="clear" w:pos="708"/>
          <w:tab w:val="left" w:pos="1134" w:leader="none"/>
        </w:tabs>
        <w:ind w:left="1036" w:hanging="327"/>
        <w:jc w:val="both"/>
        <w:rPr>
          <w:b/>
          <w:bCs/>
          <w:u w:val="single"/>
        </w:rPr>
      </w:pPr>
      <w:r>
        <w:rPr>
          <w:b/>
          <w:bCs/>
          <w:u w:val="single"/>
        </w:rPr>
        <w:t>Исполнитель имеет право:</w:t>
      </w:r>
    </w:p>
    <w:p>
      <w:pPr>
        <w:pStyle w:val="ListParagraph"/>
        <w:numPr>
          <w:ilvl w:val="2"/>
          <w:numId w:val="10"/>
        </w:numPr>
        <w:shd w:val="clear" w:color="auto" w:fill="FFFFFF"/>
        <w:tabs>
          <w:tab w:val="clear" w:pos="708"/>
          <w:tab w:val="left" w:pos="1418" w:leader="none"/>
        </w:tabs>
        <w:ind w:left="0" w:firstLine="709"/>
        <w:jc w:val="both"/>
        <w:rPr/>
      </w:pPr>
      <w:r>
        <w:rPr/>
        <w:t>Самостоятельно организовать оказание Услуг.</w:t>
      </w:r>
    </w:p>
    <w:p>
      <w:pPr>
        <w:pStyle w:val="ListParagraph"/>
        <w:numPr>
          <w:ilvl w:val="2"/>
          <w:numId w:val="10"/>
        </w:numPr>
        <w:shd w:val="clear" w:color="auto" w:fill="FFFFFF"/>
        <w:tabs>
          <w:tab w:val="clear" w:pos="708"/>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0"/>
        </w:numPr>
        <w:shd w:val="clear" w:color="auto" w:fill="FFFFFF"/>
        <w:tabs>
          <w:tab w:val="clear" w:pos="708"/>
          <w:tab w:val="left" w:pos="1418" w:leader="none"/>
        </w:tabs>
        <w:ind w:left="0" w:firstLine="709"/>
        <w:jc w:val="both"/>
        <w:rPr>
          <w:bCs/>
        </w:rPr>
      </w:pPr>
      <w:r>
        <w:rPr>
          <w:bCs/>
        </w:rPr>
        <w:t>Получать от Заказчика разъяснения и/или указания, необходимые для исполнения обязательств по Договору.</w:t>
      </w:r>
      <w:r>
        <w:rPr>
          <w:bCs/>
          <w:highlight w:val="lightGray"/>
        </w:rPr>
        <w:t xml:space="preserve"> </w:t>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shd w:val="clear" w:color="auto" w:fill="FFFFFF"/>
        <w:tabs>
          <w:tab w:val="clear" w:pos="708"/>
          <w:tab w:val="left" w:pos="709" w:leader="none"/>
          <w:tab w:val="left" w:pos="1134" w:leader="none"/>
        </w:tabs>
        <w:ind w:left="0" w:firstLine="709"/>
        <w:jc w:val="both"/>
        <w:rPr>
          <w:bCs/>
          <w:highlight w:val="lightGray"/>
        </w:rPr>
      </w:pPr>
      <w:r>
        <w:rPr>
          <w:bCs/>
          <w:highlight w:val="lightGray"/>
        </w:rPr>
      </w:r>
    </w:p>
    <w:p>
      <w:pPr>
        <w:pStyle w:val="ListParagraph"/>
        <w:numPr>
          <w:ilvl w:val="0"/>
          <w:numId w:val="10"/>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numPr>
          <w:ilvl w:val="1"/>
          <w:numId w:val="12"/>
        </w:numPr>
        <w:shd w:val="clear" w:color="auto" w:fill="FFFFFF"/>
        <w:tabs>
          <w:tab w:val="clear" w:pos="708"/>
          <w:tab w:val="left" w:pos="284" w:leader="none"/>
          <w:tab w:val="left" w:pos="1134" w:leader="none"/>
        </w:tabs>
        <w:ind w:left="0" w:firstLine="709"/>
        <w:jc w:val="both"/>
        <w:rPr>
          <w:b/>
        </w:rPr>
      </w:pPr>
      <w:r>
        <w:rPr/>
        <w:t xml:space="preserve">Цена Договора </w:t>
      </w:r>
      <w:r>
        <w:rPr>
          <w:highlight w:val="lightGray"/>
        </w:rPr>
        <w:t>в соответствии с Расчетом стоимости Услуг (Приложение № 3 к Договору)</w:t>
      </w:r>
      <w:r>
        <w:rPr>
          <w:rStyle w:val="FootnoteReference"/>
          <w:highlight w:val="lightGray"/>
        </w:rPr>
        <w:footnoteReference w:id="2"/>
      </w:r>
      <w:r>
        <w:rPr/>
        <w:t xml:space="preserve"> </w:t>
      </w:r>
      <w:r>
        <w:rPr>
          <w:bCs/>
        </w:rPr>
        <w:t xml:space="preserve">является предельной </w:t>
      </w:r>
      <w:r>
        <w:rPr/>
        <w:t xml:space="preserve">и составляет </w:t>
      </w:r>
      <w:r>
        <w:rPr>
          <w:b/>
          <w:color w:val="000000"/>
          <w:spacing w:val="-2"/>
        </w:rPr>
        <w:t>________ (______) рублей __ копеек,</w:t>
      </w:r>
      <w:r>
        <w:rPr>
          <w:color w:val="000000"/>
          <w:spacing w:val="-2"/>
        </w:rPr>
        <w:t xml:space="preserve"> </w:t>
      </w:r>
      <w:bookmarkStart w:id="6" w:name="_Hlk104974757"/>
      <w:bookmarkStart w:id="7" w:name="_Hlk104974277"/>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при этом НДС исчисляется дополнительно по ставке, установленной статьей 164 Налогового кодекса РФ</w:t>
      </w:r>
      <w:bookmarkEnd w:id="7"/>
      <w:r>
        <w:rPr>
          <w:i/>
          <w:iCs/>
          <w:highlight w:val="lightGray"/>
        </w:rPr>
        <w:t>.</w:t>
      </w:r>
      <w:bookmarkEnd w:id="6"/>
      <w:r>
        <w:rPr>
          <w:rStyle w:val="FootnoteReference"/>
          <w:highlight w:val="lightGray"/>
        </w:rPr>
        <w:footnoteReference w:id="3"/>
      </w:r>
    </w:p>
    <w:p>
      <w:pPr>
        <w:pStyle w:val="ListParagraph"/>
        <w:shd w:val="clear" w:color="auto" w:fill="FFFFFF"/>
        <w:tabs>
          <w:tab w:val="clear" w:pos="708"/>
          <w:tab w:val="left" w:pos="284" w:leader="none"/>
          <w:tab w:val="left" w:pos="1134" w:leader="none"/>
        </w:tabs>
        <w:ind w:left="0" w:firstLine="709"/>
        <w:jc w:val="both"/>
        <w:rPr>
          <w:b/>
        </w:rPr>
      </w:pPr>
      <w:r>
        <w:rPr>
          <w:b w:val="false"/>
          <w:bCs w:val="false"/>
          <w:highlight w:val="lightGray"/>
        </w:rPr>
        <w:t xml:space="preserve">Расчетным периодом по Договору является календарный месяц. Стоимость Услуг за один календарный месяц составляет </w:t>
      </w:r>
      <w:r>
        <w:rPr>
          <w:b/>
          <w:bCs/>
          <w:highlight w:val="lightGray"/>
        </w:rPr>
        <w:t>________ (______) рублей __ копеек,</w:t>
      </w:r>
      <w:r>
        <w:rPr>
          <w:b w:val="false"/>
          <w:bCs w:val="false"/>
          <w:highlight w:val="lightGray"/>
        </w:rPr>
        <w:t xml:space="preserve"> в соответствии с _____________________(указываются основания освобождения от НДС) НДС не предусмотрен / при этом НДС исчисляется дополнительно по ставке, установленной статьей 164 Налогового кодекса РФ. </w:t>
      </w:r>
    </w:p>
    <w:p>
      <w:pPr>
        <w:pStyle w:val="ListParagraph"/>
        <w:numPr>
          <w:ilvl w:val="1"/>
          <w:numId w:val="12"/>
        </w:numPr>
        <w:shd w:val="clear" w:color="auto" w:fill="FFFFFF"/>
        <w:tabs>
          <w:tab w:val="clear" w:pos="708"/>
          <w:tab w:val="left" w:pos="355" w:leader="none"/>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8"/>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8"/>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8"/>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8"/>
        </w:numPr>
        <w:shd w:val="clear" w:color="auto" w:fill="FFFFFF"/>
        <w:tabs>
          <w:tab w:val="clear" w:pos="708"/>
          <w:tab w:val="left" w:pos="993"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9"/>
        </w:numPr>
        <w:shd w:val="clear" w:color="auto" w:fill="FFFFFF"/>
        <w:tabs>
          <w:tab w:val="clear" w:pos="708"/>
          <w:tab w:val="left" w:pos="710" w:leader="none"/>
          <w:tab w:val="left" w:pos="851" w:leader="none"/>
        </w:tabs>
        <w:ind w:left="0" w:firstLine="710"/>
        <w:jc w:val="both"/>
        <w:rPr/>
      </w:pPr>
      <w:r>
        <w:rPr/>
        <w:t xml:space="preserve">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 </w:t>
      </w:r>
    </w:p>
    <w:p>
      <w:pPr>
        <w:pStyle w:val="ListParagraph"/>
        <w:numPr>
          <w:ilvl w:val="0"/>
          <w:numId w:val="9"/>
        </w:numPr>
        <w:shd w:val="clear" w:color="auto" w:fill="FFFFFF"/>
        <w:tabs>
          <w:tab w:val="clear" w:pos="708"/>
          <w:tab w:val="left" w:pos="709" w:leader="none"/>
          <w:tab w:val="left" w:pos="851" w:leader="none"/>
          <w:tab w:val="left" w:pos="1134" w:leader="none"/>
        </w:tabs>
        <w:ind w:left="0" w:firstLine="709"/>
        <w:jc w:val="both"/>
        <w:rPr/>
      </w:pPr>
      <w:bookmarkStart w:id="8" w:name="_Ref361858588"/>
      <w:r>
        <w:rPr/>
        <w:t>Оплата по Договору осуществляется в течен</w:t>
      </w:r>
      <w:r>
        <w:rPr>
          <w:rFonts w:eastAsia="Times New Roman" w:cs="Times New Roman"/>
          <w:color w:val="auto"/>
          <w:kern w:val="0"/>
          <w:sz w:val="24"/>
          <w:szCs w:val="24"/>
          <w:lang w:val="ru-RU" w:eastAsia="ru-RU" w:bidi="ar-SA"/>
        </w:rPr>
        <w:t xml:space="preserve">ие 7 (семи) рабочих дней </w:t>
      </w:r>
      <w:bookmarkEnd w:id="8"/>
      <w:r>
        <w:rPr>
          <w:rFonts w:eastAsia="Times New Roman" w:cs="Times New Roman"/>
          <w:color w:val="auto"/>
          <w:kern w:val="0"/>
          <w:sz w:val="24"/>
          <w:szCs w:val="24"/>
          <w:lang w:val="ru-RU" w:eastAsia="ru-RU" w:bidi="ar-SA"/>
        </w:rPr>
        <w:t>с</w:t>
      </w:r>
      <w:r>
        <w:rPr/>
        <w:t xml:space="preserve"> даты подписания Сторонами документов, указанных в пункте 4.1 Договора, на основании счета, выставленного Исполнителем, и с учетом пункта 3.5. Договора.</w:t>
      </w:r>
      <w:bookmarkStart w:id="9" w:name="_Ref372549497"/>
    </w:p>
    <w:p>
      <w:pPr>
        <w:pStyle w:val="ListParagraph"/>
        <w:numPr>
          <w:ilvl w:val="1"/>
          <w:numId w:val="9"/>
        </w:numPr>
        <w:shd w:val="clear" w:color="auto" w:fill="FFFFFF"/>
        <w:tabs>
          <w:tab w:val="clear" w:pos="708"/>
          <w:tab w:val="left" w:pos="709" w:leader="none"/>
          <w:tab w:val="left" w:pos="851" w:leader="none"/>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t xml:space="preserve"> </w:t>
      </w:r>
    </w:p>
    <w:p>
      <w:pPr>
        <w:pStyle w:val="ListParagraph"/>
        <w:numPr>
          <w:ilvl w:val="1"/>
          <w:numId w:val="9"/>
        </w:numPr>
        <w:shd w:val="clear" w:color="auto" w:fill="FFFFFF"/>
        <w:tabs>
          <w:tab w:val="clear" w:pos="708"/>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9"/>
        </w:numPr>
        <w:shd w:val="clear" w:color="auto" w:fill="FFFFFF"/>
        <w:tabs>
          <w:tab w:val="clear" w:pos="708"/>
          <w:tab w:val="left" w:pos="1134" w:leader="none"/>
        </w:tabs>
        <w:ind w:left="0" w:firstLine="709"/>
        <w:jc w:val="both"/>
        <w:rPr/>
      </w:pPr>
      <w:r>
        <w:rPr/>
        <w:t xml:space="preserve">За исключением случая, указанного в пункте 2.3.10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9"/>
        </w:numPr>
        <w:shd w:val="clear" w:color="auto" w:fill="FFFFFF"/>
        <w:tabs>
          <w:tab w:val="clear" w:pos="708"/>
          <w:tab w:val="left" w:pos="1134" w:leader="none"/>
        </w:tabs>
        <w:ind w:left="0" w:firstLine="709"/>
        <w:jc w:val="both"/>
        <w:rPr/>
      </w:pPr>
      <w:r>
        <w:rPr>
          <w:highlight w:val="lightGray"/>
        </w:rPr>
        <w:t xml:space="preserve">Исполнитель обязан представить Заказчику УПД,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УПД, он обязан произвести замену УПД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p>
    <w:p>
      <w:pPr>
        <w:pStyle w:val="ListParagraph"/>
        <w:numPr>
          <w:ilvl w:val="1"/>
          <w:numId w:val="9"/>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9"/>
        </w:numPr>
        <w:shd w:val="clear" w:color="auto" w:fill="FFFFFF"/>
        <w:tabs>
          <w:tab w:val="clear" w:pos="708"/>
          <w:tab w:val="left" w:pos="284" w:leader="none"/>
        </w:tabs>
        <w:spacing w:before="120" w:after="120"/>
        <w:ind w:left="0" w:hanging="0"/>
        <w:contextualSpacing/>
        <w:jc w:val="center"/>
        <w:rPr>
          <w:highlight w:val="none"/>
          <w:shd w:fill="auto" w:val="clear"/>
        </w:rPr>
      </w:pPr>
      <w:r>
        <w:rPr>
          <w:b/>
          <w:shd w:fill="auto" w:val="clear"/>
        </w:rPr>
        <w:t>Порядок оказания и сдачи-приемки Услуг</w:t>
      </w:r>
      <w:r>
        <w:rPr>
          <w:rStyle w:val="FootnoteReference"/>
          <w:b/>
          <w:shd w:fill="auto" w:val="clear"/>
        </w:rPr>
        <w:footnoteReference w:id="4"/>
      </w:r>
    </w:p>
    <w:p>
      <w:pPr>
        <w:pStyle w:val="ListParagraph"/>
        <w:numPr>
          <w:ilvl w:val="1"/>
          <w:numId w:val="11"/>
        </w:numPr>
        <w:shd w:val="clear" w:color="auto" w:fill="FFFFFF"/>
        <w:tabs>
          <w:tab w:val="clear" w:pos="708"/>
          <w:tab w:val="left" w:pos="284" w:leader="none"/>
          <w:tab w:val="left" w:pos="1134" w:leader="none"/>
        </w:tabs>
        <w:ind w:left="0" w:firstLine="709"/>
        <w:jc w:val="both"/>
        <w:rPr>
          <w:highlight w:val="none"/>
          <w:shd w:fill="auto" w:val="clear"/>
        </w:rPr>
      </w:pPr>
      <w:r>
        <w:rPr>
          <w:shd w:fill="auto" w:val="clear"/>
        </w:rPr>
        <w:t>По окончании оказания Услуг Исполнитель в течение 2 (двух) рабочих дней предоставляет Заказчику подписанные со своей стороны в 2 (двух) экземплярах УПД с приложением Отчета об оказании Услуг и иных отчетных документов, предусмотренных Техническими требованиями (Приложение № 1 к Договору).</w:t>
      </w:r>
    </w:p>
    <w:p>
      <w:pPr>
        <w:pStyle w:val="ListParagraph"/>
        <w:numPr>
          <w:ilvl w:val="1"/>
          <w:numId w:val="11"/>
        </w:numPr>
        <w:shd w:val="clear" w:color="auto" w:fill="FFFFFF"/>
        <w:tabs>
          <w:tab w:val="clear" w:pos="708"/>
          <w:tab w:val="left" w:pos="284" w:leader="none"/>
          <w:tab w:val="left" w:pos="1134" w:leader="none"/>
        </w:tabs>
        <w:ind w:left="0" w:firstLine="709"/>
        <w:jc w:val="both"/>
        <w:rPr>
          <w:highlight w:val="none"/>
          <w:shd w:fill="auto" w:val="clear"/>
        </w:rPr>
      </w:pPr>
      <w:bookmarkStart w:id="10" w:name="_Ref372745126"/>
      <w:r>
        <w:rPr>
          <w:shd w:fill="auto" w:val="clear"/>
        </w:rPr>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УПД с приложением Отчета об оказании Услуг и иных отчетных документов, предусмотренных Техническими требованиями (Приложение № 1 к Договору),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p>
    <w:p>
      <w:pPr>
        <w:pStyle w:val="ListParagraph"/>
        <w:numPr>
          <w:ilvl w:val="1"/>
          <w:numId w:val="11"/>
        </w:numPr>
        <w:shd w:val="clear" w:color="auto" w:fill="FFFFFF"/>
        <w:tabs>
          <w:tab w:val="clear" w:pos="708"/>
          <w:tab w:val="left" w:pos="284" w:leader="none"/>
          <w:tab w:val="left" w:pos="1134" w:leader="none"/>
        </w:tabs>
        <w:ind w:left="0" w:firstLine="709"/>
        <w:jc w:val="both"/>
        <w:rPr>
          <w:highlight w:val="none"/>
          <w:shd w:fill="auto" w:val="clear"/>
        </w:rPr>
      </w:pPr>
      <w:bookmarkStart w:id="11" w:name="_Ref373239439"/>
      <w:r>
        <w:rPr>
          <w:shd w:fill="auto" w:val="clea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shd w:fill="auto" w:val="clea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ListParagraph"/>
        <w:shd w:val="clear" w:color="auto" w:fill="FFFFFF"/>
        <w:tabs>
          <w:tab w:val="clear" w:pos="708"/>
          <w:tab w:val="left" w:pos="284" w:leader="none"/>
          <w:tab w:val="left" w:pos="1134" w:leader="none"/>
        </w:tabs>
        <w:ind w:left="0" w:firstLine="709"/>
        <w:jc w:val="both"/>
        <w:rPr/>
      </w:pPr>
      <w:r>
        <w:rPr>
          <w:shd w:fill="auto" w:val="clear"/>
        </w:rPr>
        <w:t>Указание Заказчиком срока новой приемки не влечет переноса установленного Договором срока оказания Услуг и не исключает ответствен</w:t>
      </w:r>
      <w:r>
        <w:rPr/>
        <w:t xml:space="preserve">ности Исполнителя за его нарушение. </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Услуги считаются оказанными Исполнителем и принятыми Заказчиком с момента подписания УПД.</w:t>
      </w:r>
    </w:p>
    <w:p>
      <w:pPr>
        <w:pStyle w:val="ListParagraph"/>
        <w:numPr>
          <w:ilvl w:val="1"/>
          <w:numId w:val="11"/>
        </w:numPr>
        <w:shd w:val="clear" w:color="auto" w:fill="FFFFFF"/>
        <w:tabs>
          <w:tab w:val="clear" w:pos="708"/>
          <w:tab w:val="left" w:pos="284" w:leader="none"/>
          <w:tab w:val="left" w:pos="1134" w:leader="none"/>
        </w:tabs>
        <w:ind w:left="0" w:firstLine="709"/>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pPr>
        <w:pStyle w:val="Normal"/>
        <w:shd w:val="clear" w:color="auto" w:fill="FFFFFF"/>
        <w:tabs>
          <w:tab w:val="clear" w:pos="708"/>
          <w:tab w:val="left" w:pos="284" w:leader="none"/>
          <w:tab w:val="left" w:pos="1134" w:leader="none"/>
        </w:tabs>
        <w:jc w:val="both"/>
        <w:rPr>
          <w:lang w:val="ru-RU"/>
        </w:rPr>
      </w:pPr>
      <w:r>
        <w:rPr>
          <w:lang w:val="ru-RU"/>
        </w:rPr>
      </w:r>
    </w:p>
    <w:p>
      <w:pPr>
        <w:pStyle w:val="Normal"/>
        <w:numPr>
          <w:ilvl w:val="0"/>
          <w:numId w:val="11"/>
        </w:numPr>
        <w:shd w:val="clear" w:color="auto" w:fill="FFFFFF"/>
        <w:ind w:left="0" w:hanging="0"/>
        <w:jc w:val="center"/>
        <w:rPr>
          <w:b/>
          <w:bCs/>
          <w:sz w:val="24"/>
          <w:szCs w:val="24"/>
        </w:rPr>
      </w:pPr>
      <w:r>
        <w:rPr>
          <w:b/>
          <w:bCs/>
          <w:sz w:val="24"/>
          <w:szCs w:val="24"/>
        </w:rPr>
        <w:t>Ответственность Сторон</w:t>
      </w:r>
    </w:p>
    <w:p>
      <w:pPr>
        <w:pStyle w:val="ListParagraph"/>
        <w:numPr>
          <w:ilvl w:val="1"/>
          <w:numId w:val="11"/>
        </w:numPr>
        <w:tabs>
          <w:tab w:val="clear" w:pos="708"/>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1"/>
        </w:numPr>
        <w:tabs>
          <w:tab w:val="clear" w:pos="708"/>
          <w:tab w:val="left" w:pos="709" w:leader="none"/>
          <w:tab w:val="left" w:pos="1134" w:leader="none"/>
        </w:tabs>
        <w:ind w:left="0" w:firstLine="709"/>
        <w:jc w:val="both"/>
        <w:rPr>
          <w:lang w:val="ru-RU"/>
        </w:rPr>
      </w:pPr>
      <w:r>
        <w:rPr>
          <w:bCs/>
          <w:sz w:val="24"/>
          <w:szCs w:val="24"/>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sz w:val="24"/>
          <w:szCs w:val="24"/>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w:t>
      </w:r>
      <w:r>
        <w:rPr>
          <w:rFonts w:eastAsia="Calibri"/>
          <w:sz w:val="24"/>
          <w:szCs w:val="24"/>
        </w:rPr>
        <w:t>трафной неустойки в размере 0,1 (ноль целых и одна десятая) процента от Цены Договора за каждый день просрочки.</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pPr>
      <w:r>
        <w:rPr>
          <w:bCs/>
          <w:sz w:val="24"/>
          <w:szCs w:val="24"/>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2 к Договору. </w:t>
      </w:r>
    </w:p>
    <w:p>
      <w:pPr>
        <w:pStyle w:val="ListParagraph"/>
        <w:numPr>
          <w:ilvl w:val="1"/>
          <w:numId w:val="11"/>
        </w:numPr>
        <w:shd w:val="clear" w:color="auto" w:fill="FFFFFF" w:themeFill="background1"/>
        <w:tabs>
          <w:tab w:val="clear" w:pos="708"/>
          <w:tab w:val="left" w:pos="0" w:leader="none"/>
          <w:tab w:val="left" w:pos="496" w:leader="none"/>
          <w:tab w:val="left" w:pos="709" w:leader="none"/>
          <w:tab w:val="left" w:pos="1134" w:leader="none"/>
          <w:tab w:val="left" w:pos="1418" w:leader="none"/>
        </w:tabs>
        <w:ind w:left="0" w:firstLine="709"/>
        <w:jc w:val="both"/>
        <w:rPr>
          <w:i w:val="false"/>
          <w:i w:val="false"/>
          <w:iCs w:val="false"/>
        </w:rPr>
      </w:pPr>
      <w:r>
        <w:rPr>
          <w:bCs/>
          <w:i w:val="false"/>
          <w:iCs w:val="false"/>
          <w:sz w:val="24"/>
          <w:szCs w:val="24"/>
          <w:highlight w:val="lightGray"/>
          <w:lang w:val="en-GB"/>
        </w:rPr>
        <w:t>Если в результате составления и выставления Исполнителем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 (если предусмотрен НДС)</w:t>
      </w:r>
    </w:p>
    <w:p>
      <w:pPr>
        <w:pStyle w:val="ListParagraph"/>
        <w:numPr>
          <w:ilvl w:val="1"/>
          <w:numId w:val="11"/>
        </w:numPr>
        <w:shd w:val="clear" w:color="auto" w:fill="FFFFFF"/>
        <w:tabs>
          <w:tab w:val="clear" w:pos="708"/>
          <w:tab w:val="left" w:pos="355" w:leader="none"/>
          <w:tab w:val="left" w:pos="1134" w:leader="none"/>
        </w:tabs>
        <w:ind w:left="0" w:firstLine="709"/>
        <w:jc w:val="both"/>
        <w:rPr>
          <w:bCs/>
        </w:rPr>
      </w:pPr>
      <w:r>
        <w:rPr>
          <w:bCs/>
          <w:sz w:val="24"/>
          <w:szCs w:val="24"/>
        </w:rPr>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pPr>
        <w:pStyle w:val="ListParagraph"/>
        <w:numPr>
          <w:ilvl w:val="1"/>
          <w:numId w:val="11"/>
        </w:numPr>
        <w:tabs>
          <w:tab w:val="clear" w:pos="708"/>
          <w:tab w:val="left" w:pos="1418" w:leader="none"/>
          <w:tab w:val="left" w:pos="1701" w:leader="none"/>
        </w:tabs>
        <w:ind w:left="0" w:firstLine="709"/>
        <w:jc w:val="both"/>
        <w:rPr/>
      </w:pPr>
      <w:r>
        <w:rPr>
          <w:rFonts w:eastAsia="Calibri"/>
          <w:bCs/>
          <w:sz w:val="24"/>
          <w:szCs w:val="24"/>
        </w:rP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pPr>
        <w:pStyle w:val="ListParagraph"/>
        <w:numPr>
          <w:ilvl w:val="1"/>
          <w:numId w:val="11"/>
        </w:numPr>
        <w:shd w:val="clear" w:color="auto" w:fill="FFFFFF"/>
        <w:tabs>
          <w:tab w:val="clear" w:pos="708"/>
          <w:tab w:val="left" w:pos="1134" w:leader="none"/>
        </w:tabs>
        <w:ind w:left="0" w:firstLine="709"/>
        <w:jc w:val="both"/>
        <w:rPr>
          <w:bCs/>
        </w:rPr>
      </w:pPr>
      <w:r>
        <w:rPr>
          <w:sz w:val="24"/>
          <w:szCs w:val="24"/>
        </w:rPr>
        <w:t>Ответственность Заказчика за причиненные Исполнителю убытки ограничивается реальным ущербом, но не более Цены Договора.</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numPr>
          <w:ilvl w:val="1"/>
          <w:numId w:val="11"/>
        </w:numPr>
        <w:shd w:val="clear" w:color="auto" w:fill="FFFFFF"/>
        <w:tabs>
          <w:tab w:val="clear" w:pos="708"/>
          <w:tab w:val="left" w:pos="1418" w:leader="none"/>
        </w:tabs>
        <w:ind w:left="0" w:firstLine="709"/>
        <w:jc w:val="both"/>
        <w:rPr>
          <w:bCs/>
        </w:rPr>
      </w:pPr>
      <w:r>
        <w:rPr>
          <w:bCs/>
          <w:sz w:val="24"/>
          <w:szCs w:val="24"/>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widowControl/>
        <w:numPr>
          <w:ilvl w:val="1"/>
          <w:numId w:val="11"/>
        </w:numPr>
        <w:shd w:val="clear" w:color="auto" w:fill="FFFFFF"/>
        <w:tabs>
          <w:tab w:val="clear" w:pos="708"/>
          <w:tab w:val="left" w:pos="1276" w:leader="none"/>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0" w:leader="none"/>
        </w:tabs>
        <w:ind w:left="0" w:hanging="0"/>
        <w:jc w:val="center"/>
        <w:rPr>
          <w:b/>
          <w:bCs/>
          <w:sz w:val="24"/>
          <w:szCs w:val="24"/>
        </w:rPr>
      </w:pPr>
      <w:r>
        <w:rPr>
          <w:b/>
          <w:bCs/>
          <w:sz w:val="24"/>
          <w:szCs w:val="24"/>
        </w:rPr>
        <w:t>Конфиденциальность</w:t>
      </w:r>
    </w:p>
    <w:p>
      <w:pPr>
        <w:pStyle w:val="ListParagraph"/>
        <w:numPr>
          <w:ilvl w:val="1"/>
          <w:numId w:val="11"/>
        </w:numPr>
        <w:shd w:val="clear" w:color="auto" w:fill="FFFFFF"/>
        <w:tabs>
          <w:tab w:val="clear" w:pos="708"/>
          <w:tab w:val="left" w:pos="0" w:leader="none"/>
          <w:tab w:val="left" w:pos="284" w:leader="none"/>
          <w:tab w:val="left" w:pos="1134" w:leader="none"/>
        </w:tabs>
        <w:spacing w:before="0" w:after="0"/>
        <w:ind w:left="0" w:firstLine="709"/>
        <w:contextualSpacing/>
        <w:jc w:val="both"/>
        <w:rPr>
          <w:rFonts w:cs="Times New Roman"/>
          <w:b/>
          <w:bCs/>
          <w:sz w:val="24"/>
          <w:szCs w:val="24"/>
        </w:rPr>
      </w:pPr>
      <w:r>
        <w:rPr>
          <w:rFonts w:cs="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18"/>
        </w:numPr>
        <w:tabs>
          <w:tab w:val="clear" w:pos="708"/>
          <w:tab w:val="left" w:pos="993" w:leader="none"/>
        </w:tabs>
        <w:suppressAutoHyphens w:val="true"/>
        <w:bidi w:val="0"/>
        <w:spacing w:lineRule="auto" w:line="240" w:before="0" w:after="0"/>
        <w:ind w:left="0" w:right="0" w:firstLine="709"/>
        <w:jc w:val="both"/>
        <w:rPr/>
      </w:pPr>
      <w:r>
        <w:rPr>
          <w:rFonts w:cs="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widowControl/>
        <w:numPr>
          <w:ilvl w:val="0"/>
          <w:numId w:val="18"/>
        </w:numPr>
        <w:tabs>
          <w:tab w:val="clear" w:pos="708"/>
          <w:tab w:val="left" w:pos="993" w:leader="none"/>
        </w:tabs>
        <w:suppressAutoHyphens w:val="true"/>
        <w:bidi w:val="0"/>
        <w:spacing w:lineRule="auto" w:line="240" w:before="0" w:after="0"/>
        <w:ind w:left="0" w:right="0" w:firstLine="709"/>
        <w:jc w:val="both"/>
        <w:rPr/>
      </w:pPr>
      <w:r>
        <w:rPr>
          <w:rFonts w:cs="Times New Roman"/>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1"/>
        </w:numPr>
        <w:shd w:val="clear" w:color="auto" w:fill="FFFFFF"/>
        <w:tabs>
          <w:tab w:val="clear" w:pos="708"/>
          <w:tab w:val="left" w:pos="355" w:leader="none"/>
          <w:tab w:val="left" w:pos="1134" w:leader="none"/>
        </w:tabs>
        <w:spacing w:before="0" w:after="0"/>
        <w:ind w:left="0" w:firstLine="709"/>
        <w:contextualSpacing/>
        <w:jc w:val="both"/>
        <w:rPr>
          <w:rFonts w:cs="Times New Roman"/>
          <w:bCs/>
          <w:sz w:val="24"/>
          <w:szCs w:val="24"/>
        </w:rPr>
      </w:pPr>
      <w:r>
        <w:rPr>
          <w:rFonts w:cs="Times New Roman"/>
          <w:bCs/>
          <w:sz w:val="24"/>
          <w:szCs w:val="24"/>
        </w:rPr>
        <w:t>Информация может включать в себя, в том числе, но не ограничиваясь:</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 xml:space="preserve">финансовую </w:t>
      </w:r>
      <w:r>
        <w:rPr>
          <w:rFonts w:cs="Times New Roman"/>
          <w:bCs/>
          <w:sz w:val="24"/>
          <w:szCs w:val="24"/>
          <w:lang w:val="en-US"/>
        </w:rPr>
        <w:t>(</w:t>
      </w:r>
      <w:r>
        <w:rPr>
          <w:rFonts w:cs="Times New Roman"/>
          <w:bCs/>
          <w:sz w:val="24"/>
          <w:szCs w:val="24"/>
        </w:rPr>
        <w:t>бухгалтерскую) отчетность;</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учетные регистры бухгалтерского учета;</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бизнес-планы;</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19"/>
        </w:numPr>
        <w:tabs>
          <w:tab w:val="clear" w:pos="708"/>
          <w:tab w:val="left" w:pos="993" w:leader="none"/>
        </w:tabs>
        <w:bidi w:val="0"/>
        <w:spacing w:lineRule="auto" w:line="240" w:before="0" w:after="0"/>
        <w:ind w:left="0" w:right="0" w:firstLine="709"/>
        <w:jc w:val="both"/>
        <w:rPr/>
      </w:pPr>
      <w:r>
        <w:rPr>
          <w:rFonts w:cs="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3" w:name="_Ref361337849"/>
      <w:r>
        <w:rPr>
          <w:rFonts w:cs="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Fonts w:cs="Times New Roman"/>
          <w:sz w:val="24"/>
          <w:szCs w:val="24"/>
        </w:rPr>
        <w:t xml:space="preserve"> </w:t>
      </w:r>
      <w:r>
        <w:rPr>
          <w:rFonts w:cs="Times New Roman"/>
          <w:bCs/>
          <w:sz w:val="24"/>
          <w:szCs w:val="24"/>
        </w:rPr>
        <w:t>(расторжения) или исполнения, в том числе:</w:t>
      </w:r>
      <w:bookmarkEnd w:id="13"/>
      <w:r>
        <w:rPr>
          <w:rFonts w:cs="Times New Roman"/>
          <w:bCs/>
          <w:sz w:val="24"/>
          <w:szCs w:val="24"/>
        </w:rPr>
        <w:t xml:space="preserve">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bookmarkStart w:id="14" w:name="_Ref361337832"/>
      <w:r>
        <w:rPr>
          <w:rFonts w:cs="Times New Roman"/>
          <w:bCs/>
          <w:sz w:val="24"/>
          <w:szCs w:val="24"/>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pPr>
        <w:pStyle w:val="ListParagraph"/>
        <w:numPr>
          <w:ilvl w:val="2"/>
          <w:numId w:val="11"/>
        </w:numPr>
        <w:shd w:val="clear" w:color="auto" w:fill="FFFFFF"/>
        <w:tabs>
          <w:tab w:val="clear" w:pos="708"/>
          <w:tab w:val="left" w:pos="1134" w:leader="none"/>
        </w:tabs>
        <w:spacing w:before="0" w:after="0"/>
        <w:ind w:left="0" w:firstLine="709"/>
        <w:contextualSpacing/>
        <w:jc w:val="both"/>
        <w:rPr>
          <w:rFonts w:cs="Times New Roman"/>
          <w:bCs/>
          <w:sz w:val="24"/>
          <w:szCs w:val="24"/>
        </w:rPr>
      </w:pPr>
      <w:r>
        <w:rPr>
          <w:rFonts w:cs="Times New Roman"/>
          <w:bCs/>
          <w:sz w:val="24"/>
          <w:szCs w:val="24"/>
        </w:rPr>
        <w:t>не разглашать третьим лицам факты передачи или получения Информации.</w:t>
      </w:r>
    </w:p>
    <w:p>
      <w:pPr>
        <w:pStyle w:val="ListParagraph"/>
        <w:numPr>
          <w:ilvl w:val="1"/>
          <w:numId w:val="11"/>
        </w:numPr>
        <w:shd w:val="clear" w:color="auto" w:fill="FFFFFF"/>
        <w:tabs>
          <w:tab w:val="clear" w:pos="708"/>
          <w:tab w:val="left" w:pos="709" w:leader="none"/>
          <w:tab w:val="left" w:pos="1134" w:leader="none"/>
        </w:tabs>
        <w:spacing w:before="0" w:after="0"/>
        <w:ind w:left="0" w:firstLine="709"/>
        <w:contextualSpacing/>
        <w:jc w:val="both"/>
        <w:rPr>
          <w:rFonts w:cs="Times New Roman"/>
          <w:bCs/>
          <w:sz w:val="24"/>
          <w:szCs w:val="24"/>
        </w:rPr>
      </w:pPr>
      <w:bookmarkStart w:id="15" w:name="_Ref361337863"/>
      <w:r>
        <w:rPr>
          <w:rFonts w:cs="Times New Roman"/>
          <w:bCs/>
          <w:sz w:val="24"/>
          <w:szCs w:val="24"/>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pPr>
        <w:pStyle w:val="Normal"/>
        <w:numPr>
          <w:ilvl w:val="1"/>
          <w:numId w:val="11"/>
        </w:numPr>
        <w:shd w:val="clear" w:color="auto" w:fill="FFFFFF"/>
        <w:tabs>
          <w:tab w:val="clear" w:pos="708"/>
          <w:tab w:val="left" w:pos="1134" w:leader="none"/>
        </w:tabs>
        <w:ind w:left="0" w:firstLine="709"/>
        <w:jc w:val="both"/>
        <w:rPr>
          <w:bCs/>
          <w:sz w:val="24"/>
          <w:szCs w:val="24"/>
        </w:rPr>
      </w:pPr>
      <w:r>
        <w:rPr>
          <w:rFonts w:cs="Times New Roman"/>
          <w:bCs/>
          <w:sz w:val="24"/>
          <w:szCs w:val="24"/>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Normal"/>
        <w:numPr>
          <w:ilvl w:val="0"/>
          <w:numId w:val="0"/>
        </w:numPr>
        <w:shd w:val="clear" w:color="auto" w:fill="FFFFFF"/>
        <w:ind w:left="0"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Разрешение споров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numPr>
          <w:ilvl w:val="0"/>
          <w:numId w:val="0"/>
        </w:numPr>
        <w:shd w:val="clear" w:color="auto" w:fill="FFFFFF"/>
        <w:ind w:left="0" w:hanging="0"/>
        <w:jc w:val="both"/>
        <w:rPr>
          <w:sz w:val="24"/>
          <w:szCs w:val="24"/>
        </w:rPr>
      </w:pPr>
      <w:r>
        <w:rPr>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Антикоррупционная оговорка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Каналы связи Линия доверия Группы РусГидро.</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1"/>
        </w:numPr>
        <w:shd w:val="clear" w:color="auto" w:fill="FFFFFF"/>
        <w:tabs>
          <w:tab w:val="clear" w:pos="708"/>
          <w:tab w:val="left" w:pos="0" w:leader="none"/>
          <w:tab w:val="left" w:pos="1134" w:leader="none"/>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0"/>
          <w:numId w:val="0"/>
        </w:numPr>
        <w:shd w:val="clear" w:color="auto" w:fill="FFFFFF"/>
        <w:tabs>
          <w:tab w:val="clear" w:pos="708"/>
          <w:tab w:val="left" w:pos="0" w:leader="none"/>
          <w:tab w:val="left" w:pos="284" w:leader="none"/>
          <w:tab w:val="left" w:pos="567" w:leader="none"/>
        </w:tabs>
        <w:ind w:left="0" w:hanging="0"/>
        <w:jc w:val="both"/>
        <w:rPr>
          <w:b/>
          <w:bCs/>
          <w:sz w:val="24"/>
          <w:szCs w:val="24"/>
        </w:rPr>
      </w:pPr>
      <w:r>
        <w:rPr>
          <w:b/>
          <w:bCs/>
          <w:sz w:val="24"/>
          <w:szCs w:val="24"/>
        </w:rPr>
      </w:r>
    </w:p>
    <w:p>
      <w:pPr>
        <w:pStyle w:val="ListParagraph"/>
        <w:widowControl/>
        <w:numPr>
          <w:ilvl w:val="0"/>
          <w:numId w:val="11"/>
        </w:numPr>
        <w:shd w:val="clear" w:color="auto" w:fill="FFFFFF"/>
        <w:ind w:left="0" w:hanging="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1"/>
        </w:numPr>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widowControl/>
        <w:shd w:val="clear" w:color="auto" w:fill="FFFFFF"/>
        <w:tabs>
          <w:tab w:val="clear" w:pos="708"/>
          <w:tab w:val="left" w:pos="0" w:leader="none"/>
          <w:tab w:val="left" w:pos="568" w:leader="none"/>
          <w:tab w:val="left" w:pos="1134" w:leader="none"/>
          <w:tab w:val="left" w:pos="1418" w:leader="none"/>
        </w:tabs>
        <w:ind w:left="0" w:firstLine="709"/>
        <w:jc w:val="both"/>
        <w:rPr>
          <w:bCs/>
          <w:sz w:val="24"/>
          <w:szCs w:val="24"/>
        </w:rPr>
      </w:pPr>
      <w:r>
        <w:rPr>
          <w:bCs/>
          <w:sz w:val="24"/>
          <w:szCs w:val="24"/>
        </w:rPr>
        <w:t>При этом любая из Сторон вправе отказаться от исполнения Договора в одностороннем внесудебном порядке.</w:t>
      </w:r>
    </w:p>
    <w:p>
      <w:pPr>
        <w:pStyle w:val="Normal"/>
        <w:shd w:val="clear" w:color="auto" w:fill="FFFFFF"/>
        <w:ind w:hanging="0"/>
        <w:jc w:val="both"/>
        <w:rPr>
          <w:bCs/>
          <w:sz w:val="24"/>
          <w:szCs w:val="24"/>
        </w:rPr>
      </w:pPr>
      <w:r>
        <w:rPr>
          <w:bCs/>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11"/>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13"/>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w:t>
      </w:r>
      <w:r>
        <w:rPr>
          <w:highlight w:val="lightGray"/>
        </w:rPr>
        <w:t>/ индивидуальным предпринимателем</w:t>
      </w:r>
      <w:r>
        <w:rPr/>
        <w:t xml:space="preserve">, надлежащим образом учрежденным </w:t>
      </w:r>
      <w:r>
        <w:rPr>
          <w:highlight w:val="lightGray"/>
        </w:rPr>
        <w:t>/ 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13"/>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3"/>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3"/>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3"/>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4"/>
        </w:numPr>
        <w:shd w:val="clear" w:color="auto" w:fill="FFFFFF"/>
        <w:tabs>
          <w:tab w:val="clear" w:pos="708"/>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4"/>
        </w:numPr>
        <w:shd w:val="clear" w:color="auto" w:fill="FFFFFF"/>
        <w:tabs>
          <w:tab w:val="clear" w:pos="708"/>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4"/>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4"/>
        </w:numPr>
        <w:shd w:val="clear" w:color="auto" w:fill="FFFFFF"/>
        <w:tabs>
          <w:tab w:val="clear" w:pos="708"/>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4"/>
        </w:numPr>
        <w:shd w:val="clear" w:color="auto" w:fill="FFFFFF"/>
        <w:tabs>
          <w:tab w:val="clear" w:pos="708"/>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4"/>
        </w:numPr>
        <w:shd w:val="clear" w:color="auto" w:fill="FFFFFF"/>
        <w:tabs>
          <w:tab w:val="clear" w:pos="708"/>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4"/>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0"/>
        </w:numPr>
        <w:shd w:val="clear" w:color="auto" w:fill="FFFFFF"/>
        <w:tabs>
          <w:tab w:val="clear" w:pos="708"/>
          <w:tab w:val="left" w:pos="1134" w:leader="none"/>
          <w:tab w:val="left" w:pos="1418" w:leader="none"/>
        </w:tabs>
        <w:ind w:left="0"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sz w:val="24"/>
          <w:szCs w:val="24"/>
        </w:rPr>
      </w:pPr>
      <w:r>
        <w:rPr>
          <w:b/>
          <w:bCs/>
          <w:sz w:val="24"/>
          <w:szCs w:val="24"/>
        </w:rPr>
        <w:t>П</w:t>
      </w:r>
      <w:r>
        <w:rPr>
          <w:b/>
          <w:sz w:val="24"/>
          <w:szCs w:val="24"/>
        </w:rPr>
        <w:t>рекращение (расторжение) Договора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8"/>
          <w:tab w:val="left" w:pos="355"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8"/>
          <w:tab w:val="left" w:pos="355" w:leader="none"/>
          <w:tab w:val="left" w:pos="1418" w:leader="none"/>
        </w:tabs>
        <w:ind w:left="0" w:firstLine="709"/>
        <w:jc w:val="both"/>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1"/>
        </w:numPr>
        <w:shd w:val="clear" w:color="auto" w:fill="FFFFFF"/>
        <w:tabs>
          <w:tab w:val="clear" w:pos="708"/>
          <w:tab w:val="left" w:pos="355" w:leader="none"/>
          <w:tab w:val="left" w:pos="1418"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15"/>
        </w:numPr>
        <w:tabs>
          <w:tab w:val="clear" w:pos="708"/>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15"/>
        </w:numPr>
        <w:tabs>
          <w:tab w:val="clear" w:pos="708"/>
          <w:tab w:val="left" w:pos="1134" w:leader="none"/>
        </w:tabs>
        <w:ind w:left="0" w:firstLine="709"/>
        <w:jc w:val="both"/>
        <w:rPr/>
      </w:pPr>
      <w:r>
        <w:rPr/>
        <w:t>несоблюдение Исполнителем требований к качеству Услуг и/или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15"/>
        </w:numPr>
        <w:tabs>
          <w:tab w:val="clear" w:pos="708"/>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и/или лицензий;</w:t>
      </w:r>
    </w:p>
    <w:p>
      <w:pPr>
        <w:pStyle w:val="ListParagraph"/>
        <w:numPr>
          <w:ilvl w:val="0"/>
          <w:numId w:val="15"/>
        </w:numPr>
        <w:tabs>
          <w:tab w:val="clear" w:pos="708"/>
          <w:tab w:val="left" w:pos="1134" w:leader="none"/>
        </w:tabs>
        <w:ind w:left="0" w:firstLine="709"/>
        <w:jc w:val="both"/>
        <w:rPr/>
      </w:pPr>
      <w: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15"/>
        </w:numPr>
        <w:tabs>
          <w:tab w:val="clear" w:pos="708"/>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15"/>
        </w:numPr>
        <w:tabs>
          <w:tab w:val="clear" w:pos="708"/>
          <w:tab w:val="left" w:pos="1134" w:leader="none"/>
        </w:tabs>
        <w:ind w:left="0" w:firstLine="709"/>
        <w:jc w:val="both"/>
        <w:rPr/>
      </w:pPr>
      <w:r>
        <w:rPr/>
        <w:t>привлечение к оказанию Услуг по Договору третьих лиц с нарушением требований, установленных Договором;</w:t>
      </w:r>
    </w:p>
    <w:p>
      <w:pPr>
        <w:pStyle w:val="ListParagraph"/>
        <w:numPr>
          <w:ilvl w:val="0"/>
          <w:numId w:val="15"/>
        </w:numPr>
        <w:tabs>
          <w:tab w:val="clear" w:pos="708"/>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pPr>
        <w:pStyle w:val="ListParagraph"/>
        <w:numPr>
          <w:ilvl w:val="1"/>
          <w:numId w:val="11"/>
        </w:numPr>
        <w:shd w:val="clear" w:color="auto" w:fill="FFFFFF"/>
        <w:tabs>
          <w:tab w:val="clear" w:pos="708"/>
          <w:tab w:val="left" w:pos="355" w:leader="none"/>
        </w:tabs>
        <w:ind w:left="0" w:firstLine="709"/>
        <w:jc w:val="both"/>
        <w:rPr/>
      </w:pPr>
      <w:r>
        <w:rP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1"/>
        </w:numPr>
        <w:shd w:val="clear" w:color="auto" w:fill="FFFFFF"/>
        <w:tabs>
          <w:tab w:val="clear" w:pos="708"/>
          <w:tab w:val="left" w:pos="355" w:leader="none"/>
        </w:tabs>
        <w:ind w:left="0" w:firstLine="709"/>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6"/>
        </w:numPr>
        <w:shd w:val="clear" w:color="auto" w:fill="FFFFFF"/>
        <w:tabs>
          <w:tab w:val="clear" w:pos="708"/>
          <w:tab w:val="left" w:pos="1134" w:leader="none"/>
          <w:tab w:val="left" w:pos="1418" w:leader="none"/>
        </w:tabs>
        <w:ind w:left="0" w:firstLine="709"/>
        <w:jc w:val="both"/>
        <w:rPr/>
      </w:pPr>
      <w:r>
        <w:rPr/>
        <w:t>передать Заказчику результат Услуг, техническую и иную полученную документацию;</w:t>
      </w:r>
    </w:p>
    <w:p>
      <w:pPr>
        <w:pStyle w:val="ListParagraph"/>
        <w:numPr>
          <w:ilvl w:val="0"/>
          <w:numId w:val="16"/>
        </w:numPr>
        <w:shd w:val="clear" w:color="auto" w:fill="FFFFFF"/>
        <w:tabs>
          <w:tab w:val="clear" w:pos="708"/>
          <w:tab w:val="left" w:pos="1134" w:leader="none"/>
          <w:tab w:val="left" w:pos="1418" w:leader="none"/>
        </w:tabs>
        <w:ind w:left="0" w:firstLine="709"/>
        <w:jc w:val="both"/>
        <w:rPr/>
      </w:pPr>
      <w:r>
        <w:rPr/>
        <w:t xml:space="preserve">вывезти с места оказания Услуг оборудование и персонал Исполнителя; </w:t>
      </w:r>
    </w:p>
    <w:p>
      <w:pPr>
        <w:pStyle w:val="ListParagraph"/>
        <w:numPr>
          <w:ilvl w:val="0"/>
          <w:numId w:val="16"/>
        </w:numPr>
        <w:shd w:val="clear" w:color="auto" w:fill="FFFFFF"/>
        <w:tabs>
          <w:tab w:val="clear" w:pos="708"/>
          <w:tab w:val="left" w:pos="1134" w:leader="none"/>
          <w:tab w:val="left" w:pos="1418" w:leader="none"/>
        </w:tabs>
        <w:ind w:left="0" w:firstLine="709"/>
        <w:jc w:val="both"/>
        <w:rPr/>
      </w:pPr>
      <w:r>
        <w:rPr/>
        <w:t>удалить с места оказания Услуг весь мусор и все остаточные продукты любого рода и оставить место оказания Услуг чистым и безопасным.</w:t>
      </w:r>
    </w:p>
    <w:p>
      <w:pPr>
        <w:pStyle w:val="ListParagraph"/>
        <w:numPr>
          <w:ilvl w:val="1"/>
          <w:numId w:val="11"/>
        </w:numPr>
        <w:shd w:val="clear" w:color="auto" w:fill="FFFFFF"/>
        <w:tabs>
          <w:tab w:val="clear" w:pos="708"/>
          <w:tab w:val="left" w:pos="355" w:leader="none"/>
        </w:tabs>
        <w:ind w:left="0" w:firstLine="709"/>
        <w:jc w:val="both"/>
        <w:rPr/>
      </w:pPr>
      <w:r>
        <w:rPr>
          <w:sz w:val="24"/>
          <w:szCs w:val="24"/>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Normal"/>
        <w:ind w:hanging="0"/>
        <w:jc w:val="both"/>
        <w:rPr>
          <w:sz w:val="24"/>
          <w:szCs w:val="24"/>
        </w:rPr>
      </w:pPr>
      <w:r>
        <w:rPr>
          <w:sz w:val="24"/>
          <w:szCs w:val="24"/>
        </w:rPr>
      </w:r>
    </w:p>
    <w:p>
      <w:pPr>
        <w:pStyle w:val="ListParagraph"/>
        <w:widowControl/>
        <w:numPr>
          <w:ilvl w:val="0"/>
          <w:numId w:val="11"/>
        </w:numPr>
        <w:shd w:val="clear" w:color="auto" w:fill="FFFFFF"/>
        <w:tabs>
          <w:tab w:val="clear" w:pos="708"/>
          <w:tab w:val="left" w:pos="426" w:leader="none"/>
        </w:tabs>
        <w:ind w:left="0" w:hanging="0"/>
        <w:jc w:val="center"/>
        <w:rPr>
          <w:b/>
          <w:bCs/>
          <w:sz w:val="24"/>
          <w:szCs w:val="24"/>
        </w:rPr>
      </w:pPr>
      <w:r>
        <w:rPr>
          <w:b/>
          <w:bCs/>
          <w:sz w:val="24"/>
          <w:szCs w:val="24"/>
        </w:rPr>
        <w:t>Заключительные положения</w:t>
      </w:r>
    </w:p>
    <w:p>
      <w:pPr>
        <w:pStyle w:val="ListParagraph"/>
        <w:widowControl/>
        <w:numPr>
          <w:ilvl w:val="1"/>
          <w:numId w:val="11"/>
        </w:numPr>
        <w:suppressAutoHyphens w:val="true"/>
        <w:bidi w:val="0"/>
        <w:spacing w:before="0" w:after="0"/>
        <w:ind w:left="0" w:right="0" w:firstLine="709"/>
        <w:contextualSpacing/>
        <w:jc w:val="both"/>
        <w:rPr/>
      </w:pPr>
      <w:r>
        <w:rPr/>
        <w:t xml:space="preserve">Договор вступает в силу с даты его подписания и действует до полного исполнения ими принятых на себя обязательств.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12.7 Договора.</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sz w:val="24"/>
          <w:szCs w:val="24"/>
        </w:rPr>
      </w:pPr>
      <w:bookmarkStart w:id="16" w:name="_Ref361338004"/>
      <w:r>
        <w:rPr>
          <w:sz w:val="24"/>
          <w:szCs w:val="24"/>
        </w:rPr>
        <w:t>Стороны обязуются уведомлять друг друга об изменении адреса и/или реквизитов, указанных в разделе 14 Договора, не позднее 3 (трех) рабочих дней после такого изменения в порядке, установленном пунктом 12.7 Договора.</w:t>
      </w:r>
      <w:bookmarkEnd w:id="16"/>
      <w:r>
        <w:rPr>
          <w:sz w:val="24"/>
          <w:szCs w:val="24"/>
        </w:rPr>
        <w:t xml:space="preserve"> </w:t>
      </w:r>
    </w:p>
    <w:p>
      <w:pPr>
        <w:pStyle w:val="ListParagraph"/>
        <w:widowControl/>
        <w:numPr>
          <w:ilvl w:val="1"/>
          <w:numId w:val="11"/>
        </w:numPr>
        <w:shd w:val="clear" w:color="auto" w:fill="FFFFFF"/>
        <w:tabs>
          <w:tab w:val="clear" w:pos="708"/>
          <w:tab w:val="left" w:pos="0" w:leader="none"/>
          <w:tab w:val="left" w:pos="1134" w:leader="none"/>
          <w:tab w:val="left" w:pos="1418" w:leader="none"/>
        </w:tabs>
        <w:ind w:left="0" w:firstLine="709"/>
        <w:jc w:val="both"/>
        <w:rPr>
          <w:bCs/>
          <w:sz w:val="24"/>
          <w:szCs w:val="24"/>
        </w:rPr>
      </w:pPr>
      <w:r>
        <w:rPr>
          <w:sz w:val="24"/>
          <w:szCs w:val="24"/>
        </w:rPr>
        <w:t xml:space="preserve">Письма, УПД, накладные, уведомления и/или сообщения направляются Стороне-получателю следующими способами: </w:t>
      </w:r>
    </w:p>
    <w:p>
      <w:pPr>
        <w:pStyle w:val="ListParagraph"/>
        <w:numPr>
          <w:ilvl w:val="2"/>
          <w:numId w:val="11"/>
        </w:numPr>
        <w:tabs>
          <w:tab w:val="clear" w:pos="708"/>
        </w:tabs>
        <w:ind w:left="0" w:firstLine="709"/>
        <w:jc w:val="both"/>
        <w:rPr>
          <w:sz w:val="24"/>
          <w:szCs w:val="24"/>
        </w:rPr>
      </w:pPr>
      <w:r>
        <w:rPr>
          <w:bCs/>
          <w:sz w:val="24"/>
          <w:szCs w:val="24"/>
        </w:rPr>
        <w:t xml:space="preserve">По </w:t>
      </w:r>
      <w:bookmarkStart w:id="17" w:name="_Hlk154477081"/>
      <w:r>
        <w:rPr>
          <w:bCs/>
          <w:sz w:val="24"/>
          <w:szCs w:val="24"/>
        </w:rPr>
        <w:t>адресу ее места нахождения, указанному в 14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7"/>
      <w:r>
        <w:rPr>
          <w:sz w:val="24"/>
          <w:szCs w:val="24"/>
        </w:rPr>
        <w:t>:</w:t>
      </w:r>
    </w:p>
    <w:p>
      <w:pPr>
        <w:pStyle w:val="ListParagraph"/>
        <w:numPr>
          <w:ilvl w:val="0"/>
          <w:numId w:val="17"/>
        </w:numPr>
        <w:tabs>
          <w:tab w:val="clear" w:pos="708"/>
          <w:tab w:val="left" w:pos="993" w:leader="none"/>
        </w:tabs>
        <w:ind w:left="0" w:firstLine="709"/>
        <w:jc w:val="both"/>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17"/>
        </w:numPr>
        <w:tabs>
          <w:tab w:val="clear" w:pos="708"/>
          <w:tab w:val="left" w:pos="993" w:leader="none"/>
        </w:tabs>
        <w:ind w:left="0" w:firstLine="709"/>
        <w:jc w:val="both"/>
        <w:rPr>
          <w:sz w:val="24"/>
          <w:szCs w:val="24"/>
        </w:rPr>
      </w:pPr>
      <w:bookmarkStart w:id="18"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8"/>
    </w:p>
    <w:p>
      <w:pPr>
        <w:pStyle w:val="ListParagraph"/>
        <w:numPr>
          <w:ilvl w:val="2"/>
          <w:numId w:val="11"/>
        </w:numPr>
        <w:tabs>
          <w:tab w:val="clear" w:pos="708"/>
        </w:tabs>
        <w:ind w:left="0" w:firstLine="709"/>
        <w:jc w:val="both"/>
        <w:rPr>
          <w:sz w:val="24"/>
          <w:szCs w:val="24"/>
        </w:rPr>
      </w:pPr>
      <w:r>
        <w:rPr>
          <w:bCs/>
          <w:sz w:val="24"/>
          <w:szCs w:val="24"/>
        </w:rPr>
        <w:t xml:space="preserve">Посредством </w:t>
      </w:r>
      <w:bookmarkStart w:id="19"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9"/>
      <w:r>
        <w:rPr>
          <w:sz w:val="24"/>
          <w:szCs w:val="24"/>
        </w:rPr>
        <w:t>.</w:t>
      </w:r>
    </w:p>
    <w:p>
      <w:pPr>
        <w:pStyle w:val="ListParagraph"/>
        <w:widowControl/>
        <w:numPr>
          <w:ilvl w:val="1"/>
          <w:numId w:val="11"/>
        </w:numPr>
        <w:tabs>
          <w:tab w:val="clear" w:pos="708"/>
          <w:tab w:val="left" w:pos="0" w:leader="none"/>
          <w:tab w:val="left" w:pos="1418"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bCs/>
          <w:sz w:val="24"/>
          <w:szCs w:val="24"/>
        </w:rPr>
      </w:pPr>
      <w:r>
        <w:rPr>
          <w:sz w:val="24"/>
          <w:szCs w:val="24"/>
        </w:rPr>
        <w:t xml:space="preserve">Уступка </w:t>
      </w:r>
      <w:bookmarkStart w:id="20"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20"/>
      <w:r>
        <w:rPr>
          <w:bCs/>
          <w:sz w:val="24"/>
          <w:szCs w:val="24"/>
        </w:rPr>
        <w:t>.</w:t>
      </w:r>
      <w:r>
        <w:rPr>
          <w:sz w:val="24"/>
          <w:szCs w:val="24"/>
        </w:rPr>
        <w:t xml:space="preserve">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1"/>
        </w:numPr>
        <w:shd w:val="clear" w:color="auto" w:fill="FFFFFF"/>
        <w:tabs>
          <w:tab w:val="clear" w:pos="708"/>
          <w:tab w:val="left" w:pos="0" w:leader="none"/>
          <w:tab w:val="left" w:pos="1418" w:leader="none"/>
        </w:tabs>
        <w:ind w:left="0" w:firstLine="709"/>
        <w:jc w:val="both"/>
        <w:rPr>
          <w:highlight w:val="none"/>
          <w:shd w:fill="auto" w:val="clear"/>
        </w:rPr>
      </w:pPr>
      <w:bookmarkStart w:id="21" w:name="_Hlk154477413"/>
      <w:r>
        <w:rPr>
          <w:sz w:val="24"/>
          <w:szCs w:val="24"/>
          <w:shd w:fill="auto" w:val="clear"/>
        </w:rPr>
        <w:t xml:space="preserve">Договор заключается в электронной форме с использованием программно-аппаратных средств информационной системы </w:t>
      </w:r>
      <w:r>
        <w:rPr>
          <w:sz w:val="24"/>
          <w:szCs w:val="24"/>
          <w:shd w:fill="auto" w:val="clear"/>
        </w:rPr>
        <w:t>п</w:t>
      </w:r>
      <w:r>
        <w:rPr>
          <w:sz w:val="24"/>
          <w:szCs w:val="24"/>
          <w:shd w:fill="auto" w:val="clear"/>
        </w:rPr>
        <w:t>утем его подписания УКЭП уполномоченных представителей Сторон</w:t>
      </w:r>
      <w:bookmarkEnd w:id="21"/>
      <w:r>
        <w:rPr>
          <w:sz w:val="24"/>
          <w:szCs w:val="24"/>
          <w:shd w:fill="auto" w:val="clear"/>
        </w:rPr>
        <w:t>.</w:t>
      </w:r>
    </w:p>
    <w:p>
      <w:pPr>
        <w:pStyle w:val="ListParagraph"/>
        <w:widowControl/>
        <w:shd w:val="clear" w:color="auto" w:fill="FFFFFF"/>
        <w:tabs>
          <w:tab w:val="clear" w:pos="708"/>
          <w:tab w:val="left" w:pos="0" w:leader="none"/>
          <w:tab w:val="left" w:pos="1418" w:leader="none"/>
        </w:tabs>
        <w:ind w:left="0" w:firstLine="709"/>
        <w:jc w:val="both"/>
        <w:rPr>
          <w:highlight w:val="none"/>
          <w:shd w:fill="auto" w:val="clear"/>
        </w:rPr>
      </w:pPr>
      <w:bookmarkStart w:id="22" w:name="_Hlk154477404"/>
      <w:bookmarkStart w:id="23" w:name="_Hlk154477430"/>
      <w:r>
        <w:rPr>
          <w:sz w:val="24"/>
          <w:szCs w:val="24"/>
          <w:shd w:fill="auto"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22"/>
      <w:bookmarkEnd w:id="23"/>
    </w:p>
    <w:p>
      <w:pPr>
        <w:pStyle w:val="ListParagraph"/>
        <w:widowControl/>
        <w:numPr>
          <w:ilvl w:val="0"/>
          <w:numId w:val="0"/>
        </w:numPr>
        <w:shd w:val="clear" w:color="auto" w:fill="FFFFFF"/>
        <w:tabs>
          <w:tab w:val="clear" w:pos="708"/>
          <w:tab w:val="left" w:pos="0" w:leader="none"/>
          <w:tab w:val="left" w:pos="1418" w:leader="none"/>
        </w:tabs>
        <w:ind w:left="0" w:hanging="0"/>
        <w:jc w:val="both"/>
        <w:rPr>
          <w:sz w:val="24"/>
          <w:szCs w:val="24"/>
        </w:rPr>
      </w:pPr>
      <w:r>
        <w:rPr>
          <w:sz w:val="24"/>
          <w:szCs w:val="24"/>
        </w:rPr>
      </w:r>
    </w:p>
    <w:p>
      <w:pPr>
        <w:pStyle w:val="ListParagraph"/>
        <w:numPr>
          <w:ilvl w:val="0"/>
          <w:numId w:val="11"/>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 Технические требования;</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lang w:val="ru-RU" w:eastAsia="en-US"/>
        </w:rPr>
      </w:pPr>
      <w:r>
        <w:rPr>
          <w:bCs/>
          <w:highlight w:val="lightGray"/>
          <w:lang w:val="ru-RU"/>
        </w:rPr>
        <w:t>Приложение № 3 – Расчет стоимости Услуг.</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14.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7"/>
        <w:tblW w:w="10201"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4956"/>
        <w:gridCol w:w="5244"/>
      </w:tblGrid>
      <w:tr>
        <w:trPr/>
        <w:tc>
          <w:tcPr>
            <w:tcW w:w="4956" w:type="dxa"/>
            <w:tcBorders>
              <w:top w:val="nil"/>
              <w:left w:val="nil"/>
              <w:bottom w:val="nil"/>
              <w:right w:val="nil"/>
            </w:tcBorders>
          </w:tcPr>
          <w:p>
            <w:pPr>
              <w:pStyle w:val="Normal"/>
              <w:widowControl w:val="false"/>
              <w:tabs>
                <w:tab w:val="clear" w:pos="708"/>
                <w:tab w:val="left" w:pos="426" w:leader="none"/>
              </w:tabs>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244" w:type="dxa"/>
            <w:tcBorders>
              <w:top w:val="nil"/>
              <w:left w:val="nil"/>
              <w:bottom w:val="nil"/>
              <w:right w:val="nil"/>
            </w:tcBorders>
          </w:tcPr>
          <w:p>
            <w:pPr>
              <w:pStyle w:val="Normal"/>
              <w:widowControl w:val="false"/>
              <w:tabs>
                <w:tab w:val="clear" w:pos="708"/>
                <w:tab w:val="left" w:pos="426" w:leader="none"/>
              </w:tabs>
              <w:spacing w:before="0" w:after="0"/>
              <w:jc w:val="left"/>
              <w:rPr>
                <w:b/>
                <w:bCs/>
                <w:color w:val="000000"/>
                <w:lang w:val="ru-RU"/>
              </w:rPr>
            </w:pPr>
            <w:r>
              <w:rPr>
                <w:rFonts w:eastAsia="Times New Roman" w:cs="Times New Roman"/>
                <w:b/>
                <w:bCs/>
                <w:color w:val="000000"/>
                <w:kern w:val="0"/>
                <w:lang w:val="ru-RU" w:eastAsia="ru-RU" w:bidi="ar-SA"/>
              </w:rPr>
              <w:t>ИСПОЛНИТЕЛЬ:</w:t>
            </w:r>
          </w:p>
        </w:tc>
      </w:tr>
      <w:tr>
        <w:trPr/>
        <w:tc>
          <w:tcPr>
            <w:tcW w:w="4956" w:type="dxa"/>
            <w:tcBorders>
              <w:top w:val="nil"/>
              <w:left w:val="nil"/>
              <w:bottom w:val="nil"/>
              <w:right w:val="nil"/>
            </w:tcBorders>
          </w:tcPr>
          <w:p>
            <w:pPr>
              <w:pStyle w:val="Normal"/>
              <w:widowControl w:val="false"/>
              <w:tabs>
                <w:tab w:val="clear" w:pos="708"/>
                <w:tab w:val="left" w:pos="851" w:leader="none"/>
              </w:tabs>
              <w:spacing w:before="0" w:after="0"/>
              <w:contextualSpacing/>
              <w:jc w:val="left"/>
              <w:rPr>
                <w:b/>
                <w:lang w:val="ru-RU"/>
              </w:rPr>
            </w:pPr>
            <w:r>
              <w:rPr>
                <w:rFonts w:eastAsia="Times New Roman" w:cs="Times New Roman"/>
                <w:b/>
                <w:kern w:val="0"/>
                <w:lang w:val="ru-RU" w:eastAsia="ru-RU" w:bidi="ar-SA"/>
              </w:rPr>
              <w:t>Акционерное общество «</w:t>
            </w:r>
            <w:r>
              <w:rPr>
                <w:rFonts w:eastAsia="Times New Roman" w:cs="Times New Roman"/>
                <w:b/>
                <w:bCs/>
                <w:kern w:val="0"/>
                <w:lang w:val="ru-RU" w:eastAsia="ru-RU" w:bidi="ar-SA"/>
              </w:rPr>
              <w:t>Сервисная Компания РусГидро</w:t>
            </w:r>
            <w:r>
              <w:rPr>
                <w:rFonts w:eastAsia="Times New Roman" w:cs="Times New Roman"/>
                <w:b/>
                <w:kern w:val="0"/>
                <w:lang w:val="ru-RU" w:eastAsia="ru-RU" w:bidi="ar-SA"/>
              </w:rPr>
              <w:t xml:space="preserve">» </w:t>
            </w:r>
          </w:p>
          <w:p>
            <w:pPr>
              <w:pStyle w:val="Normal"/>
              <w:widowControl w:val="false"/>
              <w:tabs>
                <w:tab w:val="clear" w:pos="708"/>
                <w:tab w:val="left" w:pos="851" w:leader="none"/>
              </w:tabs>
              <w:spacing w:before="0" w:after="0"/>
              <w:contextualSpacing/>
              <w:jc w:val="both"/>
              <w:rPr>
                <w:b/>
                <w:lang w:val="ru-RU"/>
              </w:rPr>
            </w:pPr>
            <w:r>
              <w:rPr>
                <w:rFonts w:eastAsia="Times New Roman" w:cs="Times New Roman"/>
                <w:b/>
                <w:kern w:val="0"/>
                <w:lang w:val="ru-RU" w:eastAsia="ru-RU" w:bidi="ar-SA"/>
              </w:rPr>
              <w:t>(</w:t>
            </w:r>
            <w:r>
              <w:rPr>
                <w:rFonts w:eastAsia="Times New Roman" w:cs="Times New Roman"/>
                <w:b/>
                <w:bCs/>
                <w:kern w:val="0"/>
                <w:lang w:val="ru-RU" w:eastAsia="ru-RU" w:bidi="ar-SA"/>
              </w:rPr>
              <w:t>АО «СК РусГидро»</w:t>
            </w:r>
            <w:r>
              <w:rPr>
                <w:rFonts w:eastAsia="Times New Roman" w:cs="Times New Roman"/>
                <w:b/>
                <w:kern w:val="0"/>
                <w:lang w:val="ru-RU" w:eastAsia="ru-RU" w:bidi="ar-SA"/>
              </w:rPr>
              <w:t>)</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 xml:space="preserve">Адрес (юридический/почтовый):  </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 xml:space="preserve">680000, Хабаровский край, г. Хабаровск, </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 xml:space="preserve">ул. Тургенева, дом 80, этаж 2, помещ. </w:t>
            </w:r>
            <w:r>
              <w:rPr>
                <w:rFonts w:eastAsia="Times New Roman" w:cs="Times New Roman"/>
                <w:kern w:val="0"/>
                <w:lang w:val="en-US" w:eastAsia="ru-RU" w:bidi="ar-SA"/>
              </w:rPr>
              <w:t>II</w:t>
            </w:r>
            <w:r>
              <w:rPr>
                <w:rFonts w:eastAsia="Times New Roman" w:cs="Times New Roman"/>
                <w:kern w:val="0"/>
                <w:lang w:val="ru-RU" w:eastAsia="ru-RU" w:bidi="ar-SA"/>
              </w:rPr>
              <w:t xml:space="preserve"> (1-13)</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ОГРН 1042502690339</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ИНН 2526007482 КПП 272101001</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р/с 40702810223022005387</w:t>
            </w:r>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 xml:space="preserve">Филиал Банка ВТБ (ПАО) в г. Хабаровске </w:t>
            </w:r>
            <w:bookmarkStart w:id="24" w:name="_GoBack"/>
            <w:bookmarkEnd w:id="24"/>
          </w:p>
          <w:p>
            <w:pPr>
              <w:pStyle w:val="Normal"/>
              <w:widowControl w:val="false"/>
              <w:tabs>
                <w:tab w:val="clear" w:pos="708"/>
                <w:tab w:val="left" w:pos="851" w:leader="none"/>
              </w:tabs>
              <w:spacing w:before="0" w:after="0"/>
              <w:contextualSpacing/>
              <w:jc w:val="both"/>
              <w:rPr>
                <w:lang w:val="ru-RU"/>
              </w:rPr>
            </w:pPr>
            <w:r>
              <w:rPr>
                <w:rFonts w:eastAsia="Times New Roman" w:cs="Times New Roman"/>
                <w:kern w:val="0"/>
                <w:lang w:val="ru-RU" w:eastAsia="ru-RU" w:bidi="ar-SA"/>
              </w:rPr>
              <w:t>к/с 30101810400000000727</w:t>
            </w:r>
          </w:p>
          <w:p>
            <w:pPr>
              <w:pStyle w:val="Normal"/>
              <w:widowControl w:val="false"/>
              <w:spacing w:before="0" w:after="0"/>
              <w:jc w:val="left"/>
              <w:rPr>
                <w:lang w:val="ru-RU"/>
              </w:rPr>
            </w:pPr>
            <w:r>
              <w:rPr>
                <w:rFonts w:eastAsia="Times New Roman" w:cs="Times New Roman"/>
                <w:kern w:val="0"/>
                <w:lang w:val="ru-RU" w:eastAsia="ru-RU" w:bidi="ar-SA"/>
              </w:rPr>
              <w:t>БИК 040813727</w:t>
            </w:r>
          </w:p>
          <w:p>
            <w:pPr>
              <w:pStyle w:val="Normal"/>
              <w:widowControl w:val="false"/>
              <w:tabs>
                <w:tab w:val="clear" w:pos="708"/>
                <w:tab w:val="left" w:pos="426" w:leader="none"/>
              </w:tabs>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xml:space="preserve">: </w:t>
            </w:r>
            <w:r>
              <w:rPr>
                <w:rFonts w:eastAsia="Times New Roman" w:cs="Times New Roman"/>
                <w:color w:val="000000"/>
                <w:kern w:val="0"/>
                <w:lang w:eastAsia="ru-RU" w:bidi="ar-SA"/>
              </w:rPr>
              <w:t>sk</w:t>
            </w:r>
            <w:r>
              <w:rPr>
                <w:rFonts w:eastAsia="Times New Roman" w:cs="Times New Roman"/>
                <w:color w:val="000000"/>
                <w:kern w:val="0"/>
                <w:lang w:val="ru-RU" w:eastAsia="ru-RU" w:bidi="ar-SA"/>
              </w:rPr>
              <w:t>@</w:t>
            </w:r>
            <w:r>
              <w:rPr>
                <w:rFonts w:eastAsia="Times New Roman" w:cs="Times New Roman"/>
                <w:color w:val="000000"/>
                <w:kern w:val="0"/>
                <w:lang w:eastAsia="ru-RU" w:bidi="ar-SA"/>
              </w:rPr>
              <w:t>rushydro</w:t>
            </w:r>
            <w:r>
              <w:rPr>
                <w:rFonts w:eastAsia="Times New Roman" w:cs="Times New Roman"/>
                <w:color w:val="000000"/>
                <w:kern w:val="0"/>
                <w:lang w:val="ru-RU" w:eastAsia="ru-RU" w:bidi="ar-SA"/>
              </w:rPr>
              <w:t>.</w:t>
            </w:r>
            <w:r>
              <w:rPr>
                <w:rFonts w:eastAsia="Times New Roman" w:cs="Times New Roman"/>
                <w:color w:val="000000"/>
                <w:kern w:val="0"/>
                <w:lang w:eastAsia="ru-RU" w:bidi="ar-SA"/>
              </w:rPr>
              <w:t>r</w:t>
            </w:r>
            <w:r>
              <w:rPr>
                <w:rFonts w:eastAsia="Times New Roman" w:cs="Times New Roman"/>
                <w:color w:val="000000"/>
                <w:kern w:val="0"/>
                <w:lang w:val="en-US" w:eastAsia="ru-RU" w:bidi="ar-SA"/>
              </w:rPr>
              <w:t>u</w:t>
            </w:r>
          </w:p>
        </w:tc>
        <w:tc>
          <w:tcPr>
            <w:tcW w:w="5244" w:type="dxa"/>
            <w:tcBorders>
              <w:top w:val="nil"/>
              <w:left w:val="nil"/>
              <w:bottom w:val="nil"/>
              <w:right w:val="nil"/>
            </w:tcBorders>
          </w:tcPr>
          <w:p>
            <w:pPr>
              <w:pStyle w:val="Normal"/>
              <w:widowControl w:val="false"/>
              <w:tabs>
                <w:tab w:val="clear" w:pos="708"/>
                <w:tab w:val="left" w:pos="5638" w:leader="none"/>
              </w:tabs>
              <w:spacing w:before="0" w:after="0"/>
              <w:ind w:right="-22" w:hanging="0"/>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__________________________________</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________________________</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__________ КПП __________</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___________________________</w:t>
            </w:r>
          </w:p>
          <w:p>
            <w:pPr>
              <w:pStyle w:val="Normal"/>
              <w:widowControl w:val="false"/>
              <w:tabs>
                <w:tab w:val="clear" w:pos="708"/>
                <w:tab w:val="left" w:pos="5638" w:leader="none"/>
              </w:tabs>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______________________________</w:t>
            </w:r>
          </w:p>
          <w:p>
            <w:pPr>
              <w:pStyle w:val="Normal"/>
              <w:widowControl w:val="false"/>
              <w:tabs>
                <w:tab w:val="clear" w:pos="708"/>
                <w:tab w:val="left" w:pos="5638" w:leader="none"/>
              </w:tabs>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К/с ___________________________</w:t>
            </w:r>
          </w:p>
          <w:p>
            <w:pPr>
              <w:pStyle w:val="Normal"/>
              <w:widowControl w:val="false"/>
              <w:tabs>
                <w:tab w:val="clear" w:pos="708"/>
                <w:tab w:val="left" w:pos="5638" w:leader="none"/>
              </w:tabs>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БИК___________________________</w:t>
            </w:r>
          </w:p>
          <w:p>
            <w:pPr>
              <w:pStyle w:val="Normal"/>
              <w:widowControl w:val="false"/>
              <w:tabs>
                <w:tab w:val="clear" w:pos="708"/>
                <w:tab w:val="left" w:pos="5638" w:leader="none"/>
              </w:tabs>
              <w:spacing w:lineRule="auto" w:line="192" w:before="0" w:after="0"/>
              <w:ind w:left="1094" w:right="-23" w:hanging="1094"/>
              <w:jc w:val="left"/>
              <w:rPr>
                <w:color w:val="000000"/>
                <w:spacing w:val="-2"/>
                <w:sz w:val="20"/>
                <w:szCs w:val="20"/>
                <w:lang w:val="ru-RU"/>
              </w:rPr>
            </w:pPr>
            <w:r>
              <w:rPr>
                <w:rFonts w:eastAsia="Times New Roman" w:cs="Times New Roman"/>
                <w:color w:val="000000"/>
                <w:spacing w:val="-2"/>
                <w:kern w:val="0"/>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pacing w:before="0" w:after="0"/>
              <w:jc w:val="left"/>
              <w:rPr>
                <w:lang w:val="ru-RU"/>
              </w:rPr>
            </w:pPr>
            <w:r>
              <w:rPr>
                <w:rFonts w:eastAsia="Times New Roman" w:cs="Times New Roman"/>
                <w:kern w:val="0"/>
                <w:lang w:val="ru-RU" w:eastAsia="ru-RU" w:bidi="ar-SA"/>
              </w:rPr>
              <w:t>_______________________________</w:t>
            </w:r>
          </w:p>
          <w:p>
            <w:pPr>
              <w:pStyle w:val="Normal"/>
              <w:widowControl w:val="false"/>
              <w:tabs>
                <w:tab w:val="clear" w:pos="708"/>
                <w:tab w:val="left" w:pos="426" w:leader="none"/>
              </w:tabs>
              <w:spacing w:before="0" w:after="0"/>
              <w:jc w:val="left"/>
              <w:rPr>
                <w:sz w:val="20"/>
                <w:szCs w:val="20"/>
                <w:lang w:val="ru-RU"/>
              </w:rPr>
            </w:pPr>
            <w:r>
              <w:rPr>
                <w:rFonts w:eastAsia="Times New Roman" w:cs="Times New Roman"/>
                <w:kern w:val="0"/>
                <w:sz w:val="20"/>
                <w:szCs w:val="20"/>
                <w:lang w:val="ru-RU" w:eastAsia="ru-RU" w:bidi="ar-SA"/>
              </w:rPr>
              <w:t>(номер телефона, адрес электронной почты)</w:t>
            </w:r>
          </w:p>
          <w:p>
            <w:pPr>
              <w:pStyle w:val="Normal"/>
              <w:widowControl w:val="false"/>
              <w:tabs>
                <w:tab w:val="clear" w:pos="708"/>
                <w:tab w:val="left" w:pos="426" w:leader="none"/>
              </w:tabs>
              <w:spacing w:before="0" w:after="0"/>
              <w:jc w:val="left"/>
              <w:rPr>
                <w:b/>
                <w:bCs/>
                <w:color w:val="000000"/>
                <w:lang w:val="ru-RU"/>
              </w:rPr>
            </w:pPr>
            <w:r>
              <w:rPr>
                <w:b/>
                <w:bCs/>
                <w:color w:val="000000"/>
                <w:lang w:val="ru-RU"/>
              </w:rPr>
            </w:r>
          </w:p>
        </w:tc>
      </w:tr>
      <w:tr>
        <w:trPr/>
        <w:tc>
          <w:tcPr>
            <w:tcW w:w="4956" w:type="dxa"/>
            <w:tcBorders>
              <w:top w:val="nil"/>
              <w:left w:val="nil"/>
              <w:bottom w:val="nil"/>
              <w:right w:val="nil"/>
            </w:tcBorders>
          </w:tcPr>
          <w:p>
            <w:pPr>
              <w:pStyle w:val="Normal"/>
              <w:widowControl w:val="false"/>
              <w:spacing w:before="0" w:after="0"/>
              <w:jc w:val="left"/>
              <w:rPr>
                <w:lang w:val="ru-RU"/>
              </w:rPr>
            </w:pPr>
            <w:r>
              <w:rPr>
                <w:rFonts w:eastAsia="Times New Roman" w:cs="Times New Roman"/>
                <w:kern w:val="0"/>
                <w:lang w:val="ru-RU" w:eastAsia="ru-RU" w:bidi="ar-SA"/>
              </w:rPr>
              <w:t xml:space="preserve">Заместитель Генерального директора по управлению ресурсами </w:t>
            </w:r>
          </w:p>
          <w:p>
            <w:pPr>
              <w:pStyle w:val="Normal"/>
              <w:widowControl w:val="false"/>
              <w:spacing w:before="0" w:after="0"/>
              <w:jc w:val="left"/>
              <w:rPr>
                <w:lang w:val="ru-RU"/>
              </w:rPr>
            </w:pPr>
            <w:r>
              <w:rPr>
                <w:lang w:val="ru-RU"/>
              </w:rPr>
            </w:r>
          </w:p>
          <w:p>
            <w:pPr>
              <w:pStyle w:val="Normal"/>
              <w:widowControl w:val="false"/>
              <w:spacing w:before="0" w:after="0"/>
              <w:jc w:val="left"/>
              <w:rPr>
                <w:lang w:val="ru-RU"/>
              </w:rPr>
            </w:pPr>
            <w:r>
              <w:rPr>
                <w:lang w:val="ru-RU"/>
              </w:rPr>
            </w:r>
          </w:p>
          <w:p>
            <w:pPr>
              <w:pStyle w:val="Normal"/>
              <w:widowControl w:val="false"/>
              <w:spacing w:before="0" w:after="0"/>
              <w:jc w:val="left"/>
              <w:rPr>
                <w:lang w:val="ru-RU"/>
              </w:rPr>
            </w:pPr>
            <w:r>
              <w:rPr>
                <w:lang w:val="ru-RU"/>
              </w:rPr>
            </w:r>
          </w:p>
          <w:p>
            <w:pPr>
              <w:pStyle w:val="Normal"/>
              <w:widowControl w:val="false"/>
              <w:spacing w:before="0" w:after="0"/>
              <w:jc w:val="left"/>
              <w:rPr>
                <w:lang w:val="ru-RU"/>
              </w:rPr>
            </w:pPr>
            <w:r>
              <w:rPr>
                <w:rFonts w:eastAsia="Times New Roman" w:cs="Times New Roman"/>
                <w:kern w:val="0"/>
                <w:lang w:val="ru-RU" w:eastAsia="ru-RU" w:bidi="ar-SA"/>
              </w:rPr>
              <w:t xml:space="preserve">____________________ / Н.Н. Клочков </w:t>
            </w:r>
          </w:p>
        </w:tc>
        <w:tc>
          <w:tcPr>
            <w:tcW w:w="5244" w:type="dxa"/>
            <w:tcBorders>
              <w:top w:val="nil"/>
              <w:left w:val="nil"/>
              <w:bottom w:val="nil"/>
              <w:right w:val="nil"/>
            </w:tcBorders>
          </w:tcPr>
          <w:p>
            <w:pPr>
              <w:pStyle w:val="Normal"/>
              <w:widowControl w:val="false"/>
              <w:tabs>
                <w:tab w:val="clear" w:pos="708"/>
                <w:tab w:val="left" w:pos="426" w:leader="none"/>
              </w:tabs>
              <w:spacing w:before="0" w:after="0"/>
              <w:jc w:val="left"/>
              <w:rPr>
                <w:b/>
                <w:bCs/>
                <w:color w:val="000000"/>
                <w:lang w:val="ru-RU"/>
              </w:rPr>
            </w:pPr>
            <w:r>
              <w:rPr>
                <w:rFonts w:eastAsia="Times New Roman" w:cs="Times New Roman"/>
                <w:b/>
                <w:bCs/>
                <w:color w:val="000000"/>
                <w:kern w:val="0"/>
                <w:lang w:val="ru-RU" w:eastAsia="ru-RU" w:bidi="ar-SA"/>
              </w:rPr>
              <w:t>_______________________________</w:t>
            </w:r>
          </w:p>
          <w:p>
            <w:pPr>
              <w:pStyle w:val="Normal"/>
              <w:widowControl w:val="false"/>
              <w:tabs>
                <w:tab w:val="clear" w:pos="708"/>
                <w:tab w:val="left" w:pos="426" w:leader="none"/>
              </w:tabs>
              <w:spacing w:before="0" w:after="0"/>
              <w:jc w:val="left"/>
              <w:rPr>
                <w:b/>
                <w:bCs/>
                <w:color w:val="000000"/>
                <w:lang w:val="ru-RU"/>
              </w:rPr>
            </w:pPr>
            <w:r>
              <w:rPr>
                <w:b/>
                <w:bCs/>
                <w:color w:val="000000"/>
                <w:lang w:val="ru-RU"/>
              </w:rPr>
            </w:r>
          </w:p>
          <w:p>
            <w:pPr>
              <w:pStyle w:val="Normal"/>
              <w:widowControl w:val="false"/>
              <w:tabs>
                <w:tab w:val="clear" w:pos="708"/>
                <w:tab w:val="left" w:pos="426" w:leader="none"/>
              </w:tabs>
              <w:spacing w:before="0" w:after="0"/>
              <w:jc w:val="left"/>
              <w:rPr>
                <w:b/>
                <w:bCs/>
                <w:color w:val="000000"/>
                <w:lang w:val="ru-RU"/>
              </w:rPr>
            </w:pPr>
            <w:r>
              <w:rPr>
                <w:b/>
                <w:bCs/>
                <w:color w:val="000000"/>
                <w:lang w:val="ru-RU"/>
              </w:rPr>
            </w:r>
          </w:p>
          <w:p>
            <w:pPr>
              <w:pStyle w:val="Normal"/>
              <w:widowControl w:val="false"/>
              <w:tabs>
                <w:tab w:val="clear" w:pos="708"/>
                <w:tab w:val="left" w:pos="426" w:leader="none"/>
              </w:tabs>
              <w:spacing w:before="0" w:after="0"/>
              <w:jc w:val="left"/>
              <w:rPr>
                <w:b/>
                <w:bCs/>
                <w:color w:val="000000"/>
                <w:lang w:val="ru-RU"/>
              </w:rPr>
            </w:pPr>
            <w:r>
              <w:rPr>
                <w:b/>
                <w:bCs/>
                <w:color w:val="000000"/>
                <w:lang w:val="ru-RU"/>
              </w:rPr>
            </w:r>
          </w:p>
          <w:p>
            <w:pPr>
              <w:pStyle w:val="Normal"/>
              <w:widowControl w:val="false"/>
              <w:tabs>
                <w:tab w:val="clear" w:pos="708"/>
                <w:tab w:val="left" w:pos="426" w:leader="none"/>
              </w:tabs>
              <w:spacing w:before="0" w:after="0"/>
              <w:jc w:val="left"/>
              <w:rPr>
                <w:b/>
                <w:bCs/>
                <w:color w:val="000000"/>
                <w:lang w:val="ru-RU"/>
              </w:rPr>
            </w:pPr>
            <w:r>
              <w:rPr>
                <w:rFonts w:eastAsia="Times New Roman" w:cs="Times New Roman"/>
                <w:b/>
                <w:bCs/>
                <w:color w:val="000000"/>
                <w:kern w:val="0"/>
                <w:lang w:val="ru-RU" w:eastAsia="ru-RU" w:bidi="ar-SA"/>
              </w:rPr>
              <w:t>____________________ / _____________</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rPr/>
      </w:pPr>
      <w:r>
        <w:rPr/>
      </w:r>
    </w:p>
    <w:p>
      <w:pPr>
        <w:pStyle w:val="Normal"/>
        <w:jc w:val="center"/>
        <w:rPr>
          <w:rFonts w:eastAsia="Calibri"/>
          <w:b/>
          <w:bCs/>
        </w:rPr>
      </w:pPr>
      <w:r>
        <w:rPr>
          <w:rFonts w:eastAsia="Calibri"/>
          <w:b/>
          <w:bCs/>
        </w:rPr>
        <w:t>Технические требования на оказание услуг</w:t>
      </w:r>
    </w:p>
    <w:p>
      <w:pPr>
        <w:pStyle w:val="Normal"/>
        <w:rPr>
          <w:rFonts w:eastAsia="Calibri"/>
        </w:rPr>
      </w:pPr>
      <w:r>
        <w:rPr>
          <w:rFonts w:eastAsia="Calibri"/>
        </w:rPr>
      </w:r>
    </w:p>
    <w:p>
      <w:pPr>
        <w:pStyle w:val="Normal"/>
        <w:jc w:val="center"/>
        <w:rPr>
          <w:rFonts w:eastAsia="Calibri"/>
          <w:b/>
          <w:bCs/>
        </w:rPr>
      </w:pPr>
      <w:r>
        <w:rPr>
          <w:rFonts w:eastAsia="Calibri"/>
          <w:b/>
          <w:bCs/>
        </w:rPr>
        <w:t>«</w:t>
      </w:r>
      <w:r>
        <w:rPr>
          <w:rFonts w:eastAsia="Calibri"/>
          <w:b/>
          <w:bCs/>
          <w:shd w:fill="auto" w:val="clear"/>
        </w:rPr>
        <w:t>ОКПД2 49.39.13.000 Оказание транспортных услуг по доставке сотрудников до места работы: филиал ПАО «РусГидро»-«Чебоксарская ГЭС»</w:t>
      </w:r>
    </w:p>
    <w:p>
      <w:pPr>
        <w:pStyle w:val="Normal"/>
        <w:jc w:val="center"/>
        <w:rPr>
          <w:rFonts w:eastAsia="Calibri"/>
          <w:b/>
          <w:bCs/>
          <w:highlight w:val="none"/>
          <w:shd w:fill="auto" w:val="clear"/>
        </w:rPr>
      </w:pPr>
      <w:r>
        <w:rPr>
          <w:rFonts w:eastAsia="Calibri"/>
          <w:b/>
          <w:bCs/>
          <w:shd w:fill="auto" w:val="clear"/>
        </w:rPr>
      </w:r>
    </w:p>
    <w:p>
      <w:pPr>
        <w:pStyle w:val="Normal"/>
        <w:jc w:val="center"/>
        <w:rPr>
          <w:highlight w:val="none"/>
          <w:shd w:fill="auto" w:val="clear"/>
        </w:rPr>
      </w:pPr>
      <w:r>
        <w:rPr>
          <w:rFonts w:eastAsia="Calibri"/>
          <w:b/>
          <w:bCs/>
          <w:shd w:fill="auto" w:val="clear"/>
        </w:rPr>
        <w:t>Лот № 0004-ПРО ДЭК-2027-СК РусГидро</w:t>
      </w:r>
    </w:p>
    <w:p>
      <w:pPr>
        <w:pStyle w:val="Normal"/>
        <w:rPr>
          <w:rFonts w:eastAsia="Calibri"/>
          <w:highlight w:val="none"/>
          <w:shd w:fill="auto" w:val="clear"/>
        </w:rPr>
      </w:pPr>
      <w:r>
        <w:rPr>
          <w:rFonts w:eastAsia="Calibri"/>
          <w:shd w:fill="auto" w:val="clear"/>
        </w:rPr>
      </w:r>
    </w:p>
    <w:p>
      <w:pPr>
        <w:pStyle w:val="Normal"/>
        <w:keepNext w:val="true"/>
        <w:keepLines/>
        <w:jc w:val="both"/>
        <w:rPr>
          <w:sz w:val="26"/>
          <w:szCs w:val="26"/>
          <w:highlight w:val="none"/>
          <w:shd w:fill="auto" w:val="clear"/>
        </w:rPr>
      </w:pPr>
      <w:r>
        <w:rPr>
          <w:sz w:val="26"/>
          <w:szCs w:val="26"/>
          <w:shd w:fill="auto" w:val="clear"/>
        </w:rPr>
      </w:r>
    </w:p>
    <w:p>
      <w:pPr>
        <w:pStyle w:val="Normal"/>
        <w:rPr>
          <w:sz w:val="26"/>
          <w:szCs w:val="26"/>
        </w:rPr>
      </w:pPr>
      <w:r>
        <w:rPr>
          <w:sz w:val="26"/>
          <w:szCs w:val="26"/>
        </w:rPr>
      </w:r>
      <w:r>
        <w:br w:type="page"/>
      </w:r>
    </w:p>
    <w:p>
      <w:pPr>
        <w:pStyle w:val="Normal"/>
        <w:keepNext w:val="true"/>
        <w:keepLines/>
        <w:jc w:val="both"/>
        <w:rPr>
          <w:rFonts w:eastAsia="Calibri"/>
          <w:b/>
          <w:i/>
          <w:i/>
          <w:sz w:val="24"/>
          <w:szCs w:val="24"/>
        </w:rPr>
      </w:pPr>
      <w:r>
        <w:rPr>
          <w:rFonts w:eastAsia="Calibri"/>
          <w:b/>
          <w:i/>
          <w:sz w:val="24"/>
          <w:szCs w:val="24"/>
        </w:rPr>
      </w:r>
    </w:p>
    <w:p>
      <w:pPr>
        <w:pStyle w:val="Normal"/>
        <w:numPr>
          <w:ilvl w:val="0"/>
          <w:numId w:val="0"/>
        </w:numPr>
        <w:ind w:left="0" w:hanging="0"/>
        <w:jc w:val="center"/>
        <w:outlineLvl w:val="0"/>
        <w:rPr>
          <w:rFonts w:eastAsia="Calibri"/>
          <w:caps/>
          <w:lang w:val="x-none" w:eastAsia="x-none"/>
        </w:rPr>
      </w:pPr>
      <w:r>
        <w:rPr>
          <w:rFonts w:eastAsia="Calibri" w:cs="Times New Roman"/>
          <w:b/>
          <w:bCs/>
          <w:color w:val="auto"/>
          <w:kern w:val="0"/>
          <w:sz w:val="24"/>
          <w:szCs w:val="24"/>
          <w:lang w:val="ru-RU" w:eastAsia="ru-RU" w:bidi="ar-SA"/>
        </w:rPr>
        <w:t>1. Общие</w:t>
      </w:r>
      <w:r>
        <w:rPr>
          <w:rFonts w:eastAsia="Calibri"/>
          <w:lang w:val="x-none" w:eastAsia="x-none"/>
        </w:rPr>
        <w:t xml:space="preserve"> </w:t>
      </w:r>
      <w:r>
        <w:rPr>
          <w:rFonts w:eastAsia="Calibri" w:cs="Times New Roman"/>
          <w:b/>
          <w:bCs/>
          <w:color w:val="auto"/>
          <w:kern w:val="0"/>
          <w:sz w:val="24"/>
          <w:szCs w:val="24"/>
          <w:lang w:val="ru-RU" w:eastAsia="ru-RU" w:bidi="ar-SA"/>
        </w:rPr>
        <w:t>сведения</w:t>
      </w:r>
    </w:p>
    <w:p>
      <w:pPr>
        <w:pStyle w:val="Normal"/>
        <w:numPr>
          <w:ilvl w:val="0"/>
          <w:numId w:val="0"/>
        </w:numPr>
        <w:ind w:left="0" w:hanging="0"/>
        <w:outlineLvl w:val="0"/>
        <w:rPr>
          <w:rFonts w:ascii="Times New Roman" w:hAnsi="Times New Roman" w:eastAsia="Calibri" w:cs="Times New Roman"/>
          <w:b/>
          <w:bCs/>
          <w:color w:val="auto"/>
          <w:kern w:val="0"/>
          <w:sz w:val="24"/>
          <w:szCs w:val="24"/>
          <w:lang w:val="ru-RU" w:eastAsia="ru-RU" w:bidi="ar-SA"/>
        </w:rPr>
      </w:pPr>
      <w:r>
        <w:rPr>
          <w:rFonts w:eastAsia="Calibri" w:cs="Times New Roman"/>
          <w:b/>
          <w:bCs/>
          <w:color w:val="auto"/>
          <w:kern w:val="0"/>
          <w:sz w:val="24"/>
          <w:szCs w:val="24"/>
          <w:lang w:val="ru-RU" w:eastAsia="ru-RU" w:bidi="ar-SA"/>
        </w:rPr>
      </w:r>
    </w:p>
    <w:p>
      <w:pPr>
        <w:pStyle w:val="Normal"/>
        <w:keepNext w:val="true"/>
        <w:numPr>
          <w:ilvl w:val="0"/>
          <w:numId w:val="0"/>
        </w:numPr>
        <w:ind w:left="0" w:firstLine="709"/>
        <w:outlineLvl w:val="3"/>
        <w:rPr>
          <w:rFonts w:eastAsia="Calibri"/>
          <w:bCs/>
          <w:sz w:val="24"/>
          <w:szCs w:val="24"/>
          <w:lang w:val="x-none" w:eastAsia="x-none"/>
        </w:rPr>
      </w:pPr>
      <w:r>
        <w:rPr>
          <w:rFonts w:eastAsia="Calibri" w:cs="Times New Roman"/>
          <w:b/>
          <w:bCs/>
          <w:color w:val="auto"/>
          <w:kern w:val="0"/>
          <w:sz w:val="24"/>
          <w:szCs w:val="24"/>
          <w:lang w:val="ru-RU" w:eastAsia="ru-RU" w:bidi="ar-SA"/>
        </w:rPr>
        <w:t>1.1. Обозначения</w:t>
      </w:r>
      <w:r>
        <w:rPr>
          <w:rFonts w:eastAsia="Calibri"/>
          <w:bCs/>
          <w:sz w:val="24"/>
          <w:szCs w:val="24"/>
          <w:lang w:val="x-none" w:eastAsia="x-none"/>
        </w:rPr>
        <w:t xml:space="preserve"> </w:t>
      </w:r>
      <w:r>
        <w:rPr>
          <w:rFonts w:eastAsia="Calibri"/>
          <w:b/>
          <w:bCs/>
          <w:sz w:val="24"/>
          <w:szCs w:val="24"/>
          <w:lang w:val="x-none" w:eastAsia="x-none"/>
        </w:rPr>
        <w:t xml:space="preserve">и </w:t>
      </w:r>
      <w:r>
        <w:rPr>
          <w:rFonts w:eastAsia="Calibri" w:cs="Times New Roman"/>
          <w:b/>
          <w:bCs/>
          <w:color w:val="auto"/>
          <w:kern w:val="0"/>
          <w:sz w:val="24"/>
          <w:szCs w:val="24"/>
          <w:lang w:val="ru-RU" w:eastAsia="ru-RU" w:bidi="ar-SA"/>
        </w:rPr>
        <w:t>сокращения</w:t>
      </w:r>
    </w:p>
    <w:tbl>
      <w:tblPr>
        <w:tblW w:w="9783"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3964"/>
        <w:gridCol w:w="5818"/>
      </w:tblGrid>
      <w:tr>
        <w:trPr>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Технические требования (ТТ)</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Настоящие Технические требования</w:t>
            </w:r>
          </w:p>
        </w:tc>
      </w:tr>
      <w:tr>
        <w:trPr>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Заказчик</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АО «СК РусГидро»</w:t>
            </w:r>
          </w:p>
        </w:tc>
      </w:tr>
      <w:tr>
        <w:trPr>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Филиалы</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филиал ПАО «РусГидро» - «Чебоксарская ГЭС».</w:t>
            </w:r>
          </w:p>
        </w:tc>
      </w:tr>
      <w:tr>
        <w:trPr>
          <w:trHeight w:val="209" w:hRule="atLeast"/>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Объекты (Объект воздействия)</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 xml:space="preserve">Перевозка пассажиров (сотрудников) к месту работы в филиалы и обратно </w:t>
            </w:r>
          </w:p>
        </w:tc>
      </w:tr>
      <w:tr>
        <w:trPr>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Исполнитель</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 xml:space="preserve">Исполнителем по договору может быть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за исключением юридического /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из числа лиц, </w:t>
            </w:r>
            <w:r>
              <w:rPr>
                <w:rFonts w:eastAsia="Calibri"/>
                <w:b/>
                <w:bCs/>
                <w:sz w:val="22"/>
                <w:szCs w:val="22"/>
              </w:rPr>
              <w:t>относящихся к субъектам МСП</w:t>
            </w:r>
            <w:r>
              <w:rPr>
                <w:rFonts w:eastAsia="Calibri"/>
                <w:sz w:val="22"/>
                <w:szCs w:val="22"/>
              </w:rPr>
              <w:t>, а также физические лица, не являющиеся индивидуальными предпринимателями и имеющими специальный налоговой режим «Налог профессиональный доход».</w:t>
            </w:r>
          </w:p>
        </w:tc>
      </w:tr>
      <w:tr>
        <w:trPr>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 xml:space="preserve">Субъект МСП </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Субъект малого и среднего предпринимательства субъект МСП) – определяется в соответствии с Федеральным законом от 24.07.2007 № 209-ФЗ «О развитии малого и среднего предпринимательства в Российской Федерации».</w:t>
            </w:r>
          </w:p>
        </w:tc>
      </w:tr>
      <w:tr>
        <w:trPr>
          <w:cantSplit w:val="true"/>
        </w:trPr>
        <w:tc>
          <w:tcPr>
            <w:tcW w:w="396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СТО</w:t>
            </w:r>
          </w:p>
        </w:tc>
        <w:tc>
          <w:tcPr>
            <w:tcW w:w="581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bCs/>
                <w:sz w:val="24"/>
                <w:szCs w:val="24"/>
                <w:shd w:fill="FFFF99" w:val="clear"/>
              </w:rPr>
            </w:pPr>
            <w:r>
              <w:rPr>
                <w:rFonts w:eastAsia="Calibri"/>
                <w:sz w:val="22"/>
                <w:szCs w:val="22"/>
              </w:rPr>
              <w:t>Стандарт обслуживания зданий и территорий Группы РусГидро, утверждённый приказом ПАО «РусГидро» от 07.10.2022 №750</w:t>
            </w:r>
          </w:p>
        </w:tc>
      </w:tr>
    </w:tbl>
    <w:p>
      <w:pPr>
        <w:pStyle w:val="Normal"/>
        <w:keepNext w:val="true"/>
        <w:keepLines/>
        <w:jc w:val="both"/>
        <w:rPr>
          <w:sz w:val="24"/>
          <w:szCs w:val="24"/>
        </w:rPr>
      </w:pPr>
      <w:r>
        <w:rPr>
          <w:sz w:val="24"/>
          <w:szCs w:val="24"/>
        </w:rPr>
      </w:r>
    </w:p>
    <w:p>
      <w:pPr>
        <w:pStyle w:val="Normal"/>
        <w:keepNext w:val="true"/>
        <w:keepLines/>
        <w:jc w:val="both"/>
        <w:rPr>
          <w:sz w:val="24"/>
          <w:szCs w:val="24"/>
        </w:rPr>
      </w:pPr>
      <w:r>
        <w:rPr>
          <w:sz w:val="24"/>
          <w:szCs w:val="24"/>
        </w:rPr>
      </w:r>
    </w:p>
    <w:p>
      <w:pPr>
        <w:pStyle w:val="Normal"/>
        <w:keepNext w:val="true"/>
        <w:keepLines/>
        <w:rPr>
          <w:sz w:val="24"/>
          <w:szCs w:val="24"/>
        </w:rPr>
      </w:pPr>
      <w:r>
        <w:rPr>
          <w:sz w:val="24"/>
          <w:szCs w:val="24"/>
        </w:rPr>
      </w:r>
      <w:r>
        <w:br w:type="page"/>
      </w:r>
    </w:p>
    <w:p>
      <w:pPr>
        <w:pStyle w:val="ListParagraph"/>
        <w:spacing w:before="0" w:after="0"/>
        <w:ind w:left="0" w:right="0" w:firstLine="709"/>
        <w:contextualSpacing w:val="false"/>
        <w:rPr/>
      </w:pPr>
      <w:r>
        <w:rPr>
          <w:b/>
          <w:bCs/>
        </w:rPr>
        <w:t xml:space="preserve">1.2. </w:t>
      </w:r>
      <w:bookmarkStart w:id="25" w:name="_Toc46743506_Копия_1"/>
      <w:bookmarkStart w:id="26" w:name="_Toc54643696_Копия_1"/>
      <w:r>
        <w:rPr>
          <w:b/>
          <w:bCs/>
        </w:rPr>
        <w:t>Наименование</w:t>
      </w:r>
      <w:r>
        <w:rPr/>
        <w:t xml:space="preserve"> </w:t>
      </w:r>
      <w:r>
        <w:rPr>
          <w:b/>
          <w:bCs/>
        </w:rPr>
        <w:t>закупаемой продукции</w:t>
      </w:r>
      <w:bookmarkEnd w:id="25"/>
      <w:bookmarkEnd w:id="26"/>
    </w:p>
    <w:p>
      <w:pPr>
        <w:pStyle w:val="Normal"/>
        <w:widowControl w:val="false"/>
        <w:tabs>
          <w:tab w:val="clear" w:pos="708"/>
          <w:tab w:val="left" w:pos="426" w:leader="none"/>
        </w:tabs>
        <w:spacing w:before="0" w:after="0"/>
        <w:ind w:left="0" w:right="0" w:firstLine="709"/>
        <w:jc w:val="both"/>
        <w:rPr/>
      </w:pPr>
      <w:r>
        <w:rPr>
          <w:rStyle w:val="Style19"/>
          <w:rFonts w:eastAsia="Calibri" w:cs="Times New Roman"/>
          <w:b w:val="false"/>
          <w:bCs w:val="false"/>
          <w:i w:val="false"/>
          <w:iCs w:val="false"/>
          <w:color w:val="000000"/>
          <w:kern w:val="0"/>
          <w:sz w:val="24"/>
          <w:szCs w:val="24"/>
          <w:shd w:fill="auto" w:val="clear"/>
          <w:lang w:val="en-GB" w:eastAsia="x-none" w:bidi="ar-SA"/>
        </w:rPr>
        <w:t>ОКПД2 49.39.13.000 Оказание транспортных услуг по доставке сотрудников до места работы: филиал ПАО «РусГидро»-«Чебоксарская ГЭС»</w:t>
      </w:r>
    </w:p>
    <w:p>
      <w:pPr>
        <w:pStyle w:val="Normal"/>
        <w:widowControl w:val="false"/>
        <w:tabs>
          <w:tab w:val="clear" w:pos="708"/>
          <w:tab w:val="left" w:pos="426" w:leader="none"/>
        </w:tabs>
        <w:spacing w:before="0" w:after="0"/>
        <w:ind w:left="0" w:right="0" w:firstLine="709"/>
        <w:jc w:val="both"/>
        <w:rPr>
          <w:b w:val="false"/>
          <w:bCs/>
          <w:sz w:val="24"/>
          <w:szCs w:val="24"/>
        </w:rPr>
      </w:pPr>
      <w:r>
        <w:rPr>
          <w:b w:val="false"/>
          <w:bCs/>
          <w:sz w:val="24"/>
          <w:szCs w:val="24"/>
        </w:rPr>
      </w:r>
    </w:p>
    <w:p>
      <w:pPr>
        <w:pStyle w:val="ListParagraph"/>
        <w:spacing w:before="0" w:after="0"/>
        <w:ind w:left="0" w:right="0" w:firstLine="709"/>
        <w:contextualSpacing w:val="false"/>
        <w:rPr/>
      </w:pPr>
      <w:r>
        <w:rPr>
          <w:b/>
          <w:bCs/>
        </w:rPr>
        <w:t xml:space="preserve">1.3. </w:t>
      </w:r>
      <w:bookmarkStart w:id="27" w:name="_Toc54643697_Копия_1"/>
      <w:bookmarkStart w:id="28" w:name="_Toc46743507_Копия_1"/>
      <w:r>
        <w:rPr>
          <w:b/>
          <w:bCs/>
        </w:rPr>
        <w:t xml:space="preserve">Цель </w:t>
      </w:r>
      <w:bookmarkEnd w:id="28"/>
      <w:r>
        <w:rPr>
          <w:b/>
          <w:bCs/>
        </w:rPr>
        <w:t>оказания услуг</w:t>
      </w:r>
      <w:bookmarkEnd w:id="27"/>
    </w:p>
    <w:p>
      <w:pPr>
        <w:pStyle w:val="Normal"/>
        <w:widowControl w:val="false"/>
        <w:tabs>
          <w:tab w:val="clear" w:pos="708"/>
          <w:tab w:val="left" w:pos="426" w:leader="none"/>
        </w:tabs>
        <w:spacing w:before="0" w:after="0"/>
        <w:ind w:left="0" w:right="0" w:firstLine="709"/>
        <w:jc w:val="both"/>
        <w:rPr/>
      </w:pPr>
      <w:r>
        <w:rPr>
          <w:rFonts w:eastAsia="Calibri"/>
          <w:sz w:val="24"/>
          <w:szCs w:val="24"/>
          <w:lang w:eastAsia="x-none"/>
        </w:rPr>
        <w:t>В целях исполнения доходного договора заключенного между АО «СК РусГидро» и филиалом ПАО «РусГидро» - «Чебоксарская ГЭС».</w:t>
      </w:r>
    </w:p>
    <w:p>
      <w:pPr>
        <w:pStyle w:val="Normal"/>
        <w:widowControl w:val="false"/>
        <w:tabs>
          <w:tab w:val="clear" w:pos="708"/>
          <w:tab w:val="left" w:pos="426" w:leader="none"/>
        </w:tabs>
        <w:spacing w:before="0" w:after="0"/>
        <w:ind w:left="0" w:right="0" w:firstLine="709"/>
        <w:jc w:val="both"/>
        <w:rPr/>
      </w:pPr>
      <w:r>
        <w:rPr>
          <w:rFonts w:eastAsia="Calibri"/>
          <w:sz w:val="24"/>
          <w:szCs w:val="24"/>
          <w:lang w:eastAsia="x-none"/>
        </w:rPr>
        <w:t xml:space="preserve">Предоставление транспортных средств с водителем для перевозки сотрудников, задействованных в обслуживании задний и помещений филиала ПАО «РусГидро» - «Чебоксарская ГЭС», </w:t>
      </w:r>
      <w:r>
        <w:rPr>
          <w:rFonts w:eastAsia="Calibri"/>
          <w:color w:val="000000"/>
          <w:sz w:val="24"/>
          <w:szCs w:val="24"/>
          <w:lang w:eastAsia="x-none"/>
        </w:rPr>
        <w:t>находящегося по адресу Чувашская Республика, г. Новочебоксарск, ул. Набережная, влд. 34.</w:t>
      </w:r>
    </w:p>
    <w:p>
      <w:pPr>
        <w:pStyle w:val="Normal"/>
        <w:widowControl w:val="false"/>
        <w:tabs>
          <w:tab w:val="clear" w:pos="708"/>
          <w:tab w:val="left" w:pos="426" w:leader="none"/>
        </w:tabs>
        <w:spacing w:before="0" w:after="0"/>
        <w:ind w:left="0" w:right="0" w:firstLine="709"/>
        <w:jc w:val="both"/>
        <w:rPr>
          <w:rFonts w:eastAsia="Calibri"/>
          <w:b w:val="false"/>
          <w:i w:val="false"/>
          <w:i w:val="false"/>
          <w:sz w:val="24"/>
          <w:szCs w:val="24"/>
          <w:shd w:fill="auto" w:val="clear"/>
          <w:lang w:eastAsia="x-none"/>
        </w:rPr>
      </w:pPr>
      <w:r>
        <w:rPr>
          <w:rFonts w:eastAsia="Calibri"/>
          <w:b w:val="false"/>
          <w:i w:val="false"/>
          <w:sz w:val="24"/>
          <w:szCs w:val="24"/>
          <w:shd w:fill="auto" w:val="clear"/>
          <w:lang w:eastAsia="x-none"/>
        </w:rPr>
      </w:r>
    </w:p>
    <w:p>
      <w:pPr>
        <w:pStyle w:val="ListParagraph"/>
        <w:spacing w:before="0" w:after="0"/>
        <w:ind w:left="0" w:right="0" w:firstLine="709"/>
        <w:contextualSpacing w:val="false"/>
        <w:rPr/>
      </w:pPr>
      <w:r>
        <w:rPr>
          <w:b/>
          <w:bCs/>
        </w:rPr>
        <w:t xml:space="preserve">1.4. </w:t>
      </w:r>
      <w:bookmarkStart w:id="29" w:name="_Toc54643698_Копия_1"/>
      <w:bookmarkStart w:id="30" w:name="_Toc46743508_Копия_1"/>
      <w:r>
        <w:rPr>
          <w:b/>
          <w:bCs/>
        </w:rPr>
        <w:t>Существующее положение</w:t>
      </w:r>
      <w:bookmarkEnd w:id="30"/>
      <w:r>
        <w:rPr>
          <w:b/>
          <w:bCs/>
        </w:rPr>
        <w:t xml:space="preserve"> </w:t>
      </w:r>
      <w:bookmarkEnd w:id="29"/>
    </w:p>
    <w:p>
      <w:pPr>
        <w:pStyle w:val="Normal"/>
        <w:widowControl w:val="false"/>
        <w:tabs>
          <w:tab w:val="clear" w:pos="708"/>
          <w:tab w:val="left" w:pos="426" w:leader="none"/>
        </w:tabs>
        <w:spacing w:before="0" w:after="0"/>
        <w:ind w:left="0" w:right="0" w:firstLine="709"/>
        <w:jc w:val="both"/>
        <w:rPr/>
      </w:pPr>
      <w:r>
        <w:rPr>
          <w:rFonts w:eastAsia="Calibri"/>
          <w:sz w:val="24"/>
          <w:szCs w:val="24"/>
          <w:lang w:eastAsia="x-none"/>
        </w:rPr>
        <w:t>Перевозка пассажиров (сотрудников Заказчика) осуществляется пассажирским автомобильным транспортном по маршруту, согласно таблице № 2. Минимальное количество перевозимых пассажиров указано в таблице №1.</w:t>
      </w:r>
    </w:p>
    <w:p>
      <w:pPr>
        <w:pStyle w:val="ListParagraph"/>
        <w:ind w:left="0" w:hanging="0"/>
        <w:rPr>
          <w:b/>
          <w:bCs/>
        </w:rPr>
      </w:pPr>
      <w:r>
        <w:rPr>
          <w:b/>
          <w:bCs/>
        </w:rPr>
      </w:r>
    </w:p>
    <w:p>
      <w:pPr>
        <w:pStyle w:val="Normal"/>
        <w:ind w:firstLine="426"/>
        <w:rPr>
          <w:b/>
          <w:bCs/>
          <w:sz w:val="24"/>
          <w:szCs w:val="24"/>
        </w:rPr>
      </w:pPr>
      <w:r>
        <w:rPr>
          <w:b/>
          <w:bCs/>
          <w:sz w:val="24"/>
          <w:szCs w:val="24"/>
        </w:rPr>
        <w:t>Таблица 1. Перечень маршрутов Заказчика</w:t>
      </w:r>
    </w:p>
    <w:tbl>
      <w:tblPr>
        <w:tblW w:w="5000" w:type="pct"/>
        <w:jc w:val="left"/>
        <w:tblInd w:w="0" w:type="dxa"/>
        <w:tblLayout w:type="fixed"/>
        <w:tblCellMar>
          <w:top w:w="0" w:type="dxa"/>
          <w:left w:w="10" w:type="dxa"/>
          <w:bottom w:w="0" w:type="dxa"/>
          <w:right w:w="10" w:type="dxa"/>
        </w:tblCellMar>
        <w:tblLook w:noVBand="0" w:val="0000" w:noHBand="0" w:lastColumn="0" w:firstColumn="0" w:lastRow="0" w:firstRow="0"/>
      </w:tblPr>
      <w:tblGrid>
        <w:gridCol w:w="643"/>
        <w:gridCol w:w="5536"/>
        <w:gridCol w:w="4026"/>
      </w:tblGrid>
      <w:tr>
        <w:trPr/>
        <w:tc>
          <w:tcPr>
            <w:tcW w:w="643" w:type="dxa"/>
            <w:tcBorders>
              <w:top w:val="single" w:sz="4" w:space="0" w:color="000001"/>
              <w:left w:val="single" w:sz="4" w:space="0" w:color="000001"/>
              <w:bottom w:val="single" w:sz="4" w:space="0" w:color="000001"/>
            </w:tcBorders>
            <w:shd w:color="auto" w:fill="FFFFFF" w:val="clear"/>
            <w:vAlign w:val="center"/>
          </w:tcPr>
          <w:p>
            <w:pPr>
              <w:pStyle w:val="Normal"/>
              <w:widowControl w:val="false"/>
              <w:ind w:firstLine="426"/>
              <w:jc w:val="center"/>
              <w:rPr>
                <w:rFonts w:eastAsia="SimSun" w:cs="Mangal"/>
                <w:b/>
                <w:kern w:val="2"/>
                <w:sz w:val="20"/>
                <w:szCs w:val="20"/>
                <w:lang w:eastAsia="zh-CN" w:bidi="hi-IN"/>
              </w:rPr>
            </w:pPr>
            <w:r>
              <w:rPr>
                <w:b/>
                <w:kern w:val="2"/>
                <w:sz w:val="20"/>
                <w:szCs w:val="20"/>
                <w:lang w:eastAsia="zh-CN" w:bidi="hi-IN"/>
              </w:rPr>
              <w:t>№</w:t>
            </w:r>
          </w:p>
        </w:tc>
        <w:tc>
          <w:tcPr>
            <w:tcW w:w="5536" w:type="dxa"/>
            <w:tcBorders>
              <w:top w:val="single" w:sz="4" w:space="0" w:color="000001"/>
              <w:left w:val="single" w:sz="4" w:space="0" w:color="000001"/>
              <w:bottom w:val="single" w:sz="4" w:space="0" w:color="000001"/>
            </w:tcBorders>
            <w:shd w:color="auto" w:fill="FFFFFF" w:val="clear"/>
            <w:vAlign w:val="center"/>
          </w:tcPr>
          <w:p>
            <w:pPr>
              <w:pStyle w:val="Normal"/>
              <w:widowControl w:val="false"/>
              <w:ind w:firstLine="426"/>
              <w:jc w:val="center"/>
              <w:rPr>
                <w:rFonts w:eastAsia="SimSun" w:cs="Mangal"/>
                <w:b/>
                <w:kern w:val="2"/>
                <w:sz w:val="20"/>
                <w:szCs w:val="20"/>
                <w:lang w:eastAsia="zh-CN" w:bidi="hi-IN"/>
              </w:rPr>
            </w:pPr>
            <w:r>
              <w:rPr>
                <w:rFonts w:eastAsia="SimSun" w:cs="Mangal"/>
                <w:b/>
                <w:kern w:val="2"/>
                <w:sz w:val="20"/>
                <w:szCs w:val="20"/>
                <w:lang w:eastAsia="zh-CN" w:bidi="hi-IN"/>
              </w:rPr>
              <w:t>Номер маршрута</w:t>
            </w:r>
          </w:p>
        </w:tc>
        <w:tc>
          <w:tcPr>
            <w:tcW w:w="4026" w:type="dxa"/>
            <w:tcBorders>
              <w:top w:val="single" w:sz="4" w:space="0" w:color="000001"/>
              <w:left w:val="single" w:sz="4" w:space="0" w:color="000001"/>
              <w:bottom w:val="single" w:sz="4" w:space="0" w:color="000000"/>
              <w:right w:val="single" w:sz="4" w:space="0" w:color="000001"/>
            </w:tcBorders>
            <w:shd w:color="auto" w:fill="FFFFFF" w:val="clear"/>
            <w:vAlign w:val="center"/>
          </w:tcPr>
          <w:p>
            <w:pPr>
              <w:pStyle w:val="Normal"/>
              <w:widowControl w:val="false"/>
              <w:jc w:val="center"/>
              <w:rPr>
                <w:rFonts w:eastAsia="SimSun" w:cs="Mangal"/>
                <w:kern w:val="2"/>
                <w:sz w:val="20"/>
                <w:szCs w:val="20"/>
                <w:lang w:eastAsia="zh-CN" w:bidi="hi-IN"/>
              </w:rPr>
            </w:pPr>
            <w:r>
              <w:rPr>
                <w:rFonts w:eastAsia="SimSun" w:cs="Mangal"/>
                <w:b/>
                <w:kern w:val="2"/>
                <w:sz w:val="20"/>
                <w:szCs w:val="20"/>
                <w:lang w:val="ru-RU" w:eastAsia="zh-CN" w:bidi="hi-IN"/>
              </w:rPr>
              <w:t>Минимальное к</w:t>
            </w:r>
            <w:r>
              <w:rPr>
                <w:rFonts w:eastAsia="SimSun" w:cs="Mangal"/>
                <w:b/>
                <w:kern w:val="2"/>
                <w:sz w:val="20"/>
                <w:szCs w:val="20"/>
                <w:lang w:eastAsia="zh-CN" w:bidi="hi-IN"/>
              </w:rPr>
              <w:t>оличество пассажиров, которое необходимо перевезти ежедневно по каждому маршруту (не менее)</w:t>
            </w:r>
          </w:p>
        </w:tc>
      </w:tr>
      <w:tr>
        <w:trPr/>
        <w:tc>
          <w:tcPr>
            <w:tcW w:w="643" w:type="dxa"/>
            <w:tcBorders>
              <w:top w:val="single" w:sz="4" w:space="0" w:color="000001"/>
              <w:left w:val="single" w:sz="4" w:space="0" w:color="000001"/>
              <w:bottom w:val="single" w:sz="4" w:space="0" w:color="000001"/>
            </w:tcBorders>
            <w:shd w:color="auto" w:fill="FFFFFF" w:val="clear"/>
            <w:vAlign w:val="center"/>
          </w:tcPr>
          <w:p>
            <w:pPr>
              <w:pStyle w:val="Normal"/>
              <w:widowControl w:val="false"/>
              <w:ind w:left="0" w:right="0" w:hanging="0"/>
              <w:jc w:val="center"/>
              <w:rPr/>
            </w:pPr>
            <w:r>
              <w:rPr>
                <w:rFonts w:eastAsia="SimSun" w:cs="Mangal"/>
                <w:kern w:val="2"/>
                <w:sz w:val="20"/>
                <w:szCs w:val="20"/>
                <w:lang w:eastAsia="zh-CN" w:bidi="hi-IN"/>
              </w:rPr>
              <w:t>1</w:t>
            </w:r>
          </w:p>
        </w:tc>
        <w:tc>
          <w:tcPr>
            <w:tcW w:w="5536" w:type="dxa"/>
            <w:tcBorders>
              <w:top w:val="single" w:sz="4" w:space="0" w:color="000001"/>
              <w:left w:val="single" w:sz="4" w:space="0" w:color="000001"/>
              <w:bottom w:val="single" w:sz="4" w:space="0" w:color="000001"/>
              <w:right w:val="single" w:sz="4" w:space="0" w:color="000000"/>
            </w:tcBorders>
            <w:shd w:color="auto" w:fill="FFFFFF" w:val="clear"/>
          </w:tcPr>
          <w:p>
            <w:pPr>
              <w:pStyle w:val="Normal"/>
              <w:widowControl w:val="false"/>
              <w:ind w:hanging="0"/>
              <w:jc w:val="left"/>
              <w:rPr/>
            </w:pPr>
            <w:r>
              <w:rPr>
                <w:rFonts w:eastAsia="SimSun" w:cs="Mangal"/>
                <w:kern w:val="2"/>
                <w:sz w:val="20"/>
                <w:szCs w:val="20"/>
                <w:lang w:eastAsia="zh-CN" w:bidi="hi-IN"/>
              </w:rPr>
              <w:t>Маршрут № 1 (понедельник- пятница)</w:t>
            </w:r>
          </w:p>
        </w:tc>
        <w:tc>
          <w:tcPr>
            <w:tcW w:w="402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firstLine="426"/>
              <w:jc w:val="center"/>
              <w:rPr>
                <w:rFonts w:eastAsia="SimSun" w:cs="Mangal"/>
                <w:kern w:val="2"/>
                <w:sz w:val="20"/>
                <w:szCs w:val="20"/>
                <w:lang w:eastAsia="zh-CN" w:bidi="hi-IN"/>
              </w:rPr>
            </w:pPr>
            <w:r>
              <w:rPr>
                <w:rFonts w:eastAsia="SimSun" w:cs="Mangal"/>
                <w:kern w:val="2"/>
                <w:sz w:val="20"/>
                <w:szCs w:val="20"/>
                <w:lang w:eastAsia="zh-CN" w:bidi="hi-IN"/>
              </w:rPr>
              <w:t>35</w:t>
            </w:r>
          </w:p>
        </w:tc>
      </w:tr>
      <w:tr>
        <w:trPr/>
        <w:tc>
          <w:tcPr>
            <w:tcW w:w="643" w:type="dxa"/>
            <w:tcBorders>
              <w:top w:val="single" w:sz="4" w:space="0" w:color="000001"/>
              <w:left w:val="single" w:sz="4" w:space="0" w:color="000001"/>
              <w:bottom w:val="single" w:sz="4" w:space="0" w:color="000001"/>
            </w:tcBorders>
            <w:shd w:color="auto" w:fill="FFFFFF" w:val="clear"/>
            <w:vAlign w:val="center"/>
          </w:tcPr>
          <w:p>
            <w:pPr>
              <w:pStyle w:val="Normal"/>
              <w:widowControl w:val="false"/>
              <w:ind w:left="0" w:right="0" w:hanging="0"/>
              <w:jc w:val="center"/>
              <w:rPr/>
            </w:pPr>
            <w:r>
              <w:rPr>
                <w:rFonts w:eastAsia="SimSun" w:cs="Mangal"/>
                <w:kern w:val="2"/>
                <w:sz w:val="20"/>
                <w:szCs w:val="20"/>
                <w:lang w:eastAsia="zh-CN" w:bidi="hi-IN"/>
              </w:rPr>
              <w:t>2</w:t>
            </w:r>
          </w:p>
        </w:tc>
        <w:tc>
          <w:tcPr>
            <w:tcW w:w="5536" w:type="dxa"/>
            <w:tcBorders>
              <w:top w:val="single" w:sz="4" w:space="0" w:color="000001"/>
              <w:left w:val="single" w:sz="4" w:space="0" w:color="000001"/>
              <w:bottom w:val="single" w:sz="4" w:space="0" w:color="000001"/>
              <w:right w:val="single" w:sz="4" w:space="0" w:color="000000"/>
            </w:tcBorders>
            <w:shd w:color="auto" w:fill="FFFFFF" w:val="clear"/>
          </w:tcPr>
          <w:p>
            <w:pPr>
              <w:pStyle w:val="Normal"/>
              <w:widowControl w:val="false"/>
              <w:ind w:hanging="0"/>
              <w:jc w:val="left"/>
              <w:rPr/>
            </w:pPr>
            <w:r>
              <w:rPr>
                <w:rFonts w:eastAsia="SimSun" w:cs="Mangal"/>
                <w:kern w:val="2"/>
                <w:sz w:val="20"/>
                <w:szCs w:val="20"/>
                <w:lang w:eastAsia="zh-CN" w:bidi="hi-IN"/>
              </w:rPr>
              <w:t>Маршрут № 2 (обратное направление понедельник- четверг)</w:t>
            </w:r>
          </w:p>
        </w:tc>
        <w:tc>
          <w:tcPr>
            <w:tcW w:w="4026"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ind w:firstLine="426"/>
              <w:jc w:val="center"/>
              <w:rPr>
                <w:rFonts w:eastAsia="SimSun" w:cs="Mangal"/>
                <w:kern w:val="2"/>
                <w:sz w:val="20"/>
                <w:szCs w:val="20"/>
                <w:lang w:eastAsia="zh-CN" w:bidi="hi-IN"/>
              </w:rPr>
            </w:pPr>
            <w:r>
              <w:rPr>
                <w:rFonts w:eastAsia="SimSun" w:cs="Mangal"/>
                <w:kern w:val="2"/>
                <w:sz w:val="20"/>
                <w:szCs w:val="20"/>
                <w:lang w:eastAsia="zh-CN" w:bidi="hi-IN"/>
              </w:rPr>
              <w:t>35</w:t>
            </w:r>
          </w:p>
        </w:tc>
      </w:tr>
      <w:tr>
        <w:trPr/>
        <w:tc>
          <w:tcPr>
            <w:tcW w:w="643" w:type="dxa"/>
            <w:tcBorders>
              <w:left w:val="single" w:sz="4" w:space="0" w:color="000001"/>
              <w:bottom w:val="single" w:sz="4" w:space="0" w:color="000001"/>
            </w:tcBorders>
            <w:shd w:color="auto" w:fill="FFFFFF" w:val="clear"/>
            <w:vAlign w:val="center"/>
          </w:tcPr>
          <w:p>
            <w:pPr>
              <w:pStyle w:val="Normal"/>
              <w:widowControl w:val="false"/>
              <w:ind w:left="0" w:right="0" w:hanging="0"/>
              <w:jc w:val="center"/>
              <w:rPr/>
            </w:pPr>
            <w:r>
              <w:rPr>
                <w:rFonts w:eastAsia="SimSun" w:cs="Mangal"/>
                <w:kern w:val="2"/>
                <w:sz w:val="20"/>
                <w:szCs w:val="20"/>
                <w:lang w:eastAsia="zh-CN" w:bidi="hi-IN"/>
              </w:rPr>
              <w:t>3</w:t>
            </w:r>
          </w:p>
        </w:tc>
        <w:tc>
          <w:tcPr>
            <w:tcW w:w="5536" w:type="dxa"/>
            <w:tcBorders>
              <w:left w:val="single" w:sz="4" w:space="0" w:color="000001"/>
              <w:bottom w:val="single" w:sz="4" w:space="0" w:color="000001"/>
              <w:right w:val="single" w:sz="4" w:space="0" w:color="000000"/>
            </w:tcBorders>
            <w:shd w:color="auto" w:fill="FFFFFF" w:val="clear"/>
          </w:tcPr>
          <w:p>
            <w:pPr>
              <w:pStyle w:val="Normal"/>
              <w:widowControl w:val="false"/>
              <w:ind w:hanging="0"/>
              <w:jc w:val="left"/>
              <w:rPr>
                <w:rFonts w:ascii="Times New Roman" w:hAnsi="Times New Roman" w:eastAsia="SimSun" w:cs="Mangal"/>
                <w:color w:val="auto"/>
                <w:kern w:val="2"/>
                <w:sz w:val="20"/>
                <w:szCs w:val="20"/>
                <w:lang w:val="ru-RU" w:eastAsia="zh-CN" w:bidi="hi-IN"/>
              </w:rPr>
            </w:pPr>
            <w:r>
              <w:rPr>
                <w:rFonts w:eastAsia="SimSun" w:cs="Mangal"/>
                <w:color w:val="auto"/>
                <w:kern w:val="2"/>
                <w:sz w:val="20"/>
                <w:szCs w:val="20"/>
                <w:lang w:val="ru-RU" w:eastAsia="zh-CN" w:bidi="hi-IN"/>
              </w:rPr>
              <w:t>Маршрут № 3 (обратное направление пятница)</w:t>
            </w:r>
          </w:p>
        </w:tc>
        <w:tc>
          <w:tcPr>
            <w:tcW w:w="4026" w:type="dxa"/>
            <w:tcBorders>
              <w:left w:val="single" w:sz="4" w:space="0" w:color="000000"/>
              <w:bottom w:val="single" w:sz="4" w:space="0" w:color="000000"/>
              <w:right w:val="single" w:sz="4" w:space="0" w:color="000000"/>
            </w:tcBorders>
            <w:shd w:color="auto" w:fill="FFFFFF" w:val="clear"/>
          </w:tcPr>
          <w:p>
            <w:pPr>
              <w:pStyle w:val="Normal"/>
              <w:widowControl w:val="false"/>
              <w:ind w:firstLine="426"/>
              <w:jc w:val="center"/>
              <w:rPr>
                <w:rFonts w:eastAsia="SimSun" w:cs="Mangal"/>
                <w:kern w:val="2"/>
                <w:sz w:val="20"/>
                <w:szCs w:val="20"/>
                <w:lang w:eastAsia="zh-CN" w:bidi="hi-IN"/>
              </w:rPr>
            </w:pPr>
            <w:r>
              <w:rPr>
                <w:rFonts w:eastAsia="SimSun" w:cs="Mangal"/>
                <w:kern w:val="2"/>
                <w:sz w:val="20"/>
                <w:szCs w:val="20"/>
                <w:lang w:eastAsia="zh-CN" w:bidi="hi-IN"/>
              </w:rPr>
              <w:t>35</w:t>
            </w:r>
          </w:p>
        </w:tc>
      </w:tr>
    </w:tbl>
    <w:p>
      <w:pPr>
        <w:pStyle w:val="Normal"/>
        <w:widowControl w:val="false"/>
        <w:tabs>
          <w:tab w:val="clear" w:pos="708"/>
          <w:tab w:val="left" w:pos="426" w:leader="none"/>
        </w:tabs>
        <w:suppressAutoHyphens w:val="true"/>
        <w:bidi w:val="0"/>
        <w:spacing w:before="0" w:after="0"/>
        <w:ind w:left="0" w:right="0" w:firstLine="709"/>
        <w:jc w:val="both"/>
        <w:rPr>
          <w:rFonts w:eastAsia="Calibri"/>
          <w:sz w:val="24"/>
          <w:szCs w:val="24"/>
          <w:lang w:eastAsia="x-none"/>
        </w:rPr>
      </w:pPr>
      <w:r>
        <w:rPr>
          <w:rFonts w:eastAsia="Calibri"/>
          <w:sz w:val="24"/>
          <w:szCs w:val="24"/>
          <w:lang w:eastAsia="x-none"/>
        </w:rPr>
      </w:r>
    </w:p>
    <w:p>
      <w:pPr>
        <w:pStyle w:val="ListParagraph"/>
        <w:spacing w:before="0" w:after="0"/>
        <w:ind w:left="0" w:right="0" w:firstLine="709"/>
        <w:contextualSpacing w:val="false"/>
        <w:jc w:val="both"/>
        <w:rPr/>
      </w:pPr>
      <w:r>
        <w:rPr>
          <w:b/>
          <w:bCs/>
        </w:rPr>
        <w:t xml:space="preserve">1.5. </w:t>
      </w:r>
      <w:bookmarkStart w:id="31" w:name="_Toc546437001_Копия_1"/>
      <w:bookmarkStart w:id="32" w:name="_Hlk498576041_Копия_1"/>
      <w:bookmarkStart w:id="33" w:name="_Toc467435091_Копия_1"/>
      <w:r>
        <w:rPr>
          <w:b/>
          <w:bCs/>
        </w:rPr>
        <w:t xml:space="preserve"> Информация в отношении исполнения договора, </w:t>
      </w:r>
      <w:bookmarkStart w:id="34" w:name="_Hlk464923471_Копия_1"/>
      <w:r>
        <w:rPr>
          <w:b/>
          <w:bCs/>
        </w:rPr>
        <w:t xml:space="preserve">которая должна быть учтена при подготовке заявки </w:t>
      </w:r>
      <w:bookmarkEnd w:id="34"/>
      <w:r>
        <w:rPr>
          <w:b/>
          <w:bCs/>
        </w:rPr>
        <w:t>(в том числе перечень ресурсов, услуг и документов, предоставляемых заказчиком на этапе исполнения договора)</w:t>
      </w:r>
      <w:bookmarkEnd w:id="32"/>
      <w:bookmarkEnd w:id="33"/>
      <w:r>
        <w:rPr/>
        <w:t xml:space="preserve"> </w:t>
      </w:r>
      <w:bookmarkEnd w:id="31"/>
    </w:p>
    <w:p>
      <w:pPr>
        <w:pStyle w:val="ListParagraph"/>
        <w:spacing w:before="0" w:after="0"/>
        <w:ind w:left="0" w:right="0" w:firstLine="709"/>
        <w:contextualSpacing w:val="false"/>
        <w:jc w:val="both"/>
        <w:rPr/>
      </w:pPr>
      <w:r>
        <w:rPr>
          <w:color w:val="000000"/>
        </w:rPr>
        <w:t xml:space="preserve">1.5.1. Услуги оказываются по будним дням (понедельник-пятница, за исключением праздничных выходных дней) </w:t>
      </w:r>
      <w:r>
        <w:rPr/>
        <w:t xml:space="preserve">с 01.01.2027 г. по 31.12.2027 г. включительно в соответствии с маршрутами движения, указанными </w:t>
      </w:r>
      <w:r>
        <w:rPr>
          <w:color w:val="000000"/>
        </w:rPr>
        <w:t xml:space="preserve">в Таблице 2 настоящих Технических требований. </w:t>
      </w:r>
      <w:r>
        <w:rPr/>
        <w:t>Оказание услуг в праздничные и/или выходные дни осуществляются по предварительно направленной заявке Заказчика без взимания дополнительной платы.</w:t>
      </w:r>
    </w:p>
    <w:p>
      <w:pPr>
        <w:pStyle w:val="ListParagraph"/>
        <w:spacing w:before="0" w:after="0"/>
        <w:ind w:left="0" w:right="0" w:firstLine="709"/>
        <w:contextualSpacing w:val="false"/>
        <w:jc w:val="both"/>
        <w:rPr/>
      </w:pPr>
      <w:r>
        <w:rPr>
          <w:color w:val="000000"/>
        </w:rPr>
        <w:t>1.5.2. Желателен опыт</w:t>
      </w:r>
      <w:r>
        <w:rPr/>
        <w:t xml:space="preserve"> работы автотранспортного предприятия по перевозке пассажиров в данном направлении.</w:t>
      </w:r>
    </w:p>
    <w:p>
      <w:pPr>
        <w:pStyle w:val="ListParagraph"/>
        <w:spacing w:before="0" w:after="0"/>
        <w:ind w:left="0" w:right="0" w:firstLine="709"/>
        <w:contextualSpacing w:val="false"/>
        <w:jc w:val="both"/>
        <w:rPr/>
      </w:pPr>
      <w:r>
        <w:rPr/>
        <w:t xml:space="preserve">1.5.3. Наличие </w:t>
      </w:r>
      <w:r>
        <w:rPr>
          <w:b/>
          <w:bCs/>
        </w:rPr>
        <w:t>лицензии на осуществление деятельности по перевозки людей автомобильным транспортом (в соответствии с требованиями Федерального закона о лицензировании отдельных видов деятельности от 04.05.2011 N 99-ФЗ (ред. от 29.12.2022), п. 2 ст. 4, ст. 6 Федерального закона от 30.10.2018 № 386-ФЗ.).</w:t>
      </w:r>
    </w:p>
    <w:p>
      <w:pPr>
        <w:pStyle w:val="ListParagraph"/>
        <w:spacing w:before="0" w:after="0"/>
        <w:ind w:left="0" w:right="0" w:firstLine="709"/>
        <w:contextualSpacing w:val="false"/>
        <w:jc w:val="both"/>
        <w:rPr/>
      </w:pPr>
      <w:r>
        <w:rPr/>
        <w:t xml:space="preserve">1.5.4. Выполнение услуги подтверждается УПД, подписанного сторонами. Основанием для формирования УПД являются путевые листы. </w:t>
      </w:r>
      <w:r>
        <w:rPr>
          <w:color w:val="000000"/>
        </w:rPr>
        <w:t>При перевозке представителем Исполнителя заполняется путевой лист. Путевой лист должен содержать разрешение на осуществление дорожного движения.</w:t>
      </w:r>
    </w:p>
    <w:p>
      <w:pPr>
        <w:pStyle w:val="ListParagraph"/>
        <w:numPr>
          <w:ilvl w:val="0"/>
          <w:numId w:val="0"/>
        </w:numPr>
        <w:spacing w:before="0" w:after="0"/>
        <w:ind w:left="0" w:right="0" w:firstLine="709"/>
        <w:contextualSpacing w:val="false"/>
        <w:jc w:val="both"/>
        <w:rPr>
          <w:color w:val="000000"/>
        </w:rPr>
      </w:pPr>
      <w:r>
        <w:rPr>
          <w:color w:val="000000"/>
        </w:rPr>
      </w:r>
    </w:p>
    <w:p>
      <w:pPr>
        <w:pStyle w:val="ListParagraph"/>
        <w:spacing w:before="0" w:after="0"/>
        <w:ind w:left="0" w:right="0" w:firstLine="709"/>
        <w:contextualSpacing w:val="false"/>
        <w:jc w:val="both"/>
        <w:rPr/>
      </w:pPr>
      <w:r>
        <w:rPr>
          <w:b/>
          <w:bCs/>
          <w:lang w:eastAsia="x-none"/>
        </w:rPr>
        <w:t>1.6. Требования к автотранспортному средству.</w:t>
      </w:r>
    </w:p>
    <w:p>
      <w:pPr>
        <w:pStyle w:val="ListParagraph"/>
        <w:spacing w:before="0" w:after="0"/>
        <w:ind w:left="0" w:right="0" w:firstLine="709"/>
        <w:contextualSpacing w:val="false"/>
        <w:jc w:val="both"/>
        <w:rPr/>
      </w:pPr>
      <w:r>
        <w:rPr/>
        <w:t>1.6.1. Для осуществления перевозки используются автобусы, которые соответствуют по назначению и конструкции техническим требованиям к перевозкам пассажиров, допущенные в установленном порядке к участию в дорожном движении.</w:t>
      </w:r>
    </w:p>
    <w:p>
      <w:pPr>
        <w:pStyle w:val="ListParagraph"/>
        <w:spacing w:before="0" w:after="0"/>
        <w:ind w:left="0" w:right="0" w:firstLine="709"/>
        <w:contextualSpacing w:val="false"/>
        <w:jc w:val="both"/>
        <w:rPr/>
      </w:pPr>
      <w:r>
        <w:rPr>
          <w:b w:val="false"/>
          <w:bCs w:val="false"/>
          <w:i w:val="false"/>
          <w:iCs w:val="false"/>
          <w:u w:val="none"/>
          <w:shd w:fill="auto" w:val="clear"/>
        </w:rPr>
        <w:t xml:space="preserve">1.6.2. </w:t>
      </w:r>
      <w:r>
        <w:rPr>
          <w:b/>
          <w:bCs/>
          <w:u w:val="single"/>
          <w:shd w:fill="auto" w:val="clear"/>
        </w:rPr>
        <w:t>Минимальное</w:t>
      </w:r>
      <w:r>
        <w:rPr>
          <w:shd w:fill="auto" w:val="clear"/>
        </w:rPr>
        <w:t xml:space="preserve"> количество автобусов: 1</w:t>
      </w:r>
    </w:p>
    <w:p>
      <w:pPr>
        <w:pStyle w:val="ListParagraph"/>
        <w:spacing w:before="0" w:after="0"/>
        <w:ind w:left="0" w:right="0" w:firstLine="709"/>
        <w:contextualSpacing w:val="false"/>
        <w:jc w:val="both"/>
        <w:rPr/>
      </w:pPr>
      <w:r>
        <w:rPr>
          <w:b w:val="false"/>
          <w:bCs w:val="false"/>
          <w:u w:val="none"/>
          <w:shd w:fill="auto" w:val="clear"/>
        </w:rPr>
        <w:t xml:space="preserve">1.6.3. </w:t>
      </w:r>
      <w:r>
        <w:rPr>
          <w:b/>
          <w:bCs/>
          <w:u w:val="single"/>
          <w:shd w:fill="auto" w:val="clear"/>
        </w:rPr>
        <w:t>Минимальное</w:t>
      </w:r>
      <w:r>
        <w:rPr>
          <w:shd w:fill="auto" w:val="clear"/>
        </w:rPr>
        <w:t xml:space="preserve"> количество сидячих мест: 35</w:t>
      </w:r>
    </w:p>
    <w:p>
      <w:pPr>
        <w:pStyle w:val="ListParagraph"/>
        <w:spacing w:before="0" w:after="0"/>
        <w:ind w:left="0" w:right="0" w:firstLine="709"/>
        <w:contextualSpacing w:val="false"/>
        <w:jc w:val="both"/>
        <w:rPr/>
      </w:pPr>
      <w:r>
        <w:rPr>
          <w:shd w:fill="auto" w:val="clear"/>
        </w:rPr>
        <w:t>1.6.4. Наличие автотранспорта с учетом обязатель</w:t>
      </w:r>
      <w:r>
        <w:rPr/>
        <w:t>ного ежедневного резерва на праве собственности или ином законном основании, прошедшего технический осмотр, оснащенного аппаратурой спутниковой навигации ГЛОНАСС или ГЛОНАСС/GPS, оснащенных техническими средствами контроля за соблюдением водителем режимов движения, труда и отдыха.</w:t>
      </w:r>
      <w:r>
        <w:rPr>
          <w:b/>
          <w:bCs/>
        </w:rPr>
        <w:t xml:space="preserve">  </w:t>
      </w:r>
    </w:p>
    <w:p>
      <w:pPr>
        <w:pStyle w:val="ListParagraph"/>
        <w:spacing w:before="0" w:after="0"/>
        <w:ind w:left="0" w:right="0" w:firstLine="709"/>
        <w:contextualSpacing w:val="false"/>
        <w:jc w:val="both"/>
        <w:rPr/>
      </w:pPr>
      <w:r>
        <w:rPr/>
        <w:t>1.6.5. Предоставляемые для оказания услуг транспортные средства должны быть зарегистрированы в территориальных органах ГИБДД Российской Федерации.</w:t>
      </w:r>
    </w:p>
    <w:p>
      <w:pPr>
        <w:pStyle w:val="ListParagraph"/>
        <w:spacing w:before="0" w:after="0"/>
        <w:ind w:left="0" w:right="0" w:firstLine="709"/>
        <w:contextualSpacing w:val="false"/>
        <w:jc w:val="both"/>
        <w:rPr/>
      </w:pPr>
      <w:r>
        <w:rPr/>
        <w:t xml:space="preserve">1.6.6. Транспортные средства должны проходить в установленном порядке годовой технический осмотр с получением диагностических карт, плановое техническое обслуживание (в том числе сезонная замена автошин) и текущий ремонт на авторизированных станциях технического обслуживания. </w:t>
      </w:r>
    </w:p>
    <w:p>
      <w:pPr>
        <w:pStyle w:val="ListParagraph"/>
        <w:spacing w:before="0" w:after="0"/>
        <w:ind w:left="0" w:right="0" w:firstLine="709"/>
        <w:contextualSpacing w:val="false"/>
        <w:jc w:val="both"/>
        <w:rPr/>
      </w:pPr>
      <w:r>
        <w:rPr/>
        <w:t>1.6.7. Транспортные средства, подлежащие обязательному страхованию, должны иметь полисы обязательного страхования гражданской ответственности владельцев транспортных средств (ОСАГО).</w:t>
      </w:r>
    </w:p>
    <w:p>
      <w:pPr>
        <w:pStyle w:val="ListParagraph"/>
        <w:spacing w:before="0" w:after="0"/>
        <w:ind w:left="0" w:right="0" w:firstLine="709"/>
        <w:contextualSpacing w:val="false"/>
        <w:jc w:val="both"/>
        <w:rPr/>
      </w:pPr>
      <w:r>
        <w:rPr/>
        <w:t>1.6.8. Все транспортные средства должны быть оснащены автомобильной аптечкой и средствами пожаротушения с действующими сроками использования, исправными домкратами, противооткатными средствами и запасными колесами.</w:t>
      </w:r>
    </w:p>
    <w:p>
      <w:pPr>
        <w:pStyle w:val="ListParagraph"/>
        <w:spacing w:before="0" w:after="0"/>
        <w:ind w:left="0" w:right="0" w:firstLine="709"/>
        <w:contextualSpacing w:val="false"/>
        <w:jc w:val="both"/>
        <w:rPr/>
      </w:pPr>
      <w:r>
        <w:rPr/>
        <w:t>1.6.9. Техника предоставляется в технически исправном состоянии. Осуществление ежедневного предрейсового и послерейсового инструментального контроля техники.</w:t>
      </w:r>
    </w:p>
    <w:p>
      <w:pPr>
        <w:pStyle w:val="ListParagraph"/>
        <w:spacing w:before="0" w:after="0"/>
        <w:ind w:left="0" w:right="0" w:firstLine="709"/>
        <w:contextualSpacing w:val="false"/>
        <w:jc w:val="both"/>
        <w:rPr/>
      </w:pPr>
      <w:r>
        <w:rPr/>
        <w:t>1.6.10. Наличие и предоставление подменных единиц техники в случае неисправности основных единиц техники</w:t>
      </w:r>
    </w:p>
    <w:p>
      <w:pPr>
        <w:pStyle w:val="ListParagraph"/>
        <w:spacing w:before="0" w:after="0"/>
        <w:ind w:left="0" w:right="0" w:firstLine="709"/>
        <w:contextualSpacing w:val="false"/>
        <w:jc w:val="both"/>
        <w:rPr/>
      </w:pPr>
      <w:r>
        <w:rPr/>
        <w:t>1.6.11. Салон: обивка - ткань, пол - пластик (резина), не скользящий.</w:t>
      </w:r>
    </w:p>
    <w:p>
      <w:pPr>
        <w:pStyle w:val="ListParagraph"/>
        <w:spacing w:before="0" w:after="0"/>
        <w:ind w:left="0" w:right="0" w:firstLine="709"/>
        <w:contextualSpacing w:val="false"/>
        <w:jc w:val="both"/>
        <w:rPr/>
      </w:pPr>
      <w:r>
        <w:rPr/>
        <w:t xml:space="preserve">1.6.12. Комплектация: Система обогрева и вентиляции с противопылевым фильтром и режимом рециркуляции. </w:t>
      </w:r>
    </w:p>
    <w:p>
      <w:pPr>
        <w:pStyle w:val="ListParagraph"/>
        <w:spacing w:before="0" w:after="0"/>
        <w:ind w:left="0" w:right="0" w:firstLine="709"/>
        <w:contextualSpacing w:val="false"/>
        <w:jc w:val="both"/>
        <w:rPr/>
      </w:pPr>
      <w:r>
        <w:rPr/>
        <w:t>1.6.13. Транспортные средства снаружи должны иметь знаки о том, что совершаются рейсовые пассажирские перевозки.</w:t>
      </w:r>
    </w:p>
    <w:p>
      <w:pPr>
        <w:pStyle w:val="ListParagraph"/>
        <w:spacing w:before="0" w:after="0"/>
        <w:ind w:left="0" w:right="0" w:firstLine="709"/>
        <w:contextualSpacing w:val="false"/>
        <w:jc w:val="both"/>
        <w:rPr/>
      </w:pPr>
      <w:r>
        <w:rPr/>
        <w:t>1.6.14. При использовании состояние транспортного средства должно быть технически исправным, что должно подтверждаться проверкой Исполнителем до выполнения рейса.</w:t>
      </w:r>
    </w:p>
    <w:p>
      <w:pPr>
        <w:pStyle w:val="ListParagraph"/>
        <w:spacing w:before="0" w:after="0"/>
        <w:ind w:left="0" w:right="0" w:firstLine="709"/>
        <w:contextualSpacing w:val="false"/>
        <w:jc w:val="both"/>
        <w:rPr/>
      </w:pPr>
      <w:r>
        <w:rPr/>
      </w:r>
    </w:p>
    <w:p>
      <w:pPr>
        <w:pStyle w:val="ListParagraph"/>
        <w:spacing w:before="0" w:after="0"/>
        <w:ind w:left="0" w:right="0" w:firstLine="709"/>
        <w:contextualSpacing w:val="false"/>
        <w:jc w:val="both"/>
        <w:rPr/>
      </w:pPr>
      <w:r>
        <w:rPr>
          <w:b/>
          <w:bCs/>
          <w:lang w:eastAsia="x-none"/>
        </w:rPr>
        <w:t>1.7.  Иные требования общего характера.</w:t>
      </w:r>
    </w:p>
    <w:p>
      <w:pPr>
        <w:pStyle w:val="ListParagraph"/>
        <w:spacing w:before="0" w:after="0"/>
        <w:ind w:left="0" w:right="0" w:firstLine="709"/>
        <w:contextualSpacing w:val="false"/>
        <w:jc w:val="both"/>
        <w:rPr/>
      </w:pPr>
      <w:r>
        <w:rPr/>
        <w:t>1.7.1. Исполнитель обязан выполнить услуги в соответствии с требованиями заказчика и нести все расходы, связанные с выполнением данных услуг.</w:t>
      </w:r>
    </w:p>
    <w:p>
      <w:pPr>
        <w:pStyle w:val="ListParagraph"/>
        <w:spacing w:before="0" w:after="0"/>
        <w:ind w:left="0" w:right="0" w:firstLine="709"/>
        <w:contextualSpacing w:val="false"/>
        <w:jc w:val="both"/>
        <w:rPr/>
      </w:pPr>
      <w:r>
        <w:rPr/>
        <w:t>1.7.2. Наличие у водителей соответствующей категории на право управления транспортным средством.</w:t>
      </w:r>
    </w:p>
    <w:p>
      <w:pPr>
        <w:pStyle w:val="ListParagraph"/>
        <w:spacing w:before="0" w:after="0"/>
        <w:ind w:left="0" w:right="0" w:firstLine="709"/>
        <w:contextualSpacing w:val="false"/>
        <w:jc w:val="both"/>
        <w:rPr/>
      </w:pPr>
      <w:r>
        <w:rPr/>
        <w:t>1.7.3. Исполнитель несет ответственность за квалификацию и допуск персонала для оказания услуг, в соответствии с действующим законодательством (Наличие у водителей предварительного и периодического медицинских осмотров, с оформлением заключения о медицинской пригодности с учетом выполняемой ими работы и профессии, проводимого в соответствии с Приказом Минздрава РФ от 28.01.2021 N 29Н. Прохождение водителями ежесменного предрейсового и послерейсового медицинских осмотров в соответствии с Приказом от Минздрава России от 15.12.2014 N 835н «Об утверждении Порядка проведения предсменных, предрейсовых и послесменных, послерейсовых медицинских осмотров»).</w:t>
      </w:r>
    </w:p>
    <w:p>
      <w:pPr>
        <w:pStyle w:val="ListParagraph"/>
        <w:spacing w:before="0" w:after="0"/>
        <w:ind w:left="0" w:right="0" w:firstLine="709"/>
        <w:contextualSpacing w:val="false"/>
        <w:jc w:val="both"/>
        <w:rPr/>
      </w:pPr>
      <w:r>
        <w:rPr/>
        <w:t>1.7.4. При невозможности осуществления основным экипажем своих обязанностей, Исполнитель обязан своевременно предоставить замену персонала, квалификация которых должна отвечать требованиям эксплуатации транспортного средства данного вида.</w:t>
      </w:r>
    </w:p>
    <w:p>
      <w:pPr>
        <w:pStyle w:val="ListParagraph"/>
        <w:spacing w:before="0" w:after="0"/>
        <w:ind w:left="0" w:right="0" w:firstLine="709"/>
        <w:contextualSpacing w:val="false"/>
        <w:jc w:val="both"/>
        <w:rPr/>
      </w:pPr>
      <w:r>
        <w:rPr/>
        <w:t>1.7.5. Соблюдение правил дорожного движения.</w:t>
      </w:r>
    </w:p>
    <w:p>
      <w:pPr>
        <w:pStyle w:val="ListParagraph"/>
        <w:spacing w:before="0" w:after="0"/>
        <w:ind w:left="0" w:right="0" w:firstLine="709"/>
        <w:contextualSpacing w:val="false"/>
        <w:jc w:val="both"/>
        <w:rPr/>
      </w:pPr>
      <w:r>
        <w:rPr/>
        <w:t>1.7.6. Своевременное и надлежащее ведение путевой документации;</w:t>
      </w:r>
    </w:p>
    <w:p>
      <w:pPr>
        <w:pStyle w:val="ListParagraph"/>
        <w:spacing w:before="0" w:after="0"/>
        <w:ind w:left="0" w:right="0" w:firstLine="709"/>
        <w:contextualSpacing w:val="false"/>
        <w:jc w:val="both"/>
        <w:rPr/>
      </w:pPr>
      <w:r>
        <w:rPr/>
        <w:t>1.7.7. Соблюдение требований внутриобъектового и контрольно-пропускного режимов, установленных на территории Заказчика.</w:t>
      </w:r>
    </w:p>
    <w:p>
      <w:pPr>
        <w:pStyle w:val="ListParagraph"/>
        <w:spacing w:before="0" w:after="0"/>
        <w:ind w:left="0" w:right="0" w:firstLine="709"/>
        <w:contextualSpacing w:val="false"/>
        <w:jc w:val="both"/>
        <w:rPr/>
      </w:pPr>
      <w:r>
        <w:rPr/>
        <w:t>1.7.8. Соблюдение требований и правила охраны труда, технической, промышленной, пожарной, экологической безопасности и иные установленные на территории Заказчика требования.</w:t>
      </w:r>
    </w:p>
    <w:p>
      <w:pPr>
        <w:pStyle w:val="ListParagraph"/>
        <w:spacing w:before="0" w:after="0"/>
        <w:ind w:left="0" w:right="0" w:firstLine="709"/>
        <w:contextualSpacing w:val="false"/>
        <w:jc w:val="both"/>
        <w:rPr/>
      </w:pPr>
      <w:r>
        <w:rPr/>
        <w:t>1.7.9. Исполнитель принимает все обоснованные меры предосторожности, направленные на охрану окружающей среды в процессе выполнения работ. Обязанности Исполнителя включают в себя, помимо прочего, предотвращение загрязнения окружающей среды оборудованием и материалами Исполнителя и т.д.;</w:t>
      </w:r>
    </w:p>
    <w:p>
      <w:pPr>
        <w:pStyle w:val="ListParagraph"/>
        <w:spacing w:before="0" w:after="0"/>
        <w:ind w:left="0" w:right="0" w:firstLine="709"/>
        <w:contextualSpacing w:val="false"/>
        <w:jc w:val="both"/>
        <w:rPr/>
      </w:pPr>
      <w:r>
        <w:rPr/>
        <w:t>1.7.10. Исполнитель должен обеспечить при необходимости выезд на места дорожно-транспортных происшествий собственного штатного представителя для участия в надлежащем оформлении материалов, являющихся основанием для последующего возмещения ущерба (в том числе с причинением вреда жизни, здоровью и имуществу).</w:t>
      </w:r>
    </w:p>
    <w:p>
      <w:pPr>
        <w:pStyle w:val="ListParagraph"/>
        <w:spacing w:before="0" w:after="0"/>
        <w:ind w:left="0" w:right="0" w:firstLine="709"/>
        <w:contextualSpacing w:val="false"/>
        <w:jc w:val="both"/>
        <w:rPr/>
      </w:pPr>
      <w:r>
        <w:rPr/>
        <w:t>1.7.11. Исполнитель несет расходы, возникающие с эксплуатацией транспортных средств: оплата полиса ОСАГО, отплата медосмотра водителей, оплата топлива, оплата планового ТО, текущего и капитального ремонта, горюче-смазочных и иных используемых эксплуатационных материалов. Расходы на услуги по мойке и иному текущему эксплуатационному обслуживанию.</w:t>
      </w:r>
    </w:p>
    <w:p>
      <w:pPr>
        <w:pStyle w:val="ListParagraph"/>
        <w:spacing w:before="0" w:after="0"/>
        <w:ind w:left="0" w:right="0" w:firstLine="709"/>
        <w:contextualSpacing w:val="false"/>
        <w:jc w:val="both"/>
        <w:rPr/>
      </w:pPr>
      <w:r>
        <w:rPr/>
        <w:t>1.7.12. Исполнитель обеспечивает ведение фактического учёта работы транспортных средств с выдачей и ведением соответствующих путевых листов (прочих документов в соответствии с законодательством РФ), использования по каждой единице транспорта топлива, расходных материалов и прочих эксплуатационных расходов. Исполнитель, по требованию Заказчика обязан ознакомить его с документами по учету работы транспортных средств и эксплуатационных</w:t>
      </w:r>
      <w:r>
        <w:rPr>
          <w:lang w:eastAsia="x-none"/>
        </w:rPr>
        <w:t xml:space="preserve"> расходов.</w:t>
      </w:r>
    </w:p>
    <w:p>
      <w:pPr>
        <w:pStyle w:val="Normal"/>
        <w:spacing w:before="0" w:after="0"/>
        <w:ind w:left="0" w:right="0" w:firstLine="709"/>
        <w:jc w:val="both"/>
        <w:rPr>
          <w:rFonts w:eastAsia="Calibri"/>
          <w:sz w:val="24"/>
          <w:szCs w:val="24"/>
          <w:lang w:eastAsia="x-none"/>
        </w:rPr>
      </w:pPr>
      <w:r>
        <w:rPr>
          <w:rFonts w:eastAsia="Calibri"/>
          <w:sz w:val="24"/>
          <w:szCs w:val="24"/>
          <w:lang w:eastAsia="x-none"/>
        </w:rPr>
      </w:r>
    </w:p>
    <w:p>
      <w:pPr>
        <w:pStyle w:val="ListParagraph"/>
        <w:spacing w:before="0" w:after="0"/>
        <w:ind w:left="0" w:right="0" w:firstLine="709"/>
        <w:contextualSpacing w:val="false"/>
        <w:jc w:val="both"/>
        <w:rPr/>
      </w:pPr>
      <w:r>
        <w:rPr>
          <w:b/>
          <w:bCs/>
          <w:lang w:eastAsia="x-none"/>
        </w:rPr>
        <w:t>1.8. Требования к автотранспортному средству в соответствии с законодательством:</w:t>
      </w:r>
    </w:p>
    <w:p>
      <w:pPr>
        <w:pStyle w:val="ListParagraph"/>
        <w:spacing w:before="0" w:after="0"/>
        <w:ind w:left="0" w:right="0" w:firstLine="709"/>
        <w:contextualSpacing w:val="false"/>
        <w:jc w:val="both"/>
        <w:rPr/>
      </w:pPr>
      <w:r>
        <w:rPr>
          <w:rFonts w:eastAsia="Calibri" w:cs="Times New Roman"/>
          <w:b w:val="false"/>
          <w:bCs w:val="false"/>
          <w:color w:val="auto"/>
          <w:kern w:val="0"/>
          <w:sz w:val="24"/>
          <w:szCs w:val="24"/>
          <w:lang w:val="ru-RU" w:eastAsia="x-none" w:bidi="ar-SA"/>
        </w:rPr>
        <w:t>1.8.1. Соответствие</w:t>
      </w:r>
      <w:r>
        <w:rPr>
          <w:b w:val="false"/>
          <w:bCs w:val="false"/>
        </w:rPr>
        <w:t xml:space="preserve"> с требованиями действующего законодательства РФ, в т.ч.:</w:t>
      </w:r>
    </w:p>
    <w:p>
      <w:pPr>
        <w:pStyle w:val="ListParagraph"/>
        <w:numPr>
          <w:ilvl w:val="0"/>
          <w:numId w:val="20"/>
        </w:numPr>
        <w:suppressAutoHyphens w:val="false"/>
        <w:jc w:val="both"/>
        <w:rPr/>
      </w:pPr>
      <w:r>
        <w:rPr>
          <w:bCs/>
        </w:rPr>
        <w:t xml:space="preserve">Федерального закона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от 03.08.2018 N 283-ФЗ (последняя редакция), </w:t>
      </w:r>
    </w:p>
    <w:p>
      <w:pPr>
        <w:pStyle w:val="ListParagraph"/>
        <w:numPr>
          <w:ilvl w:val="0"/>
          <w:numId w:val="20"/>
        </w:numPr>
        <w:suppressAutoHyphens w:val="false"/>
        <w:jc w:val="both"/>
        <w:rPr/>
      </w:pPr>
      <w:r>
        <w:rPr>
          <w:bCs/>
        </w:rPr>
        <w:t xml:space="preserve">Постановления Правительства РФ от 22 декабря 2020 г. N 2216, </w:t>
      </w:r>
    </w:p>
    <w:p>
      <w:pPr>
        <w:pStyle w:val="ListParagraph"/>
        <w:numPr>
          <w:ilvl w:val="0"/>
          <w:numId w:val="20"/>
        </w:numPr>
        <w:suppressAutoHyphens w:val="false"/>
        <w:jc w:val="both"/>
        <w:rPr/>
      </w:pPr>
      <w:r>
        <w:rPr>
          <w:bCs/>
        </w:rPr>
        <w:t xml:space="preserve">Федеральный закон от 13.07.2015 N 220-ФЗ (ред. от 08.08.2024)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 изм. и доп., вступ. в силу с 01.09.2024), </w:t>
      </w:r>
    </w:p>
    <w:p>
      <w:pPr>
        <w:pStyle w:val="ListParagraph"/>
        <w:numPr>
          <w:ilvl w:val="0"/>
          <w:numId w:val="20"/>
        </w:numPr>
        <w:suppressAutoHyphens w:val="false"/>
        <w:jc w:val="both"/>
        <w:rPr/>
      </w:pPr>
      <w:r>
        <w:rPr>
          <w:bCs/>
        </w:rPr>
        <w:t>Федеральный закон от 25.04.2002 N 40-ФЗ (ред. от 25.12.2023) «Об обязательном страховании гражданской ответственности владельцев транспортных средств» (с изм. и доп., вступ. в силу с 01.10.2024),</w:t>
      </w:r>
      <w:r>
        <w:rPr>
          <w:bCs/>
          <w:color w:val="22272F"/>
          <w:shd w:fill="FFFFFF" w:val="clear"/>
        </w:rPr>
        <w:t xml:space="preserve"> </w:t>
      </w:r>
    </w:p>
    <w:p>
      <w:pPr>
        <w:pStyle w:val="ListParagraph"/>
        <w:numPr>
          <w:ilvl w:val="0"/>
          <w:numId w:val="20"/>
        </w:numPr>
        <w:suppressAutoHyphens w:val="false"/>
        <w:jc w:val="both"/>
        <w:rPr/>
      </w:pPr>
      <w:r>
        <w:rPr>
          <w:bCs/>
          <w:color w:val="000000"/>
          <w:kern w:val="2"/>
        </w:rPr>
        <w:t>Постановления Правительства РФ от 23.10.1993 N 1090 (ред. от 19.04.2024)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r>
        <w:rPr/>
        <w:t xml:space="preserve"> </w:t>
      </w:r>
    </w:p>
    <w:p>
      <w:pPr>
        <w:pStyle w:val="ListParagraph"/>
        <w:numPr>
          <w:ilvl w:val="0"/>
          <w:numId w:val="20"/>
        </w:numPr>
        <w:suppressAutoHyphens w:val="false"/>
        <w:jc w:val="both"/>
        <w:rPr/>
      </w:pPr>
      <w:r>
        <w:rPr>
          <w:bCs/>
          <w:color w:val="000000"/>
          <w:kern w:val="2"/>
        </w:rPr>
        <w:t>Постановления Правительства РФ от 15.09.2020 N 1434 (ред. от 09.12.2023)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pPr>
        <w:pStyle w:val="ListParagraph"/>
        <w:numPr>
          <w:ilvl w:val="0"/>
          <w:numId w:val="20"/>
        </w:numPr>
        <w:suppressAutoHyphens w:val="false"/>
        <w:jc w:val="both"/>
        <w:rPr>
          <w:b/>
          <w:bCs/>
          <w:color w:val="000000"/>
          <w:kern w:val="2"/>
        </w:rPr>
      </w:pPr>
      <w:r>
        <w:rPr>
          <w:bCs/>
          <w:color w:val="000000"/>
          <w:kern w:val="2"/>
          <w:sz w:val="24"/>
          <w:szCs w:val="24"/>
        </w:rPr>
        <w:t>Национальный стандарт РФ ГОСТ Р 58287-2018 «Отличительные знаки и информационное обеспечение транспортных средств пассажирского наземного транспорта, остановочных пунктов и автостанций. Общие технические требования».</w:t>
      </w:r>
    </w:p>
    <w:p>
      <w:pPr>
        <w:pStyle w:val="Normal"/>
        <w:spacing w:before="0" w:after="0"/>
        <w:contextualSpacing/>
        <w:jc w:val="both"/>
        <w:rPr>
          <w:rFonts w:eastAsia="Calibri"/>
          <w:sz w:val="24"/>
          <w:szCs w:val="24"/>
          <w:lang w:eastAsia="x-none"/>
        </w:rPr>
      </w:pPr>
      <w:r>
        <w:rPr>
          <w:rFonts w:eastAsia="Calibri"/>
          <w:sz w:val="24"/>
          <w:szCs w:val="24"/>
          <w:lang w:eastAsia="x-none"/>
        </w:rPr>
      </w:r>
      <w:r>
        <w:br w:type="page"/>
      </w:r>
    </w:p>
    <w:p>
      <w:pPr>
        <w:pStyle w:val="ListParagraph"/>
        <w:ind w:left="284" w:firstLine="142"/>
        <w:jc w:val="center"/>
        <w:rPr>
          <w:sz w:val="24"/>
          <w:szCs w:val="24"/>
        </w:rPr>
      </w:pPr>
      <w:r>
        <w:rPr>
          <w:b/>
          <w:bCs/>
          <w:sz w:val="24"/>
          <w:szCs w:val="24"/>
        </w:rPr>
        <w:t xml:space="preserve">2. </w:t>
      </w:r>
      <w:bookmarkStart w:id="35" w:name="_Toc513396932_Копия_1"/>
      <w:bookmarkStart w:id="36" w:name="_Toc546437022_Копия_1"/>
      <w:r>
        <w:rPr>
          <w:b/>
          <w:bCs/>
          <w:sz w:val="24"/>
          <w:szCs w:val="24"/>
        </w:rPr>
        <w:t xml:space="preserve">Требования к </w:t>
      </w:r>
      <w:bookmarkEnd w:id="35"/>
      <w:bookmarkEnd w:id="36"/>
      <w:r>
        <w:rPr>
          <w:b/>
          <w:bCs/>
          <w:sz w:val="24"/>
          <w:szCs w:val="24"/>
        </w:rPr>
        <w:t>услугам</w:t>
      </w:r>
    </w:p>
    <w:p>
      <w:pPr>
        <w:pStyle w:val="ListParagraph"/>
        <w:ind w:left="0" w:hanging="0"/>
        <w:rPr>
          <w:b/>
          <w:bCs/>
          <w:sz w:val="28"/>
          <w:szCs w:val="28"/>
        </w:rPr>
      </w:pPr>
      <w:r>
        <w:rPr>
          <w:b/>
          <w:bCs/>
          <w:sz w:val="28"/>
          <w:szCs w:val="28"/>
        </w:rPr>
      </w:r>
    </w:p>
    <w:p>
      <w:pPr>
        <w:pStyle w:val="ListParagraph"/>
        <w:ind w:left="0" w:firstLine="851"/>
        <w:rPr>
          <w:b/>
          <w:bCs/>
        </w:rPr>
      </w:pPr>
      <w:r>
        <w:rPr>
          <w:b/>
          <w:bCs/>
        </w:rPr>
        <w:t xml:space="preserve">2.1. </w:t>
      </w:r>
      <w:bookmarkStart w:id="37" w:name="_Toc546437032_Копия_1"/>
      <w:r>
        <w:rPr>
          <w:b/>
          <w:bCs/>
        </w:rPr>
        <w:t>Требования к объемам и срокам оказания услуг</w:t>
      </w:r>
      <w:bookmarkEnd w:id="37"/>
    </w:p>
    <w:p>
      <w:pPr>
        <w:pStyle w:val="ListParagraph"/>
        <w:ind w:left="0" w:firstLine="851"/>
        <w:jc w:val="both"/>
        <w:rPr>
          <w:b/>
          <w:bCs/>
        </w:rPr>
      </w:pPr>
      <w:bookmarkStart w:id="38" w:name="_Toc546437042_Копия_1"/>
      <w:r>
        <w:rPr>
          <w:b/>
          <w:bCs/>
        </w:rPr>
        <w:t>2.1.1. Требования к перечню и объему услуг</w:t>
      </w:r>
      <w:bookmarkEnd w:id="38"/>
    </w:p>
    <w:p>
      <w:pPr>
        <w:pStyle w:val="Normal"/>
        <w:widowControl w:val="false"/>
        <w:tabs>
          <w:tab w:val="clear" w:pos="708"/>
          <w:tab w:val="left" w:pos="426" w:leader="none"/>
        </w:tabs>
        <w:spacing w:before="120" w:after="120"/>
        <w:ind w:firstLine="142"/>
        <w:rPr>
          <w:rStyle w:val="Style19"/>
          <w:bCs/>
          <w:i w:val="false"/>
          <w:i w:val="false"/>
          <w:sz w:val="24"/>
          <w:szCs w:val="24"/>
          <w:shd w:fill="auto" w:val="clear"/>
        </w:rPr>
      </w:pPr>
      <w:r>
        <w:rPr>
          <w:b/>
          <w:bCs/>
          <w:sz w:val="24"/>
          <w:szCs w:val="24"/>
        </w:rPr>
        <w:t xml:space="preserve">Таблица 2. Маршруты и расписание движения </w:t>
      </w:r>
    </w:p>
    <w:tbl>
      <w:tblPr>
        <w:tblW w:w="9765" w:type="dxa"/>
        <w:jc w:val="left"/>
        <w:tblInd w:w="0" w:type="dxa"/>
        <w:tblLayout w:type="fixed"/>
        <w:tblCellMar>
          <w:top w:w="0" w:type="dxa"/>
          <w:left w:w="108" w:type="dxa"/>
          <w:bottom w:w="0" w:type="dxa"/>
          <w:right w:w="108" w:type="dxa"/>
        </w:tblCellMar>
      </w:tblPr>
      <w:tblGrid>
        <w:gridCol w:w="6569"/>
        <w:gridCol w:w="3195"/>
      </w:tblGrid>
      <w:tr>
        <w:trPr>
          <w:trHeight w:val="20" w:hRule="atLeast"/>
        </w:trPr>
        <w:tc>
          <w:tcPr>
            <w:tcW w:w="9764" w:type="dxa"/>
            <w:gridSpan w:val="2"/>
            <w:tcBorders>
              <w:top w:val="single" w:sz="8" w:space="0" w:color="000000"/>
              <w:left w:val="single" w:sz="8" w:space="0" w:color="000000"/>
              <w:bottom w:val="single" w:sz="8" w:space="0" w:color="000000"/>
              <w:right w:val="single" w:sz="8" w:space="0" w:color="000000"/>
            </w:tcBorders>
            <w:shd w:fill="EDEDED" w:val="clear"/>
            <w:vAlign w:val="center"/>
          </w:tcPr>
          <w:p>
            <w:pPr>
              <w:pStyle w:val="Normal"/>
              <w:widowControl w:val="false"/>
              <w:jc w:val="center"/>
              <w:rPr>
                <w:b/>
                <w:bCs/>
                <w:sz w:val="22"/>
                <w:szCs w:val="22"/>
              </w:rPr>
            </w:pPr>
            <w:r>
              <w:rPr>
                <w:b/>
                <w:bCs/>
                <w:sz w:val="20"/>
                <w:szCs w:val="20"/>
              </w:rPr>
              <w:t>Маршрут № 1 (прямое направление) понедельник - пятница</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Место отправления</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 xml:space="preserve">Ельниковский проезд </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отправления</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05:40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посадки №1 </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Магазин Турист</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 1</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05:42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посадки №2</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Магазин Глория</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№2</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05:44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посадки №3</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 xml:space="preserve">Спортивная школа </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№3</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05:46</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посадки №4</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Музыкальная школа</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№4</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05:48</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посадки №5</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ЦТДЮ</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№5</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05:50</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посадки №6</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Роща</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№6</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05:53</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посадки №7</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Парковая</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посадки №7</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05:55</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b/>
                <w:bCs/>
                <w:sz w:val="20"/>
                <w:szCs w:val="20"/>
              </w:rPr>
            </w:pPr>
            <w:r>
              <w:rPr>
                <w:b/>
                <w:bCs/>
                <w:sz w:val="20"/>
                <w:szCs w:val="20"/>
              </w:rPr>
              <w:t>Конечная точка прибытия</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Набережная, 34 (ГЭС)</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b/>
                <w:bCs/>
                <w:sz w:val="20"/>
                <w:szCs w:val="20"/>
              </w:rPr>
            </w:pPr>
            <w:r>
              <w:rPr>
                <w:b/>
                <w:bCs/>
                <w:sz w:val="20"/>
                <w:szCs w:val="20"/>
              </w:rPr>
              <w:t>Время прибытия в конечную точку</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05:58</w:t>
            </w:r>
          </w:p>
        </w:tc>
      </w:tr>
      <w:tr>
        <w:trPr>
          <w:trHeight w:val="20" w:hRule="atLeast"/>
        </w:trPr>
        <w:tc>
          <w:tcPr>
            <w:tcW w:w="9764" w:type="dxa"/>
            <w:gridSpan w:val="2"/>
            <w:tcBorders>
              <w:top w:val="single" w:sz="8" w:space="0" w:color="000000"/>
              <w:left w:val="single" w:sz="8" w:space="0" w:color="000000"/>
              <w:bottom w:val="single" w:sz="8" w:space="0" w:color="000000"/>
              <w:right w:val="single" w:sz="8" w:space="0" w:color="000000"/>
            </w:tcBorders>
            <w:shd w:fill="EDEDED" w:val="clear"/>
            <w:vAlign w:val="center"/>
          </w:tcPr>
          <w:p>
            <w:pPr>
              <w:pStyle w:val="Normal"/>
              <w:widowControl w:val="false"/>
              <w:jc w:val="center"/>
              <w:rPr>
                <w:sz w:val="20"/>
                <w:szCs w:val="20"/>
              </w:rPr>
            </w:pPr>
            <w:r>
              <w:rPr>
                <w:b/>
                <w:bCs/>
                <w:sz w:val="20"/>
                <w:szCs w:val="20"/>
              </w:rPr>
              <w:t>Маршрут № 2 (обратное направление) понедельник - четверг</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Место отправления</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Набережная, 34 (ГЭС)</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отправления</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15:05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№1</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Кинотеатр «Заря»</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 1</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15:07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№2</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Магазин «Антей»</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№2</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15:10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высадки пассажиров №3 </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Улица «Комсомольская»</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№3</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15:15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высадки пассажиров №4 </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Магазин «Каблучок»</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№4</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15:18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высадки пассажиров №5 </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Магазин «Весна»</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№5</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15:20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№6</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Соборная площадь</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№6</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15:30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№7</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ул. Пионерская</w:t>
            </w:r>
            <w:r>
              <w:rPr>
                <w:sz w:val="20"/>
                <w:szCs w:val="20"/>
              </w:rPr>
              <w:t xml:space="preserve"> (по требованию)</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№7</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15:40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№8</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Новочебоксарский рынок</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Время прибытия в промежуточную точку высадки пассажиров №8 </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15:50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№9</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Детская поликлиника</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№9</w:t>
            </w:r>
          </w:p>
        </w:tc>
        <w:tc>
          <w:tcPr>
            <w:tcW w:w="3195" w:type="dxa"/>
            <w:tcBorders>
              <w:bottom w:val="single" w:sz="4" w:space="0" w:color="000000"/>
              <w:right w:val="single" w:sz="8" w:space="0" w:color="000000"/>
            </w:tcBorders>
            <w:vAlign w:val="center"/>
          </w:tcPr>
          <w:p>
            <w:pPr>
              <w:pStyle w:val="Normal"/>
              <w:widowControl w:val="false"/>
              <w:jc w:val="center"/>
              <w:rPr/>
            </w:pPr>
            <w:r>
              <w:rPr>
                <w:sz w:val="20"/>
                <w:szCs w:val="20"/>
              </w:rPr>
              <w:t>16:00 (время местное)</w:t>
            </w:r>
          </w:p>
        </w:tc>
      </w:tr>
      <w:tr>
        <w:trPr>
          <w:trHeight w:val="20" w:hRule="atLeast"/>
        </w:trPr>
        <w:tc>
          <w:tcPr>
            <w:tcW w:w="6569" w:type="dxa"/>
            <w:tcBorders>
              <w:left w:val="single" w:sz="8"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Место прибытия (конечная точка)</w:t>
            </w:r>
          </w:p>
        </w:tc>
        <w:tc>
          <w:tcPr>
            <w:tcW w:w="3195" w:type="dxa"/>
            <w:tcBorders>
              <w:bottom w:val="single" w:sz="4" w:space="0" w:color="000000"/>
              <w:right w:val="single" w:sz="8" w:space="0" w:color="000000"/>
            </w:tcBorders>
            <w:vAlign w:val="center"/>
          </w:tcPr>
          <w:p>
            <w:pPr>
              <w:pStyle w:val="Normal"/>
              <w:widowControl w:val="false"/>
              <w:jc w:val="center"/>
              <w:rPr/>
            </w:pPr>
            <w:r>
              <w:rPr>
                <w:b/>
                <w:bCs/>
                <w:sz w:val="20"/>
                <w:szCs w:val="20"/>
              </w:rPr>
              <w:t>Магазин «Турист»</w:t>
            </w:r>
          </w:p>
        </w:tc>
      </w:tr>
      <w:tr>
        <w:trPr>
          <w:trHeight w:val="20" w:hRule="atLeast"/>
        </w:trPr>
        <w:tc>
          <w:tcPr>
            <w:tcW w:w="6569" w:type="dxa"/>
            <w:tcBorders>
              <w:left w:val="single" w:sz="8"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конечную точку</w:t>
            </w:r>
          </w:p>
        </w:tc>
        <w:tc>
          <w:tcPr>
            <w:tcW w:w="3195" w:type="dxa"/>
            <w:tcBorders>
              <w:right w:val="single" w:sz="8" w:space="0" w:color="000000"/>
            </w:tcBorders>
            <w:vAlign w:val="center"/>
          </w:tcPr>
          <w:p>
            <w:pPr>
              <w:pStyle w:val="Normal"/>
              <w:widowControl w:val="false"/>
              <w:jc w:val="center"/>
              <w:rPr/>
            </w:pPr>
            <w:r>
              <w:rPr>
                <w:sz w:val="20"/>
                <w:szCs w:val="20"/>
              </w:rPr>
              <w:t>16:05 (время местное)</w:t>
            </w:r>
          </w:p>
        </w:tc>
      </w:tr>
      <w:tr>
        <w:trPr>
          <w:trHeight w:val="20" w:hRule="atLeast"/>
        </w:trPr>
        <w:tc>
          <w:tcPr>
            <w:tcW w:w="9764" w:type="dxa"/>
            <w:gridSpan w:val="2"/>
            <w:tcBorders>
              <w:left w:val="single" w:sz="8" w:space="0" w:color="000000"/>
              <w:bottom w:val="single" w:sz="4" w:space="0" w:color="000000"/>
              <w:right w:val="single" w:sz="8" w:space="0" w:color="000000"/>
            </w:tcBorders>
            <w:shd w:fill="DBDBDB" w:val="clear"/>
            <w:vAlign w:val="center"/>
          </w:tcPr>
          <w:p>
            <w:pPr>
              <w:pStyle w:val="Normal"/>
              <w:widowControl w:val="false"/>
              <w:jc w:val="center"/>
              <w:rPr>
                <w:sz w:val="20"/>
                <w:szCs w:val="20"/>
              </w:rPr>
            </w:pPr>
            <w:r>
              <w:rPr>
                <w:b/>
                <w:bCs/>
                <w:sz w:val="20"/>
                <w:szCs w:val="20"/>
              </w:rPr>
              <w:t>Маршрут № 3 (обратное направление) пятница</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Место отправления</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Набережная, 34 (ГЭС)</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отправления</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14:05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№1</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Кинотеатр «Заря»</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 1</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14:07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№2</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Магазин «Антей»</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№2</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14:10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высадки пассажиров №3 </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Улица «Комсомольская»</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№3</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14:15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высадки пассажиров №4 </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Магазин «Каблучок»</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№4</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14:18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Промежуточная точка высадки пассажиров №5 </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Магазин «Весна»</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№5</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14:20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№6</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Соборная площадь</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№6</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14:30 (время местное)</w:t>
            </w:r>
          </w:p>
        </w:tc>
      </w:tr>
      <w:tr>
        <w:trPr>
          <w:trHeight w:val="20" w:hRule="atLeast"/>
        </w:trPr>
        <w:tc>
          <w:tcPr>
            <w:tcW w:w="6569" w:type="dxa"/>
            <w:tcBorders>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№7</w:t>
            </w:r>
          </w:p>
        </w:tc>
        <w:tc>
          <w:tcPr>
            <w:tcW w:w="3195" w:type="dxa"/>
            <w:tcBorders>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ул. Пионерская</w:t>
            </w:r>
            <w:r>
              <w:rPr>
                <w:sz w:val="20"/>
                <w:szCs w:val="20"/>
              </w:rPr>
              <w:t xml:space="preserve"> (по требованию)</w:t>
            </w:r>
          </w:p>
        </w:tc>
      </w:tr>
      <w:tr>
        <w:trPr>
          <w:trHeight w:val="20" w:hRule="atLeast"/>
        </w:trPr>
        <w:tc>
          <w:tcPr>
            <w:tcW w:w="6569" w:type="dxa"/>
            <w:tcBorders>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№7</w:t>
            </w:r>
          </w:p>
        </w:tc>
        <w:tc>
          <w:tcPr>
            <w:tcW w:w="3195" w:type="dxa"/>
            <w:tcBorders>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14:40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№8</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Новочебоксарский рынок</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 xml:space="preserve">Время прибытия в промежуточную точку высадки пассажиров №8 </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14:50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Промежуточная точка высадки пассажиров №9</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Детская поликлиника</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промежуточную точку высадки пассажиров №9</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15:00 (время местное)</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Место прибытия (конечная точка)</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b/>
                <w:bCs/>
                <w:sz w:val="20"/>
                <w:szCs w:val="20"/>
              </w:rPr>
              <w:t>Магазин «Турист»</w:t>
            </w:r>
          </w:p>
        </w:tc>
      </w:tr>
      <w:tr>
        <w:trPr>
          <w:trHeight w:val="20" w:hRule="atLeast"/>
        </w:trPr>
        <w:tc>
          <w:tcPr>
            <w:tcW w:w="656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sz w:val="20"/>
                <w:szCs w:val="20"/>
              </w:rPr>
            </w:pPr>
            <w:r>
              <w:rPr>
                <w:b/>
                <w:bCs/>
                <w:sz w:val="20"/>
                <w:szCs w:val="20"/>
              </w:rPr>
              <w:t>Время прибытия в конечную точку</w:t>
            </w:r>
          </w:p>
        </w:tc>
        <w:tc>
          <w:tcPr>
            <w:tcW w:w="319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0"/>
                <w:szCs w:val="20"/>
              </w:rPr>
              <w:t>15:05 (время местное)</w:t>
            </w:r>
          </w:p>
        </w:tc>
      </w:tr>
    </w:tbl>
    <w:p>
      <w:pPr>
        <w:pStyle w:val="4"/>
        <w:widowControl/>
        <w:spacing w:before="0" w:after="0"/>
        <w:contextualSpacing/>
        <w:rPr>
          <w:color w:val="auto"/>
          <w:spacing w:val="0"/>
          <w:highlight w:val="yellow"/>
        </w:rPr>
      </w:pPr>
      <w:r>
        <w:rPr>
          <w:color w:val="auto"/>
          <w:spacing w:val="0"/>
          <w:highlight w:val="yellow"/>
        </w:rPr>
      </w:r>
    </w:p>
    <w:p>
      <w:pPr>
        <w:pStyle w:val="Normal"/>
        <w:jc w:val="both"/>
        <w:rPr/>
      </w:pPr>
      <w:r>
        <w:rPr>
          <w:rFonts w:eastAsia="Calibri"/>
          <w:bCs w:val="false"/>
          <w:color w:val="000000"/>
          <w:spacing w:val="0"/>
          <w:sz w:val="24"/>
          <w:szCs w:val="24"/>
          <w:shd w:fill="auto" w:val="clear"/>
          <w:lang w:eastAsia="x-none"/>
        </w:rPr>
        <w:t xml:space="preserve">Доставка сотрудников на работу и обратно одним автобусом по г. Новочебоксарск. </w:t>
      </w:r>
    </w:p>
    <w:p>
      <w:pPr>
        <w:pStyle w:val="Normal"/>
        <w:jc w:val="both"/>
        <w:rPr/>
      </w:pPr>
      <w:r>
        <w:rPr>
          <w:rFonts w:eastAsia="Calibri"/>
          <w:bCs w:val="false"/>
          <w:color w:val="000000"/>
          <w:spacing w:val="0"/>
          <w:sz w:val="24"/>
          <w:szCs w:val="24"/>
          <w:shd w:fill="auto" w:val="clear"/>
          <w:lang w:eastAsia="x-none"/>
        </w:rPr>
        <w:t xml:space="preserve">Утром на работу по адресу: г. Набережная ул.,34 Новочебоксарск, Россия (доставка к 5:58). Вечером-обратно (отбытие в 15:05), пятница короткий день с 06:00 до 14:00. </w:t>
      </w:r>
    </w:p>
    <w:p>
      <w:pPr>
        <w:pStyle w:val="Normal"/>
        <w:spacing w:before="0" w:after="0"/>
        <w:contextualSpacing/>
        <w:jc w:val="both"/>
        <w:rPr>
          <w:rFonts w:eastAsia="Calibri"/>
          <w:sz w:val="24"/>
          <w:szCs w:val="24"/>
          <w:lang w:eastAsia="x-none"/>
        </w:rPr>
      </w:pPr>
      <w:r>
        <w:rPr>
          <w:rFonts w:eastAsia="Calibri"/>
          <w:sz w:val="24"/>
          <w:szCs w:val="24"/>
          <w:lang w:eastAsia="x-none"/>
        </w:rPr>
      </w:r>
    </w:p>
    <w:p>
      <w:pPr>
        <w:pStyle w:val="Normal"/>
        <w:keepNext w:val="true"/>
        <w:widowControl w:val="false"/>
        <w:numPr>
          <w:ilvl w:val="0"/>
          <w:numId w:val="0"/>
        </w:numPr>
        <w:snapToGrid w:val="false"/>
        <w:spacing w:before="0" w:after="0"/>
        <w:ind w:left="0" w:firstLine="567"/>
        <w:contextualSpacing/>
        <w:jc w:val="both"/>
        <w:outlineLvl w:val="2"/>
        <w:rPr>
          <w:rFonts w:eastAsia="Calibri"/>
          <w:b/>
          <w:bCs/>
          <w:sz w:val="24"/>
          <w:szCs w:val="24"/>
          <w:lang w:val="x-none" w:eastAsia="x-none"/>
        </w:rPr>
      </w:pPr>
      <w:r>
        <w:rPr>
          <w:rFonts w:eastAsia="Calibri"/>
          <w:b/>
          <w:bCs/>
          <w:sz w:val="24"/>
          <w:szCs w:val="24"/>
          <w:lang w:eastAsia="x-none"/>
        </w:rPr>
        <w:t>Таблица 3.</w:t>
      </w:r>
      <w:r>
        <w:rPr>
          <w:rFonts w:eastAsia="Calibri"/>
          <w:b/>
          <w:bCs/>
          <w:sz w:val="24"/>
          <w:szCs w:val="24"/>
          <w:lang w:val="x-none" w:eastAsia="x-none"/>
        </w:rPr>
        <w:t xml:space="preserve"> Объем оказываемых услуг</w:t>
      </w:r>
      <w:r>
        <w:rPr>
          <w:rStyle w:val="Style19"/>
          <w:rFonts w:eastAsia="Calibri"/>
          <w:bCs/>
          <w:i w:val="false"/>
          <w:sz w:val="24"/>
          <w:szCs w:val="24"/>
          <w:shd w:fill="auto" w:val="clear"/>
          <w:lang w:val="x-none" w:eastAsia="x-none"/>
        </w:rPr>
        <w:t>.</w:t>
      </w:r>
    </w:p>
    <w:tbl>
      <w:tblPr>
        <w:tblW w:w="9810"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826"/>
        <w:gridCol w:w="5347"/>
        <w:gridCol w:w="1702"/>
        <w:gridCol w:w="1934"/>
      </w:tblGrid>
      <w:tr>
        <w:trPr/>
        <w:tc>
          <w:tcPr>
            <w:tcW w:w="8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rPr>
                <w:sz w:val="18"/>
                <w:szCs w:val="18"/>
              </w:rPr>
            </w:pPr>
            <w:r>
              <w:rPr>
                <w:b/>
                <w:bCs/>
                <w:sz w:val="18"/>
                <w:szCs w:val="18"/>
              </w:rPr>
              <w:t xml:space="preserve">№ </w:t>
            </w:r>
            <w:r>
              <w:rPr>
                <w:b/>
                <w:bCs/>
                <w:sz w:val="18"/>
                <w:szCs w:val="18"/>
              </w:rPr>
              <w:t>п/п</w:t>
            </w:r>
          </w:p>
        </w:tc>
        <w:tc>
          <w:tcPr>
            <w:tcW w:w="534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18"/>
                <w:szCs w:val="18"/>
              </w:rPr>
            </w:pPr>
            <w:r>
              <w:rPr>
                <w:b/>
                <w:bCs/>
                <w:sz w:val="18"/>
                <w:szCs w:val="18"/>
              </w:rPr>
              <w:t>Наименование услуг / этапа услуг</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18"/>
                <w:szCs w:val="18"/>
              </w:rPr>
            </w:pPr>
            <w:r>
              <w:rPr>
                <w:b/>
                <w:bCs/>
                <w:sz w:val="18"/>
                <w:szCs w:val="18"/>
              </w:rPr>
              <w:t>Единица измерения</w:t>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18"/>
                <w:szCs w:val="18"/>
              </w:rPr>
            </w:pPr>
            <w:r>
              <w:rPr>
                <w:b/>
                <w:bCs/>
                <w:sz w:val="18"/>
                <w:szCs w:val="18"/>
              </w:rPr>
              <w:t>Количество</w:t>
            </w:r>
          </w:p>
        </w:tc>
      </w:tr>
      <w:tr>
        <w:trPr/>
        <w:tc>
          <w:tcPr>
            <w:tcW w:w="8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rPr>
              <w:t>1</w:t>
            </w:r>
          </w:p>
        </w:tc>
        <w:tc>
          <w:tcPr>
            <w:tcW w:w="53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rPr>
              <w:t>2</w:t>
            </w:r>
          </w:p>
        </w:tc>
        <w:tc>
          <w:tcPr>
            <w:tcW w:w="17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rPr>
              <w:t>3</w:t>
            </w:r>
          </w:p>
        </w:tc>
        <w:tc>
          <w:tcPr>
            <w:tcW w:w="19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8"/>
                <w:szCs w:val="18"/>
              </w:rPr>
            </w:pPr>
            <w:r>
              <w:rPr>
                <w:b/>
                <w:sz w:val="18"/>
                <w:szCs w:val="18"/>
              </w:rPr>
              <w:t>4</w:t>
            </w:r>
          </w:p>
        </w:tc>
      </w:tr>
      <w:tr>
        <w:trPr>
          <w:trHeight w:val="924" w:hRule="atLeast"/>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before="0" w:after="0"/>
              <w:ind w:left="0" w:right="0" w:hanging="0"/>
              <w:contextualSpacing w:val="false"/>
              <w:jc w:val="center"/>
              <w:rPr>
                <w:sz w:val="18"/>
                <w:szCs w:val="18"/>
              </w:rPr>
            </w:pPr>
            <w:r>
              <w:rPr>
                <w:sz w:val="18"/>
                <w:szCs w:val="18"/>
              </w:rPr>
              <w:t>1.</w:t>
            </w:r>
          </w:p>
        </w:tc>
        <w:tc>
          <w:tcPr>
            <w:tcW w:w="53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720" w:leader="none"/>
              </w:tabs>
              <w:spacing w:lineRule="auto" w:line="240" w:before="0" w:after="0"/>
              <w:ind w:left="0" w:right="0" w:hanging="0"/>
              <w:jc w:val="center"/>
              <w:rPr>
                <w:sz w:val="18"/>
                <w:szCs w:val="18"/>
              </w:rPr>
            </w:pPr>
            <w:r>
              <w:rPr>
                <w:rFonts w:eastAsia="Calibri"/>
                <w:sz w:val="18"/>
                <w:szCs w:val="18"/>
              </w:rPr>
              <w:t>ОКПД2 49.39.13.000 Оказание транспортных услуг по доставке сотрудников до места работы: филиал ПАО «РусГидро»-«Чебоксарская ГЭС»</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18"/>
                <w:szCs w:val="18"/>
              </w:rPr>
            </w:pPr>
            <w:r>
              <w:rPr>
                <w:iCs/>
                <w:sz w:val="18"/>
                <w:szCs w:val="18"/>
              </w:rPr>
              <w:t xml:space="preserve">мес </w:t>
            </w:r>
          </w:p>
        </w:tc>
        <w:tc>
          <w:tcPr>
            <w:tcW w:w="19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18"/>
                <w:szCs w:val="18"/>
              </w:rPr>
            </w:pPr>
            <w:r>
              <w:rPr>
                <w:iCs/>
                <w:sz w:val="18"/>
                <w:szCs w:val="18"/>
              </w:rPr>
              <w:t>12</w:t>
            </w:r>
          </w:p>
        </w:tc>
      </w:tr>
    </w:tbl>
    <w:p>
      <w:pPr>
        <w:pStyle w:val="Normal"/>
        <w:tabs>
          <w:tab w:val="clear" w:pos="708"/>
          <w:tab w:val="left" w:pos="1560" w:leader="none"/>
        </w:tabs>
        <w:ind w:hanging="0"/>
        <w:jc w:val="both"/>
        <w:rPr>
          <w:sz w:val="24"/>
          <w:szCs w:val="24"/>
        </w:rPr>
      </w:pPr>
      <w:r>
        <w:rPr>
          <w:i/>
          <w:iCs/>
          <w:sz w:val="24"/>
          <w:szCs w:val="24"/>
        </w:rPr>
        <w:t xml:space="preserve">*Количество рабочих дней для оказания услуг составляет 247 </w:t>
      </w:r>
      <w:r>
        <w:rPr>
          <w:i/>
          <w:iCs/>
          <w:color w:val="000000"/>
          <w:sz w:val="24"/>
          <w:szCs w:val="24"/>
        </w:rPr>
        <w:t>дней , Понедельник – пятница (будни, за исключением праздничных дней).</w:t>
      </w:r>
    </w:p>
    <w:p>
      <w:pPr>
        <w:pStyle w:val="Normal"/>
        <w:tabs>
          <w:tab w:val="clear" w:pos="708"/>
          <w:tab w:val="left" w:pos="1560" w:leader="none"/>
        </w:tabs>
        <w:ind w:firstLine="851"/>
        <w:jc w:val="both"/>
        <w:rPr>
          <w:color w:val="000000"/>
          <w:sz w:val="24"/>
          <w:szCs w:val="24"/>
        </w:rPr>
      </w:pPr>
      <w:r>
        <w:rPr>
          <w:color w:val="000000"/>
          <w:sz w:val="24"/>
          <w:szCs w:val="24"/>
        </w:rPr>
      </w:r>
    </w:p>
    <w:p>
      <w:pPr>
        <w:pStyle w:val="ListParagraph"/>
        <w:tabs>
          <w:tab w:val="clear" w:pos="708"/>
          <w:tab w:val="left" w:pos="1560" w:leader="none"/>
        </w:tabs>
        <w:ind w:left="284" w:firstLine="425"/>
        <w:jc w:val="both"/>
        <w:rPr>
          <w:b/>
          <w:bCs/>
        </w:rPr>
      </w:pPr>
      <w:r>
        <w:rPr>
          <w:b/>
          <w:bCs/>
        </w:rPr>
        <w:t xml:space="preserve">2.1.2. </w:t>
      </w:r>
      <w:bookmarkStart w:id="39" w:name="_Toc513396961_Копия_1"/>
      <w:r>
        <w:rPr>
          <w:b/>
          <w:bCs/>
        </w:rPr>
        <w:t xml:space="preserve">Требования </w:t>
      </w:r>
      <w:bookmarkEnd w:id="39"/>
      <w:r>
        <w:rPr>
          <w:b/>
          <w:bCs/>
        </w:rPr>
        <w:t>к срокам оказания услуг</w:t>
      </w:r>
    </w:p>
    <w:p>
      <w:pPr>
        <w:pStyle w:val="Normal"/>
        <w:tabs>
          <w:tab w:val="clear" w:pos="708"/>
          <w:tab w:val="left" w:pos="1560" w:leader="none"/>
        </w:tabs>
        <w:ind w:left="284" w:firstLine="425"/>
        <w:jc w:val="both"/>
        <w:rPr>
          <w:b/>
          <w:bCs/>
          <w:sz w:val="24"/>
          <w:szCs w:val="24"/>
        </w:rPr>
      </w:pPr>
      <w:r>
        <w:rPr>
          <w:b/>
          <w:bCs/>
          <w:sz w:val="24"/>
          <w:szCs w:val="24"/>
        </w:rPr>
        <w:t xml:space="preserve">Таблица 4. </w:t>
      </w:r>
      <w:bookmarkStart w:id="40" w:name="_Hlk504652841_Копия_1"/>
      <w:r>
        <w:rPr>
          <w:b/>
          <w:bCs/>
          <w:sz w:val="24"/>
          <w:szCs w:val="24"/>
        </w:rPr>
        <w:t xml:space="preserve">Требования к срокам </w:t>
      </w:r>
      <w:bookmarkEnd w:id="40"/>
      <w:r>
        <w:rPr>
          <w:b/>
          <w:bCs/>
          <w:sz w:val="24"/>
          <w:szCs w:val="24"/>
        </w:rPr>
        <w:t>оказания услуг</w:t>
      </w:r>
    </w:p>
    <w:tbl>
      <w:tblPr>
        <w:tblW w:w="9810" w:type="dxa"/>
        <w:jc w:val="left"/>
        <w:tblInd w:w="137" w:type="dxa"/>
        <w:tblLayout w:type="fixed"/>
        <w:tblCellMar>
          <w:top w:w="0" w:type="dxa"/>
          <w:left w:w="108" w:type="dxa"/>
          <w:bottom w:w="0" w:type="dxa"/>
          <w:right w:w="108" w:type="dxa"/>
        </w:tblCellMar>
        <w:tblLook w:noVBand="1" w:val="04a0" w:noHBand="0" w:lastColumn="0" w:firstColumn="1" w:lastRow="0" w:firstRow="1"/>
      </w:tblPr>
      <w:tblGrid>
        <w:gridCol w:w="831"/>
        <w:gridCol w:w="3847"/>
        <w:gridCol w:w="2478"/>
        <w:gridCol w:w="2653"/>
      </w:tblGrid>
      <w:tr>
        <w:trPr/>
        <w:tc>
          <w:tcPr>
            <w:tcW w:w="83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sz w:val="20"/>
                <w:szCs w:val="20"/>
              </w:rPr>
            </w:pPr>
            <w:r>
              <w:rPr>
                <w:b/>
                <w:bCs/>
                <w:sz w:val="20"/>
                <w:szCs w:val="20"/>
              </w:rPr>
              <w:t xml:space="preserve">№ </w:t>
            </w:r>
            <w:r>
              <w:rPr>
                <w:b/>
                <w:bCs/>
                <w:sz w:val="20"/>
                <w:szCs w:val="20"/>
              </w:rPr>
              <w:t>п/п</w:t>
            </w:r>
          </w:p>
        </w:tc>
        <w:tc>
          <w:tcPr>
            <w:tcW w:w="3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bCs/>
                <w:sz w:val="20"/>
                <w:szCs w:val="20"/>
              </w:rPr>
            </w:pPr>
            <w:r>
              <w:rPr>
                <w:b/>
                <w:bCs/>
                <w:sz w:val="20"/>
                <w:szCs w:val="20"/>
              </w:rPr>
              <w:t>Наименование услуг/ этапа услуг</w:t>
            </w:r>
          </w:p>
        </w:tc>
        <w:tc>
          <w:tcPr>
            <w:tcW w:w="2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Требования к началу срока оказания услуг/ этапа услуг</w:t>
            </w:r>
          </w:p>
        </w:tc>
        <w:tc>
          <w:tcPr>
            <w:tcW w:w="2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b/>
                <w:bCs/>
                <w:sz w:val="20"/>
                <w:szCs w:val="20"/>
              </w:rPr>
              <w:t>Требования к окончанию срока оказания услуг / этапа услуг</w:t>
            </w:r>
          </w:p>
        </w:tc>
      </w:tr>
      <w:tr>
        <w:trPr/>
        <w:tc>
          <w:tcPr>
            <w:tcW w:w="83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bCs/>
                <w:sz w:val="20"/>
                <w:szCs w:val="20"/>
              </w:rPr>
            </w:pPr>
            <w:r>
              <w:rPr>
                <w:b/>
                <w:bCs/>
                <w:sz w:val="20"/>
                <w:szCs w:val="20"/>
              </w:rPr>
              <w:t>1</w:t>
            </w:r>
          </w:p>
        </w:tc>
        <w:tc>
          <w:tcPr>
            <w:tcW w:w="38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bCs/>
                <w:sz w:val="20"/>
                <w:szCs w:val="20"/>
              </w:rPr>
            </w:pPr>
            <w:r>
              <w:rPr>
                <w:b/>
                <w:bCs/>
                <w:sz w:val="20"/>
                <w:szCs w:val="20"/>
              </w:rPr>
              <w:t>2</w:t>
            </w:r>
          </w:p>
        </w:tc>
        <w:tc>
          <w:tcPr>
            <w:tcW w:w="2478"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jc w:val="center"/>
              <w:rPr>
                <w:b/>
                <w:bCs/>
                <w:sz w:val="20"/>
                <w:szCs w:val="20"/>
              </w:rPr>
            </w:pPr>
            <w:r>
              <w:rPr>
                <w:b/>
                <w:bCs/>
                <w:sz w:val="20"/>
                <w:szCs w:val="20"/>
              </w:rPr>
              <w:t>3</w:t>
            </w:r>
          </w:p>
        </w:tc>
        <w:tc>
          <w:tcPr>
            <w:tcW w:w="2653" w:type="dxa"/>
            <w:tcBorders>
              <w:top w:val="single" w:sz="4" w:space="0" w:color="000000"/>
              <w:left w:val="single" w:sz="4" w:space="0" w:color="000000"/>
              <w:bottom w:val="single" w:sz="4" w:space="0" w:color="000000"/>
              <w:right w:val="single" w:sz="4" w:space="0" w:color="000000"/>
            </w:tcBorders>
          </w:tcPr>
          <w:p>
            <w:pPr>
              <w:pStyle w:val="Style31"/>
              <w:keepNext w:val="false"/>
              <w:widowControl w:val="false"/>
              <w:spacing w:before="0" w:after="0"/>
              <w:jc w:val="center"/>
              <w:rPr>
                <w:b/>
                <w:bCs/>
                <w:sz w:val="20"/>
                <w:szCs w:val="20"/>
              </w:rPr>
            </w:pPr>
            <w:r>
              <w:rPr>
                <w:b/>
                <w:bCs/>
                <w:sz w:val="20"/>
                <w:szCs w:val="20"/>
              </w:rPr>
              <w:t>4</w:t>
            </w:r>
          </w:p>
        </w:tc>
      </w:tr>
      <w:tr>
        <w:trPr/>
        <w:tc>
          <w:tcPr>
            <w:tcW w:w="831"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bidi w:val="0"/>
              <w:spacing w:before="0" w:after="0"/>
              <w:ind w:left="57" w:right="-624" w:hanging="0"/>
              <w:contextualSpacing/>
              <w:jc w:val="left"/>
              <w:rPr>
                <w:sz w:val="20"/>
                <w:szCs w:val="20"/>
              </w:rPr>
            </w:pPr>
            <w:bookmarkStart w:id="41" w:name="_Toc4674351011_Копия_1"/>
            <w:bookmarkEnd w:id="41"/>
            <w:r>
              <w:rPr>
                <w:sz w:val="20"/>
                <w:szCs w:val="20"/>
              </w:rPr>
              <w:t xml:space="preserve">1. </w:t>
            </w:r>
          </w:p>
        </w:tc>
        <w:tc>
          <w:tcPr>
            <w:tcW w:w="38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rFonts w:eastAsia="Calibri"/>
                <w:sz w:val="20"/>
                <w:szCs w:val="20"/>
              </w:rPr>
              <w:t>ОКПД2 49.39.13.000 Оказание транспортных услуг по доставке сотрудников до места работы: филиал ПАО «РусГидро»-«Чебоксарская ГЭС»</w:t>
            </w:r>
          </w:p>
        </w:tc>
        <w:tc>
          <w:tcPr>
            <w:tcW w:w="24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01.01.2027</w:t>
            </w:r>
          </w:p>
        </w:tc>
        <w:tc>
          <w:tcPr>
            <w:tcW w:w="26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31.12.2027</w:t>
            </w:r>
          </w:p>
        </w:tc>
      </w:tr>
    </w:tbl>
    <w:p>
      <w:pPr>
        <w:pStyle w:val="ListParagraph"/>
        <w:ind w:left="0" w:firstLine="709"/>
        <w:rPr>
          <w:b/>
          <w:bCs/>
        </w:rPr>
      </w:pPr>
      <w:r>
        <w:rPr>
          <w:b/>
          <w:bCs/>
        </w:rPr>
      </w:r>
    </w:p>
    <w:p>
      <w:pPr>
        <w:pStyle w:val="ListParagraph"/>
        <w:ind w:left="0" w:firstLine="709"/>
        <w:rPr>
          <w:b/>
          <w:bCs/>
        </w:rPr>
      </w:pPr>
      <w:r>
        <w:rPr>
          <w:b/>
          <w:bCs/>
        </w:rPr>
        <w:t xml:space="preserve">2.2. </w:t>
      </w:r>
      <w:bookmarkStart w:id="42" w:name="_Toc54643709_Копия_1"/>
      <w:bookmarkStart w:id="43" w:name="_Toc54643708_Копия_1"/>
      <w:bookmarkStart w:id="44" w:name="_Toc46743511_Копия_1"/>
      <w:r>
        <w:rPr>
          <w:b/>
          <w:bCs/>
        </w:rPr>
        <w:t>Треб</w:t>
      </w:r>
      <w:r>
        <w:rPr>
          <w:b/>
          <w:bCs/>
          <w:sz w:val="24"/>
          <w:szCs w:val="24"/>
        </w:rPr>
        <w:t xml:space="preserve">ования к </w:t>
      </w:r>
      <w:bookmarkEnd w:id="44"/>
      <w:r>
        <w:rPr>
          <w:b/>
          <w:bCs/>
          <w:sz w:val="24"/>
          <w:szCs w:val="24"/>
        </w:rPr>
        <w:t>качеству услуг</w:t>
      </w:r>
      <w:bookmarkEnd w:id="43"/>
    </w:p>
    <w:p>
      <w:pPr>
        <w:pStyle w:val="Normal"/>
        <w:rPr>
          <w:sz w:val="24"/>
          <w:szCs w:val="24"/>
        </w:rPr>
      </w:pPr>
      <w:bookmarkStart w:id="45" w:name="_Toc51339698_Копия_1"/>
      <w:r>
        <w:rPr>
          <w:b/>
          <w:bCs/>
          <w:sz w:val="24"/>
          <w:szCs w:val="24"/>
        </w:rPr>
        <w:t xml:space="preserve">Таблица 5. Требования к </w:t>
      </w:r>
      <w:bookmarkEnd w:id="45"/>
      <w:r>
        <w:rPr>
          <w:b/>
          <w:bCs/>
          <w:sz w:val="24"/>
          <w:szCs w:val="24"/>
        </w:rPr>
        <w:t>качеству услуг</w:t>
      </w:r>
      <w:bookmarkEnd w:id="42"/>
    </w:p>
    <w:p>
      <w:pPr>
        <w:pStyle w:val="Normal"/>
        <w:jc w:val="both"/>
        <w:rPr>
          <w:sz w:val="24"/>
          <w:szCs w:val="24"/>
        </w:rPr>
      </w:pPr>
      <w:r>
        <w:rPr>
          <w:b/>
          <w:bCs/>
          <w:sz w:val="24"/>
          <w:szCs w:val="24"/>
        </w:rPr>
        <w:t xml:space="preserve">Наименование услуг/этапа услуг: </w:t>
      </w:r>
      <w:r>
        <w:rPr>
          <w:rFonts w:eastAsia="Calibri"/>
          <w:b w:val="false"/>
          <w:bCs w:val="false"/>
          <w:sz w:val="24"/>
          <w:szCs w:val="24"/>
        </w:rPr>
        <w:t>ОКПД2 49.39.13.000 Оказание транспортных услуг по доставке сотрудников до места работы: филиал ПАО «РусГидро»-«Чебоксарская ГЭС»</w:t>
      </w:r>
    </w:p>
    <w:tbl>
      <w:tblPr>
        <w:tblStyle w:val="affff3"/>
        <w:tblW w:w="5000" w:type="pct"/>
        <w:jc w:val="left"/>
        <w:tblInd w:w="-5" w:type="dxa"/>
        <w:tblLayout w:type="fixed"/>
        <w:tblCellMar>
          <w:top w:w="55" w:type="dxa"/>
          <w:left w:w="108" w:type="dxa"/>
          <w:bottom w:w="55" w:type="dxa"/>
          <w:right w:w="108" w:type="dxa"/>
        </w:tblCellMar>
        <w:tblLook w:noVBand="1" w:val="04a0" w:noHBand="0" w:lastColumn="0" w:firstColumn="1" w:lastRow="0" w:firstRow="1"/>
      </w:tblPr>
      <w:tblGrid>
        <w:gridCol w:w="1114"/>
        <w:gridCol w:w="5050"/>
        <w:gridCol w:w="4041"/>
      </w:tblGrid>
      <w:tr>
        <w:trPr/>
        <w:tc>
          <w:tcPr>
            <w:tcW w:w="1114"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pPr>
            <w:r>
              <w:rPr>
                <w:rFonts w:eastAsia="Times New Roman" w:cs="Times New Roman"/>
                <w:b/>
                <w:bCs/>
                <w:kern w:val="0"/>
                <w:sz w:val="20"/>
                <w:szCs w:val="20"/>
                <w:lang w:val="ru-RU" w:eastAsia="ru-RU" w:bidi="ar-SA"/>
              </w:rPr>
              <w:t xml:space="preserve">№ </w:t>
            </w:r>
            <w:r>
              <w:rPr>
                <w:rFonts w:eastAsia="Times New Roman" w:cs="Times New Roman"/>
                <w:b/>
                <w:bCs/>
                <w:kern w:val="0"/>
                <w:sz w:val="20"/>
                <w:szCs w:val="20"/>
                <w:lang w:val="ru-RU" w:eastAsia="ru-RU" w:bidi="ar-SA"/>
              </w:rPr>
              <w:t>п/п</w:t>
            </w:r>
          </w:p>
        </w:tc>
        <w:tc>
          <w:tcPr>
            <w:tcW w:w="5050" w:type="dxa"/>
            <w:tcBorders>
              <w:top w:val="single" w:sz="4" w:space="0" w:color="000000"/>
              <w:left w:val="single" w:sz="4" w:space="0" w:color="000000"/>
              <w:bottom w:val="single" w:sz="4" w:space="0" w:color="000000"/>
            </w:tcBorders>
            <w:vAlign w:val="center"/>
          </w:tcPr>
          <w:p>
            <w:pPr>
              <w:pStyle w:val="Normal"/>
              <w:widowControl w:val="false"/>
              <w:suppressAutoHyphens w:val="true"/>
              <w:spacing w:before="0" w:after="0"/>
              <w:jc w:val="center"/>
              <w:rPr/>
            </w:pPr>
            <w:r>
              <w:rPr>
                <w:rFonts w:eastAsia="Times New Roman" w:cs="Times New Roman"/>
                <w:b/>
                <w:bCs/>
                <w:kern w:val="0"/>
                <w:sz w:val="20"/>
                <w:szCs w:val="20"/>
                <w:lang w:val="ru-RU" w:eastAsia="ru-RU" w:bidi="ar-SA"/>
              </w:rPr>
              <w:t>Наименование параметра</w:t>
            </w:r>
          </w:p>
        </w:tc>
        <w:tc>
          <w:tcPr>
            <w:tcW w:w="40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pPr>
            <w:r>
              <w:rPr>
                <w:rFonts w:eastAsia="Times New Roman" w:cs="Times New Roman"/>
                <w:b/>
                <w:bCs/>
                <w:kern w:val="0"/>
                <w:sz w:val="20"/>
                <w:szCs w:val="20"/>
                <w:lang w:val="ru-RU" w:eastAsia="ru-RU" w:bidi="ar-SA"/>
              </w:rPr>
              <w:t>Требование заказчика</w:t>
            </w:r>
          </w:p>
        </w:tc>
      </w:tr>
      <w:tr>
        <w:trPr/>
        <w:tc>
          <w:tcPr>
            <w:tcW w:w="1114" w:type="dxa"/>
            <w:tcBorders>
              <w:left w:val="single" w:sz="4" w:space="0" w:color="000000"/>
              <w:bottom w:val="single" w:sz="4" w:space="0" w:color="000000"/>
            </w:tcBorders>
            <w:vAlign w:val="center"/>
          </w:tcPr>
          <w:p>
            <w:pPr>
              <w:pStyle w:val="Normal"/>
              <w:widowControl w:val="false"/>
              <w:suppressAutoHyphens w:val="true"/>
              <w:spacing w:before="0" w:after="0"/>
              <w:jc w:val="center"/>
              <w:rPr>
                <w:sz w:val="20"/>
                <w:szCs w:val="20"/>
              </w:rPr>
            </w:pPr>
            <w:bookmarkStart w:id="46" w:name="_Toc53499667_Копия_1"/>
            <w:r>
              <w:rPr>
                <w:rFonts w:eastAsia="Times New Roman" w:cs="Times New Roman"/>
                <w:b/>
                <w:bCs/>
                <w:kern w:val="0"/>
                <w:sz w:val="20"/>
                <w:szCs w:val="20"/>
                <w:lang w:val="ru-RU" w:eastAsia="ru-RU" w:bidi="ar-SA"/>
              </w:rPr>
              <w:t>1</w:t>
            </w:r>
            <w:bookmarkEnd w:id="46"/>
          </w:p>
        </w:tc>
        <w:tc>
          <w:tcPr>
            <w:tcW w:w="5050" w:type="dxa"/>
            <w:tcBorders>
              <w:left w:val="single" w:sz="4" w:space="0" w:color="000000"/>
              <w:bottom w:val="single" w:sz="4" w:space="0" w:color="000000"/>
            </w:tcBorders>
            <w:vAlign w:val="center"/>
          </w:tcPr>
          <w:p>
            <w:pPr>
              <w:pStyle w:val="Normal"/>
              <w:widowControl w:val="false"/>
              <w:suppressAutoHyphens w:val="true"/>
              <w:spacing w:before="0" w:after="0"/>
              <w:jc w:val="center"/>
              <w:rPr/>
            </w:pPr>
            <w:r>
              <w:rPr>
                <w:rFonts w:eastAsia="Times New Roman" w:cs="Times New Roman"/>
                <w:b/>
                <w:bCs/>
                <w:kern w:val="0"/>
                <w:sz w:val="20"/>
                <w:szCs w:val="20"/>
                <w:lang w:val="ru-RU" w:eastAsia="ru-RU" w:bidi="ar-SA"/>
              </w:rPr>
              <w:t>2</w:t>
            </w:r>
          </w:p>
        </w:tc>
        <w:tc>
          <w:tcPr>
            <w:tcW w:w="4041"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center"/>
              <w:rPr/>
            </w:pPr>
            <w:r>
              <w:rPr>
                <w:rFonts w:eastAsia="Times New Roman" w:cs="Times New Roman"/>
                <w:b/>
                <w:bCs/>
                <w:kern w:val="0"/>
                <w:sz w:val="20"/>
                <w:szCs w:val="20"/>
                <w:lang w:val="ru-RU" w:eastAsia="ru-RU" w:bidi="ar-SA"/>
              </w:rPr>
              <w:t>3</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1.</w:t>
            </w:r>
          </w:p>
        </w:tc>
        <w:tc>
          <w:tcPr>
            <w:tcW w:w="9091"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pPr>
            <w:r>
              <w:rPr>
                <w:rFonts w:eastAsia="Times New Roman" w:cs="Times New Roman"/>
                <w:b/>
                <w:kern w:val="0"/>
                <w:sz w:val="20"/>
                <w:szCs w:val="20"/>
                <w:lang w:val="ru-RU" w:eastAsia="ru-RU" w:bidi="ar-SA"/>
              </w:rPr>
              <w:t xml:space="preserve">Требования к оказанию услуг </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 xml:space="preserve">1.1. </w:t>
            </w:r>
          </w:p>
        </w:tc>
        <w:tc>
          <w:tcPr>
            <w:tcW w:w="9091"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pPr>
            <w:r>
              <w:rPr>
                <w:rFonts w:eastAsia="Times New Roman" w:cs="Times New Roman"/>
                <w:b/>
                <w:kern w:val="0"/>
                <w:sz w:val="20"/>
                <w:szCs w:val="20"/>
                <w:lang w:val="ru-RU" w:eastAsia="ru-RU" w:bidi="ar-SA"/>
              </w:rPr>
              <w:t xml:space="preserve">Общие требования к оказанию услуг </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1.1.1.</w:t>
            </w:r>
          </w:p>
        </w:tc>
        <w:tc>
          <w:tcPr>
            <w:tcW w:w="9091" w:type="dxa"/>
            <w:gridSpan w:val="2"/>
            <w:tcBorders>
              <w:left w:val="single" w:sz="4" w:space="0" w:color="000000"/>
              <w:bottom w:val="single" w:sz="4" w:space="0" w:color="000000"/>
              <w:right w:val="single" w:sz="4" w:space="0" w:color="000000"/>
            </w:tcBorders>
            <w:shd w:color="auto" w:fill="auto" w:val="clear"/>
          </w:tcPr>
          <w:p>
            <w:pPr>
              <w:pStyle w:val="ListParagraph"/>
              <w:widowControl w:val="false"/>
              <w:suppressAutoHyphens w:val="true"/>
              <w:spacing w:before="0" w:after="0"/>
              <w:ind w:left="0" w:hanging="0"/>
              <w:contextualSpacing w:val="false"/>
              <w:jc w:val="both"/>
              <w:rPr/>
            </w:pPr>
            <w:r>
              <w:rPr>
                <w:rFonts w:eastAsia="Times New Roman" w:cs="Times New Roman"/>
                <w:color w:val="000000"/>
                <w:kern w:val="0"/>
                <w:sz w:val="20"/>
                <w:szCs w:val="20"/>
                <w:lang w:val="ru-RU" w:eastAsia="ru-RU" w:bidi="ar-SA"/>
              </w:rPr>
              <w:t xml:space="preserve">Наличие лицензии на осуществление деятельности по перевозке пассажиров и иных лиц автобусами (в соответствии с требованиями Федерального закона о лицензировании отдельных видов деятельности от 04.05.2011 N 99-ФЗ (ред. от 29.12.2022), п. 2 ст. 4, ст. 6 Федерального закона от 30.10.2018 № 386-ФЗ </w:t>
            </w:r>
          </w:p>
          <w:p>
            <w:pPr>
              <w:pStyle w:val="Normal"/>
              <w:widowControl w:val="false"/>
              <w:suppressAutoHyphens w:val="true"/>
              <w:spacing w:before="0" w:after="0"/>
              <w:jc w:val="both"/>
              <w:rPr/>
            </w:pPr>
            <w:r>
              <w:rPr>
                <w:rFonts w:eastAsia="Times New Roman" w:cs="Times New Roman"/>
                <w:color w:val="000000"/>
                <w:kern w:val="0"/>
                <w:sz w:val="20"/>
                <w:szCs w:val="20"/>
                <w:lang w:val="ru-RU" w:eastAsia="ru-RU" w:bidi="ar-SA"/>
              </w:rPr>
              <w:t>Исполнитель должен иметь в наличии следующие документы :</w:t>
            </w:r>
          </w:p>
          <w:p>
            <w:pPr>
              <w:pStyle w:val="ListParagraph"/>
              <w:widowControl w:val="false"/>
              <w:tabs>
                <w:tab w:val="clear" w:pos="708"/>
                <w:tab w:val="left" w:pos="1560" w:leader="none"/>
              </w:tabs>
              <w:suppressAutoHyphens w:val="true"/>
              <w:spacing w:before="0" w:after="0"/>
              <w:ind w:left="0" w:hanging="0"/>
              <w:contextualSpacing/>
              <w:jc w:val="both"/>
              <w:rPr/>
            </w:pPr>
            <w:r>
              <w:rPr>
                <w:rFonts w:cs="Times New Roman"/>
                <w:color w:val="000000"/>
                <w:kern w:val="0"/>
                <w:sz w:val="20"/>
                <w:szCs w:val="20"/>
                <w:lang w:val="ru-RU" w:eastAsia="ru-RU" w:bidi="ar-SA"/>
              </w:rPr>
              <w:t xml:space="preserve">-  Паспорт транспортного средства (ПТС) </w:t>
            </w:r>
          </w:p>
          <w:p>
            <w:pPr>
              <w:pStyle w:val="ListParagraph"/>
              <w:widowControl w:val="false"/>
              <w:tabs>
                <w:tab w:val="clear" w:pos="708"/>
                <w:tab w:val="left" w:pos="1560" w:leader="none"/>
              </w:tabs>
              <w:suppressAutoHyphens w:val="true"/>
              <w:spacing w:before="0" w:after="0"/>
              <w:ind w:left="0" w:hanging="0"/>
              <w:contextualSpacing/>
              <w:jc w:val="both"/>
              <w:rPr/>
            </w:pPr>
            <w:r>
              <w:rPr>
                <w:rFonts w:cs="Times New Roman"/>
                <w:color w:val="000000"/>
                <w:kern w:val="0"/>
                <w:sz w:val="20"/>
                <w:szCs w:val="20"/>
                <w:lang w:val="ru-RU" w:eastAsia="ru-RU" w:bidi="ar-SA"/>
              </w:rPr>
              <w:t>-  Копия договора аренды (в случае владения по договору аренды)</w:t>
            </w:r>
          </w:p>
          <w:p>
            <w:pPr>
              <w:pStyle w:val="ListParagraph"/>
              <w:widowControl w:val="false"/>
              <w:tabs>
                <w:tab w:val="clear" w:pos="708"/>
                <w:tab w:val="left" w:pos="1560" w:leader="none"/>
              </w:tabs>
              <w:suppressAutoHyphens w:val="true"/>
              <w:spacing w:before="0" w:after="0"/>
              <w:ind w:left="0" w:hanging="0"/>
              <w:contextualSpacing/>
              <w:jc w:val="both"/>
              <w:rPr/>
            </w:pPr>
            <w:r>
              <w:rPr>
                <w:rFonts w:cs="Times New Roman"/>
                <w:color w:val="000000"/>
                <w:kern w:val="0"/>
                <w:sz w:val="20"/>
                <w:szCs w:val="20"/>
                <w:lang w:val="ru-RU" w:eastAsia="ru-RU" w:bidi="ar-SA"/>
              </w:rPr>
              <w:t>-  Копия договора лизинга (в случае владения по договору лизинга)</w:t>
            </w:r>
          </w:p>
          <w:p>
            <w:pPr>
              <w:pStyle w:val="ListParagraph"/>
              <w:widowControl w:val="false"/>
              <w:tabs>
                <w:tab w:val="clear" w:pos="708"/>
                <w:tab w:val="left" w:pos="1560" w:leader="none"/>
              </w:tabs>
              <w:suppressAutoHyphens w:val="true"/>
              <w:spacing w:before="0" w:after="0"/>
              <w:ind w:left="0" w:hanging="0"/>
              <w:contextualSpacing/>
              <w:jc w:val="both"/>
              <w:rPr/>
            </w:pPr>
            <w:r>
              <w:rPr>
                <w:rFonts w:cs="Times New Roman"/>
                <w:color w:val="000000"/>
                <w:kern w:val="0"/>
                <w:sz w:val="20"/>
                <w:szCs w:val="20"/>
                <w:lang w:val="ru-RU" w:eastAsia="ru-RU" w:bidi="ar-SA"/>
              </w:rPr>
              <w:t>-  Копия иного документа, подтверждающего законное право владения (в случае владения на ином основании).</w:t>
            </w:r>
          </w:p>
          <w:p>
            <w:pPr>
              <w:pStyle w:val="ListParagraph"/>
              <w:widowControl w:val="false"/>
              <w:tabs>
                <w:tab w:val="clear" w:pos="708"/>
                <w:tab w:val="left" w:pos="1560" w:leader="none"/>
              </w:tabs>
              <w:suppressAutoHyphens w:val="true"/>
              <w:spacing w:before="0" w:after="0"/>
              <w:ind w:left="0" w:hanging="0"/>
              <w:contextualSpacing/>
              <w:jc w:val="both"/>
              <w:rPr/>
            </w:pPr>
            <w:r>
              <w:rPr>
                <w:rFonts w:cs="Times New Roman"/>
                <w:color w:val="000000"/>
                <w:kern w:val="0"/>
                <w:sz w:val="20"/>
                <w:szCs w:val="20"/>
                <w:lang w:val="ru-RU" w:eastAsia="ru-RU" w:bidi="ar-SA"/>
              </w:rPr>
              <w:t xml:space="preserve"> </w:t>
            </w:r>
            <w:r>
              <w:rPr>
                <w:rFonts w:cs="Times New Roman"/>
                <w:color w:val="000000"/>
                <w:kern w:val="0"/>
                <w:sz w:val="20"/>
                <w:szCs w:val="20"/>
                <w:lang w:val="ru-RU" w:eastAsia="ru-RU" w:bidi="ar-SA"/>
              </w:rPr>
              <w:t>- Копия полиса ОСАГО на транспортное средство</w:t>
            </w:r>
          </w:p>
          <w:p>
            <w:pPr>
              <w:pStyle w:val="ListParagraph"/>
              <w:widowControl w:val="false"/>
              <w:tabs>
                <w:tab w:val="clear" w:pos="708"/>
                <w:tab w:val="left" w:pos="1560" w:leader="none"/>
              </w:tabs>
              <w:suppressAutoHyphens w:val="true"/>
              <w:spacing w:before="0" w:after="0"/>
              <w:ind w:left="0" w:hanging="0"/>
              <w:contextualSpacing/>
              <w:jc w:val="both"/>
              <w:rPr/>
            </w:pPr>
            <w:r>
              <w:rPr>
                <w:rFonts w:cs="Times New Roman"/>
                <w:color w:val="000000"/>
                <w:kern w:val="0"/>
                <w:sz w:val="20"/>
                <w:szCs w:val="20"/>
                <w:lang w:val="ru-RU" w:eastAsia="ru-RU" w:bidi="ar-SA"/>
              </w:rPr>
              <w:t>- Копия договора с медицинской организацией на проведение медосмотров для водителей автобусов</w:t>
            </w:r>
          </w:p>
          <w:p>
            <w:pPr>
              <w:pStyle w:val="ListParagraph"/>
              <w:widowControl w:val="false"/>
              <w:tabs>
                <w:tab w:val="clear" w:pos="708"/>
                <w:tab w:val="left" w:pos="1560" w:leader="none"/>
              </w:tabs>
              <w:suppressAutoHyphens w:val="true"/>
              <w:spacing w:before="0" w:after="0"/>
              <w:ind w:left="0" w:hanging="0"/>
              <w:contextualSpacing w:val="false"/>
              <w:jc w:val="both"/>
              <w:rPr/>
            </w:pPr>
            <w:r>
              <w:rPr>
                <w:rFonts w:cs="Times New Roman"/>
                <w:color w:val="000000"/>
                <w:kern w:val="0"/>
                <w:sz w:val="20"/>
                <w:szCs w:val="20"/>
                <w:lang w:val="ru-RU" w:eastAsia="ru-RU" w:bidi="ar-SA"/>
              </w:rPr>
              <w:t>- Копия полиса ОСГОП</w:t>
            </w:r>
          </w:p>
          <w:p>
            <w:pPr>
              <w:pStyle w:val="ListParagraph"/>
              <w:widowControl w:val="false"/>
              <w:tabs>
                <w:tab w:val="clear" w:pos="708"/>
                <w:tab w:val="left" w:pos="1560" w:leader="none"/>
              </w:tabs>
              <w:suppressAutoHyphens w:val="true"/>
              <w:spacing w:before="0" w:after="0"/>
              <w:ind w:left="0" w:hanging="0"/>
              <w:contextualSpacing w:val="false"/>
              <w:jc w:val="both"/>
              <w:rPr/>
            </w:pPr>
            <w:r>
              <w:rPr>
                <w:rFonts w:cs="Times New Roman"/>
                <w:color w:val="000000"/>
                <w:kern w:val="0"/>
                <w:sz w:val="20"/>
                <w:szCs w:val="20"/>
                <w:lang w:val="ru-RU" w:eastAsia="ru-RU" w:bidi="ar-SA"/>
              </w:rPr>
              <w:t>Предоставляется по Запросу Заказчика.</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1.1.2.</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Предоставления Заказчику автомобилей в технически исправном состоянии, заправленных горюче-смазочными материалами и другими необходимыми эксплуатационными жидкостями в объемах оказания услуги.</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1.1.3.</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Транспортные средства должны иметь шины, соответствующие погодным условиям, соответствовать требованиям безопасности, техническому состоянию и методам проверок, установленных ГОСТом Р 51709-2001. «ТРЕБОВАНИЯ БЕЗОПАСНОСТИ К ТЕХНИЧЕСКОМУ СОСТОЯНИЮ И МЕТОДЫ ПРОВЕРКИ»</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1.1.4.</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Салон автомобиля должен быть чистым, отапливаемым, сиденья обеспечены ремнями безопасности.</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1.1.5.</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Обеспечивать ежедневный контроль технического состояния автомобиля перед выездом к Заказчику.</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1.1.6.</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Проведение технического обслуживание и ремонт автомобилей.</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1.1.7.</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Проведение водительским составом ежедневного предрейсового медицинского осмотра перед выездом к Заказчику, согласно рекомендациям Минздрава РФ и Минтранса РФ от 29.01.2002г.</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1.1.8.</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При проведения планового технического обслуживания (ремонта) Исполнитель обязан предоставить другое транспортное средство.</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1.1.9.</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При оказании услуг Исполнитель должен соблюдать требования локальных нормативных документов, действующих в РФ, в части безопасности пассажиров.</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1.1.10</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При оказании услуг Исполнитель обеспечивает возможность выезда собственного представителя на место дорожно-транспортного происшествия и участия в надлежащем оформлении материалов, являющихся основанием для последующего возмещения возможного ущерба (в том числе в связи с причинением вреда жизни, здоровью, имуществу пассажиров);</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1.1.11.</w:t>
            </w:r>
          </w:p>
        </w:tc>
        <w:tc>
          <w:tcPr>
            <w:tcW w:w="9091"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При оказании услуг исполнитель обеспечивает возможность выбора оптимального маршрута движения до пункта назначения, определяемого Заказчиком, с учетом особенностей организации дорожного движения (наличие «пробок», заторов, ремонтов дорог, организации реверсивного движения на отдельных участках магистралей и т.п.)</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1.2.</w:t>
            </w:r>
          </w:p>
        </w:tc>
        <w:tc>
          <w:tcPr>
            <w:tcW w:w="9091"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pPr>
            <w:r>
              <w:rPr>
                <w:rFonts w:eastAsia="Times New Roman" w:cs="Times New Roman"/>
                <w:b/>
                <w:kern w:val="0"/>
                <w:sz w:val="20"/>
                <w:szCs w:val="20"/>
                <w:lang w:val="ru-RU" w:eastAsia="ru-RU" w:bidi="ar-SA"/>
              </w:rPr>
              <w:t>Требования к персоналу исполнителя</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1.2.1</w:t>
            </w:r>
            <w:r>
              <w:rPr>
                <w:sz w:val="20"/>
                <w:szCs w:val="20"/>
              </w:rPr>
              <w:t>.</w:t>
            </w:r>
          </w:p>
        </w:tc>
        <w:tc>
          <w:tcPr>
            <w:tcW w:w="9091"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both"/>
              <w:rPr/>
            </w:pPr>
            <w:r>
              <w:rPr>
                <w:rFonts w:eastAsia="Times New Roman" w:cs="Times New Roman"/>
                <w:kern w:val="0"/>
                <w:sz w:val="20"/>
                <w:szCs w:val="20"/>
                <w:lang w:val="ru-RU" w:eastAsia="ru-RU" w:bidi="ar-SA"/>
              </w:rPr>
              <w:t>К управлению транспортным средством допускаются лица, имеющие удостоверение на право управления данной категорией транспортных средств, прошедшие предрейсовый медицинский осмотр.</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2.</w:t>
            </w:r>
          </w:p>
        </w:tc>
        <w:tc>
          <w:tcPr>
            <w:tcW w:w="9091"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pPr>
            <w:r>
              <w:rPr>
                <w:rFonts w:eastAsia="Times New Roman" w:cs="Times New Roman"/>
                <w:b/>
                <w:bCs/>
                <w:kern w:val="0"/>
                <w:sz w:val="20"/>
                <w:szCs w:val="20"/>
                <w:lang w:val="ru-RU" w:eastAsia="ru-RU" w:bidi="ar-SA"/>
              </w:rPr>
              <w:t>Требования к результатам у</w:t>
            </w:r>
            <w:r>
              <w:rPr>
                <w:rFonts w:eastAsia="Times New Roman" w:cs="Times New Roman"/>
                <w:b/>
                <w:kern w:val="0"/>
                <w:sz w:val="20"/>
                <w:szCs w:val="20"/>
                <w:lang w:val="ru-RU" w:eastAsia="ru-RU" w:bidi="ar-SA"/>
              </w:rPr>
              <w:t>слуг</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2.1.</w:t>
            </w:r>
          </w:p>
        </w:tc>
        <w:tc>
          <w:tcPr>
            <w:tcW w:w="9091"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left"/>
              <w:rPr/>
            </w:pPr>
            <w:r>
              <w:rPr>
                <w:rFonts w:eastAsia="Times New Roman" w:cs="Times New Roman"/>
                <w:b/>
                <w:bCs/>
                <w:kern w:val="0"/>
                <w:sz w:val="20"/>
                <w:szCs w:val="20"/>
                <w:lang w:val="ru-RU" w:eastAsia="ru-RU" w:bidi="ar-SA"/>
              </w:rPr>
              <w:t>Общие требования к результатам услуг</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2.1.1.</w:t>
            </w:r>
          </w:p>
        </w:tc>
        <w:tc>
          <w:tcPr>
            <w:tcW w:w="9091" w:type="dxa"/>
            <w:gridSpan w:val="2"/>
            <w:tcBorders>
              <w:left w:val="single" w:sz="4" w:space="0" w:color="000000"/>
              <w:bottom w:val="single" w:sz="4" w:space="0" w:color="000000"/>
              <w:right w:val="single" w:sz="4" w:space="0" w:color="000000"/>
            </w:tcBorders>
          </w:tcPr>
          <w:p>
            <w:pPr>
              <w:pStyle w:val="Normal"/>
              <w:widowControl w:val="false"/>
              <w:suppressAutoHyphens w:val="true"/>
              <w:jc w:val="left"/>
              <w:rPr>
                <w:sz w:val="20"/>
                <w:szCs w:val="20"/>
              </w:rPr>
            </w:pPr>
            <w:r>
              <w:rPr>
                <w:rFonts w:eastAsia="Times New Roman" w:cs="Times New Roman"/>
                <w:kern w:val="0"/>
                <w:sz w:val="20"/>
                <w:szCs w:val="20"/>
                <w:lang w:val="ru-RU" w:eastAsia="ru-RU" w:bidi="ar-SA"/>
              </w:rPr>
              <w:t>Результатом оказания услуг является своевременная доставка сотрудников к месту работы и обратно в соответствии с маршрутами</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2.1.2.</w:t>
            </w:r>
          </w:p>
        </w:tc>
        <w:tc>
          <w:tcPr>
            <w:tcW w:w="9091"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pPr>
            <w:r>
              <w:rPr>
                <w:rFonts w:eastAsia="Times New Roman" w:cs="Times New Roman"/>
                <w:kern w:val="0"/>
                <w:sz w:val="20"/>
                <w:szCs w:val="20"/>
                <w:lang w:val="ru-RU" w:eastAsia="ru-RU" w:bidi="ar-SA"/>
              </w:rPr>
              <w:t>Исполнитель своевременно предоставляет Заказчику все необходимые (в том числе запрашиваемые) отчетные документы, связанные с оказанием услуг.</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2.2.</w:t>
            </w:r>
          </w:p>
        </w:tc>
        <w:tc>
          <w:tcPr>
            <w:tcW w:w="9091"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pPr>
            <w:r>
              <w:rPr>
                <w:rFonts w:eastAsia="Times New Roman" w:cs="Times New Roman"/>
                <w:b/>
                <w:kern w:val="0"/>
                <w:sz w:val="20"/>
                <w:szCs w:val="20"/>
                <w:lang w:val="ru-RU" w:eastAsia="ru-RU" w:bidi="ar-SA"/>
              </w:rPr>
              <w:t>Требования к безопасности использования результата оказания услуг</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2.2.1.</w:t>
            </w:r>
          </w:p>
        </w:tc>
        <w:tc>
          <w:tcPr>
            <w:tcW w:w="9091"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pPr>
            <w:r>
              <w:rPr>
                <w:rFonts w:eastAsia="Times New Roman" w:cs="Times New Roman"/>
                <w:bCs/>
                <w:kern w:val="0"/>
                <w:sz w:val="20"/>
                <w:szCs w:val="20"/>
                <w:lang w:val="ru-RU" w:eastAsia="ru-RU" w:bidi="ar-SA"/>
              </w:rPr>
              <w:t>Наличие полиса ОСАГО на автотранспорт</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2.2.2.</w:t>
            </w:r>
          </w:p>
        </w:tc>
        <w:tc>
          <w:tcPr>
            <w:tcW w:w="9091"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pPr>
            <w:r>
              <w:rPr>
                <w:rFonts w:eastAsia="Times New Roman" w:cs="Times New Roman"/>
                <w:bCs/>
                <w:kern w:val="0"/>
                <w:sz w:val="20"/>
                <w:szCs w:val="20"/>
                <w:lang w:val="ru-RU" w:eastAsia="ru-RU" w:bidi="ar-SA"/>
              </w:rPr>
              <w:t>Предоставляемые транспортные средства должны быть технически исправны и укомплектованы согласно правилам дорожного движения, правилам перевозки пассажиров.</w:t>
            </w:r>
          </w:p>
        </w:tc>
      </w:tr>
      <w:tr>
        <w:trPr>
          <w:trHeight w:val="7083" w:hRule="atLeast"/>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sz w:val="20"/>
                <w:szCs w:val="20"/>
              </w:rPr>
              <w:t>2.2.3.</w:t>
            </w:r>
          </w:p>
        </w:tc>
        <w:tc>
          <w:tcPr>
            <w:tcW w:w="9091" w:type="dxa"/>
            <w:gridSpan w:val="2"/>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pPr>
            <w:r>
              <w:rPr>
                <w:rFonts w:eastAsia="Times New Roman" w:cs="Times New Roman"/>
                <w:b/>
                <w:bCs/>
                <w:kern w:val="0"/>
                <w:sz w:val="20"/>
                <w:szCs w:val="20"/>
                <w:lang w:val="ru-RU" w:eastAsia="ru-RU" w:bidi="ar-SA"/>
              </w:rPr>
              <w:t>Исполнитель обеспечивает:</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соответствие оказываемых услуг требованиям качества, безопасности жизни и здоровья, иным требованиям безопасности (санитарным нормам и правилам, государственным стандартам и т.п.), лицензирования, установленным действующим законодательством РФ;</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техническую исправность автомобиля, проведение предрейсового или предсменного осмотра и контроля технического состояния автомобиля;</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проведение предрейсового медицинского осмотра водителей;</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полиса страхования гражданской ответственности перевозчика за причинение вреда жизни, здоровью, имуществу пассажиров;</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на праве собственности /аренда/лизинг и предоставление резервного аналогичного транспортного средства, в случае поломки или задержки основного транспортного средства;</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действующей лицензии на перевозку пассажиров и багажа автомобильным транспортом;</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действующей лицензии на проведение предрейсовых медицинских осмотров водителей либо наличие договора с медицинским учреждением для проведения предрейсовых медицинских осмотров водителей;</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в штате должностного лица, ответственного за безопасность дорожного движения, прошедшего аттестацию на право занимать соответствующую должность</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производственного помещения на праве собственности или аренды для проведения предрейсового контроля технического состояния, технического обслуживания и ремонта техники;</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соблюдение всех требований и рекомендаций Роспотребнадзора по проведению профилактических мероприятий и дезинфекции автотранспортных средств для перевозки пассажиров;</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содержание автомобиля в надлежащем санитарном состоянии (регулярная мойка кузова и чистка салона, отсутствие в салоне и багажнике пахнущих и пачкающих жидкостей и веществ, горюче-смазочных материалов);</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оснащение автомобиля зимними автошинами (при оказании услуг в зимний период, а также при отрицательных уличных температурах);</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в автомобиле всех штатных систем безопасности, в том числе ремней безопасности на всех пассажирских сидениях;</w:t>
            </w:r>
          </w:p>
          <w:p>
            <w:pPr>
              <w:pStyle w:val="Normal"/>
              <w:widowControl w:val="false"/>
              <w:suppressAutoHyphens w:val="true"/>
              <w:spacing w:before="0" w:after="0"/>
              <w:jc w:val="both"/>
              <w:rPr/>
            </w:pPr>
            <w:r>
              <w:rPr>
                <w:rFonts w:eastAsia="Times New Roman" w:cs="Times New Roman"/>
                <w:kern w:val="0"/>
                <w:sz w:val="20"/>
                <w:szCs w:val="20"/>
                <w:lang w:val="ru-RU" w:eastAsia="ru-RU" w:bidi="ar-SA"/>
              </w:rPr>
              <w:t>- наличие в автомобиле средств пожаротушения (огнетушителей) и аптечки для оказания первой медицинской помощи.</w:t>
            </w:r>
          </w:p>
        </w:tc>
      </w:tr>
      <w:tr>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3.</w:t>
            </w:r>
          </w:p>
        </w:tc>
        <w:tc>
          <w:tcPr>
            <w:tcW w:w="9091" w:type="dxa"/>
            <w:gridSpan w:val="2"/>
            <w:tcBorders>
              <w:left w:val="single" w:sz="4" w:space="0" w:color="000000"/>
              <w:bottom w:val="single" w:sz="4" w:space="0" w:color="000000"/>
              <w:right w:val="single" w:sz="4" w:space="0" w:color="000000"/>
            </w:tcBorders>
            <w:vAlign w:val="center"/>
          </w:tcPr>
          <w:p>
            <w:pPr>
              <w:pStyle w:val="Normal"/>
              <w:widowControl w:val="false"/>
              <w:suppressAutoHyphens w:val="true"/>
              <w:spacing w:before="0" w:after="0"/>
              <w:jc w:val="both"/>
              <w:rPr/>
            </w:pPr>
            <w:r>
              <w:rPr>
                <w:rFonts w:eastAsia="Times New Roman" w:cs="Times New Roman"/>
                <w:b/>
                <w:kern w:val="0"/>
                <w:sz w:val="20"/>
                <w:szCs w:val="20"/>
                <w:lang w:val="ru-RU" w:eastAsia="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trPr>
          <w:trHeight w:val="2192" w:hRule="atLeast"/>
        </w:trPr>
        <w:tc>
          <w:tcPr>
            <w:tcW w:w="1114" w:type="dxa"/>
            <w:tcBorders>
              <w:left w:val="single" w:sz="4" w:space="0" w:color="000000"/>
              <w:bottom w:val="single" w:sz="4" w:space="0" w:color="000000"/>
            </w:tcBorders>
            <w:vAlign w:val="center"/>
          </w:tcPr>
          <w:p>
            <w:pPr>
              <w:pStyle w:val="ListParagraph"/>
              <w:widowControl w:val="false"/>
              <w:suppressAutoHyphens w:val="true"/>
              <w:bidi w:val="0"/>
              <w:spacing w:before="0" w:after="0"/>
              <w:ind w:left="0" w:right="0" w:hanging="0"/>
              <w:contextualSpacing/>
              <w:jc w:val="left"/>
              <w:rPr>
                <w:sz w:val="20"/>
                <w:szCs w:val="20"/>
              </w:rPr>
            </w:pPr>
            <w:r>
              <w:rPr>
                <w:b/>
                <w:bCs/>
                <w:sz w:val="20"/>
                <w:szCs w:val="20"/>
              </w:rPr>
              <w:t>3.1.1.</w:t>
            </w:r>
          </w:p>
        </w:tc>
        <w:tc>
          <w:tcPr>
            <w:tcW w:w="9091" w:type="dxa"/>
            <w:gridSpan w:val="2"/>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0" w:after="0"/>
              <w:jc w:val="both"/>
              <w:rPr/>
            </w:pPr>
            <w:r>
              <w:rPr>
                <w:rFonts w:eastAsia="Times New Roman" w:cs="Times New Roman"/>
                <w:kern w:val="0"/>
                <w:sz w:val="20"/>
                <w:szCs w:val="20"/>
                <w:lang w:val="ru-RU" w:eastAsia="ru-RU" w:bidi="ar-SA"/>
              </w:rPr>
              <w:t>Соответствие требованиям Правил дорожного движения, утвержденных Постановлением Правительства РФ от 23.10.1993 № 1090</w:t>
            </w:r>
          </w:p>
          <w:p>
            <w:pPr>
              <w:pStyle w:val="Normal"/>
              <w:widowControl w:val="false"/>
              <w:tabs>
                <w:tab w:val="clear" w:pos="708"/>
                <w:tab w:val="left" w:pos="426" w:leader="none"/>
              </w:tabs>
              <w:suppressAutoHyphens w:val="true"/>
              <w:spacing w:before="0" w:after="0"/>
              <w:jc w:val="both"/>
              <w:rPr/>
            </w:pPr>
            <w:r>
              <w:rPr>
                <w:rFonts w:eastAsia="Times New Roman" w:cs="Times New Roman"/>
                <w:kern w:val="0"/>
                <w:sz w:val="20"/>
                <w:szCs w:val="20"/>
                <w:lang w:val="ru-RU" w:eastAsia="ru-RU" w:bidi="ar-SA"/>
              </w:rPr>
              <w:t>Транспортные средства в зависимости от их типа соответствуют Федеральному закону №196-ФЗ «О безопасности дорожного движения» (с учётом изменений). Техническому регламенту Таможенного союза «О безопасности колесных транспортных средств» (TP ТС 018/2011), требованиям ГИБДД</w:t>
            </w:r>
          </w:p>
          <w:p>
            <w:pPr>
              <w:pStyle w:val="Normal"/>
              <w:widowControl w:val="false"/>
              <w:tabs>
                <w:tab w:val="clear" w:pos="708"/>
                <w:tab w:val="left" w:pos="426" w:leader="none"/>
              </w:tabs>
              <w:suppressAutoHyphens w:val="true"/>
              <w:spacing w:before="0" w:after="0"/>
              <w:jc w:val="both"/>
              <w:rPr/>
            </w:pPr>
            <w:r>
              <w:rPr>
                <w:rFonts w:eastAsia="Times New Roman" w:cs="Times New Roman"/>
                <w:kern w:val="0"/>
                <w:sz w:val="20"/>
                <w:szCs w:val="20"/>
                <w:lang w:val="ru-RU" w:eastAsia="ru-RU" w:bidi="ar-SA"/>
              </w:rPr>
              <w:t>Салон пассажирского транспорта должен соответствовать требованиям ГОСТ P41.36-2004 ПРАВИЛА ЕЭК ООН №361</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08.11.2007 № 259-ФЗ «Устав автомобильного транспорта и городского наземного электрического транспорта»;</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10.12.1995 № 196-ФЗ «О безопасности дорожного движения»;</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25.04.2002 № 40-ФЗ «Об обязательном страховании гражданской ответственности владельцев транспортных средств»;</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14.06.2012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09.02.2007 № 16-ФЗ «О транспортной безопасности»;</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Федеральный закон от 24.11.1995 № 181-ФЗ «О социальной защите инвалидов в Российской Федерации»;</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постановление Правительства РФ от 27.02.2019 № 195 «О лицензировании деятельности по перевозкам пассажиров и иных лиц автобусами»;</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постановление Правительства РФ от 07.10.2020 N 1616 (ред. от 23.12.2021) "О лицензировании деятельности по перевозкам пассажиров и иных лиц автобусами" (вместе с "Положением о лицензировании деятельности по перевозкам пассажиров и иных лиц автобусами") (с изм. и доп., вступ. в силу с 01.03.2022);</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постановление Правительства РФ от 01.10.2020 № 1586 «Об утверждении Правил перевозок пассажиров и багажа автомобильным транспортом и городским наземным электрическим транспортом»;</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приказ Минтранса России от 30.04.2021 № 145 «Об утверждении Правил обеспечения безопасности перевозок автомобильным транспортом и городским наземным электрическим транспортом»;</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приказ Минтранса России от 16.10.2020 № 424 «Об утверждении Особенностей режима рабочего времени и времени отдыха, условий труда водителей автомобилей»;</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приказ Минтранса России от 31.07.2020 № 282 «Об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«О безопасности дорожного движения»;</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Правила дорожного движения Российской Федерации, утвержденные постановлением Совета Министров - Правительством Российской Федерации от 23.10.1993 № 1090;</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постановление Правительства РФ от 08.10.2020 № 1640 «Об утверждении требований по обеспечению транспортной безопасности, учитывающих уровни безопасности для транспортных средств автомобильного транспорта и городского наземного электрического транспорта»;</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Национальный стандарт Российской Федерации ГОСТ Р 51090-2017 «Средства общественного пассажирского транспорта. Общие технические требования доступности и безопасности для инвалидов»</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распоряжение Минтранса России от 31.01.2017 № НА-19-р «Об утверждении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w:t>
            </w:r>
          </w:p>
          <w:p>
            <w:pPr>
              <w:pStyle w:val="Normal"/>
              <w:widowControl w:val="false"/>
              <w:tabs>
                <w:tab w:val="clear" w:pos="708"/>
                <w:tab w:val="left" w:pos="426" w:leader="none"/>
              </w:tabs>
              <w:suppressAutoHyphens w:val="true"/>
              <w:spacing w:before="0" w:after="0"/>
              <w:jc w:val="both"/>
              <w:rPr/>
            </w:pPr>
            <w:r>
              <w:rPr>
                <w:rFonts w:eastAsia="Times New Roman" w:cs="Times New Roman"/>
                <w:bCs/>
                <w:kern w:val="0"/>
                <w:sz w:val="20"/>
                <w:szCs w:val="20"/>
                <w:lang w:val="ru-RU" w:eastAsia="ru-RU" w:bidi="ar-SA"/>
              </w:rPr>
              <w:t>Постановление Правительства РФ от 3 декабря 2020 г. N 1998 "О категориях оснащаемых тахографами транспортных средств, осуществляющих регулярные перевозки пассажиров, а также видах сообщения, в которых осуществляются такие перевозки транспортными средствами указанных категорий" (с изменениями и дополнениями от 31.03.2022 г.)</w:t>
            </w:r>
          </w:p>
        </w:tc>
      </w:tr>
    </w:tbl>
    <w:p>
      <w:pPr>
        <w:pStyle w:val="Normal"/>
        <w:ind w:firstLine="426"/>
        <w:jc w:val="center"/>
        <w:rPr>
          <w:sz w:val="24"/>
          <w:szCs w:val="24"/>
        </w:rPr>
      </w:pPr>
      <w:r>
        <w:rPr>
          <w:sz w:val="24"/>
          <w:szCs w:val="24"/>
        </w:rPr>
      </w:r>
    </w:p>
    <w:p>
      <w:pPr>
        <w:pStyle w:val="Normal"/>
        <w:widowControl w:val="false"/>
        <w:tabs>
          <w:tab w:val="clear" w:pos="708"/>
          <w:tab w:val="left" w:pos="6936" w:leader="none"/>
        </w:tabs>
        <w:ind w:firstLine="709"/>
        <w:jc w:val="both"/>
        <w:rPr>
          <w:b/>
          <w:lang w:val="ru-RU"/>
        </w:rPr>
      </w:pPr>
      <w:r>
        <w:rPr>
          <w:b/>
          <w:lang w:val="ru-RU"/>
        </w:rPr>
      </w:r>
      <w:bookmarkStart w:id="47" w:name="_Toc546437061"/>
      <w:bookmarkStart w:id="48" w:name="_Toc546437061"/>
      <w:bookmarkEnd w:id="48"/>
    </w:p>
    <w:p>
      <w:pPr>
        <w:pStyle w:val="Normal"/>
        <w:jc w:val="center"/>
        <w:rPr>
          <w:b/>
          <w:lang w:val="ru-RU"/>
        </w:rPr>
      </w:pPr>
      <w:r>
        <w:rPr>
          <w:b/>
          <w:lang w:val="ru-RU"/>
        </w:rPr>
      </w:r>
    </w:p>
    <w:p>
      <w:pPr>
        <w:pStyle w:val="Normal"/>
        <w:jc w:val="center"/>
        <w:rPr>
          <w:b/>
          <w:lang w:val="ru-RU"/>
        </w:rPr>
      </w:pPr>
      <w:r>
        <w:rPr>
          <w:lang w:val="ru-RU"/>
        </w:rPr>
      </w:r>
    </w:p>
    <w:tbl>
      <w:tblPr>
        <w:tblW w:w="9918"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239"/>
        <w:gridCol w:w="4678"/>
      </w:tblGrid>
      <w:tr>
        <w:trPr/>
        <w:tc>
          <w:tcPr>
            <w:tcW w:w="5239" w:type="dxa"/>
            <w:tcBorders/>
          </w:tcPr>
          <w:p>
            <w:pPr>
              <w:pStyle w:val="Normal"/>
              <w:widowControl w:val="false"/>
              <w:rPr>
                <w:b/>
              </w:rPr>
            </w:pPr>
            <w:bookmarkStart w:id="49" w:name="_Hlk105762085"/>
            <w:bookmarkEnd w:id="49"/>
            <w:r>
              <w:rPr>
                <w:b/>
              </w:rPr>
              <w:t>Заказчик:</w:t>
            </w:r>
          </w:p>
        </w:tc>
        <w:tc>
          <w:tcPr>
            <w:tcW w:w="4678" w:type="dxa"/>
            <w:tcBorders/>
          </w:tcPr>
          <w:p>
            <w:pPr>
              <w:pStyle w:val="Normal"/>
              <w:widowControl w:val="false"/>
              <w:rPr>
                <w:b/>
              </w:rPr>
            </w:pPr>
            <w:r>
              <w:rPr>
                <w:b/>
                <w:lang w:val="ru-RU"/>
              </w:rPr>
              <w:t>Исполнитель</w:t>
            </w:r>
            <w:r>
              <w:rPr>
                <w:b/>
              </w:rPr>
              <w:t>:</w:t>
            </w:r>
          </w:p>
        </w:tc>
      </w:tr>
      <w:tr>
        <w:trPr/>
        <w:tc>
          <w:tcPr>
            <w:tcW w:w="5239"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678"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50" w:name="_Hlk105762085_Копия_1"/>
            <w:bookmarkEnd w:id="50"/>
          </w:p>
        </w:tc>
      </w:tr>
    </w:tbl>
    <w:p>
      <w:pPr>
        <w:pStyle w:val="Normal"/>
        <w:rPr>
          <w:lang w:val="ru-RU"/>
        </w:rPr>
      </w:pPr>
      <w:r>
        <w:rPr>
          <w:lang w:val="ru-RU"/>
        </w:rPr>
      </w:r>
    </w:p>
    <w:p>
      <w:pPr>
        <w:pStyle w:val="Normal"/>
        <w:rPr>
          <w:lang w:val="ru-RU"/>
        </w:rPr>
      </w:pPr>
      <w:r>
        <w:rPr>
          <w:lang w:val="ru-RU"/>
        </w:rPr>
      </w:r>
      <w:r>
        <w:br w:type="page"/>
      </w:r>
    </w:p>
    <w:p>
      <w:pPr>
        <w:pStyle w:val="Normal"/>
        <w:ind w:hanging="0"/>
        <w:jc w:val="right"/>
        <w:rPr>
          <w:sz w:val="22"/>
          <w:szCs w:val="22"/>
          <w:lang w:val="ru-RU"/>
        </w:rPr>
      </w:pPr>
      <w:bookmarkStart w:id="51"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w:t>
      </w:r>
      <w:bookmarkEnd w:id="51"/>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lang w:val="ru-RU"/>
              </w:rPr>
            </w:pPr>
            <w:r>
              <w:rPr>
                <w:b/>
                <w:lang w:val="ru-RU"/>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1.1. Нарушение ППБ без возникновения пожара</w:t>
            </w:r>
          </w:p>
          <w:p>
            <w:pPr>
              <w:pStyle w:val="Normal"/>
              <w:widowControl w:val="false"/>
              <w:rPr/>
            </w:pPr>
            <w:r>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65" w:type="dxa"/>
        <w:jc w:val="left"/>
        <w:tblInd w:w="10" w:type="dxa"/>
        <w:tblLayout w:type="fixed"/>
        <w:tblCellMar>
          <w:top w:w="0" w:type="dxa"/>
          <w:left w:w="108" w:type="dxa"/>
          <w:bottom w:w="0" w:type="dxa"/>
          <w:right w:w="108" w:type="dxa"/>
        </w:tblCellMar>
        <w:tblLook w:noVBand="0" w:val="0000" w:noHBand="0" w:lastColumn="0" w:firstColumn="0" w:lastRow="0" w:firstRow="0"/>
      </w:tblPr>
      <w:tblGrid>
        <w:gridCol w:w="5227"/>
        <w:gridCol w:w="4737"/>
      </w:tblGrid>
      <w:tr>
        <w:trPr/>
        <w:tc>
          <w:tcPr>
            <w:tcW w:w="5227" w:type="dxa"/>
            <w:tcBorders/>
          </w:tcPr>
          <w:p>
            <w:pPr>
              <w:pStyle w:val="Normal"/>
              <w:widowControl w:val="false"/>
              <w:rPr>
                <w:b/>
              </w:rPr>
            </w:pPr>
            <w:r>
              <w:rPr>
                <w:b/>
              </w:rPr>
              <w:t>Заказчик:</w:t>
            </w:r>
          </w:p>
        </w:tc>
        <w:tc>
          <w:tcPr>
            <w:tcW w:w="4737" w:type="dxa"/>
            <w:tcBorders/>
          </w:tcPr>
          <w:p>
            <w:pPr>
              <w:pStyle w:val="Normal"/>
              <w:widowControl w:val="false"/>
              <w:rPr>
                <w:b/>
              </w:rPr>
            </w:pPr>
            <w:r>
              <w:rPr>
                <w:b/>
                <w:lang w:val="ru-RU"/>
              </w:rPr>
              <w:t>Исполнитель</w:t>
            </w:r>
            <w:r>
              <w:rPr>
                <w:b/>
              </w:rPr>
              <w:t>:</w:t>
            </w:r>
          </w:p>
        </w:tc>
      </w:tr>
      <w:tr>
        <w:trPr/>
        <w:tc>
          <w:tcPr>
            <w:tcW w:w="5227" w:type="dxa"/>
            <w:tcBorders/>
          </w:tcPr>
          <w:p>
            <w:pPr>
              <w:pStyle w:val="Normal"/>
              <w:widowControl w:val="false"/>
              <w:rPr>
                <w:lang w:val="ru-RU"/>
              </w:rPr>
            </w:pPr>
            <w:r>
              <w:rPr>
                <w:lang w:val="ru-RU"/>
              </w:rPr>
              <w:t>Заместитель Генерального директора по управлению ресурсами АО «СК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737"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bookmarkStart w:id="52" w:name="_Hlk105762085_Копия_1_Копия_2"/>
            <w:bookmarkEnd w:id="52"/>
          </w:p>
        </w:tc>
      </w:tr>
    </w:tbl>
    <w:p>
      <w:pPr>
        <w:pStyle w:val="Normal"/>
        <w:rPr>
          <w:lang w:val="ru-RU"/>
        </w:rPr>
      </w:pPr>
      <w:r>
        <w:rPr>
          <w:lang w:val="ru-RU"/>
        </w:rPr>
      </w:r>
    </w:p>
    <w:p>
      <w:pPr>
        <w:pStyle w:val="Normal"/>
        <w:rPr>
          <w:lang w:val="ru-RU"/>
        </w:rPr>
      </w:pPr>
      <w:r>
        <w:rPr>
          <w:lang w:val="ru-RU"/>
        </w:rPr>
      </w:r>
      <w:r>
        <w:br w:type="page"/>
      </w:r>
    </w:p>
    <w:p>
      <w:pPr>
        <w:pStyle w:val="Normal"/>
        <w:ind w:hanging="0"/>
        <w:jc w:val="right"/>
        <w:rPr>
          <w:sz w:val="22"/>
          <w:szCs w:val="22"/>
          <w:lang w:val="ru-RU"/>
        </w:rPr>
      </w:pPr>
      <w:bookmarkStart w:id="53" w:name="_Hlk92983731_Копия_1"/>
      <w:r>
        <w:rPr>
          <w:sz w:val="22"/>
          <w:szCs w:val="22"/>
          <w:lang w:val="ru-RU"/>
        </w:rPr>
        <w:t xml:space="preserve">Приложение № 3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rPr>
        <w:t xml:space="preserve">              </w:t>
      </w:r>
      <w:r>
        <w:rPr>
          <w:sz w:val="22"/>
          <w:szCs w:val="22"/>
        </w:rPr>
        <w:t>от «____» ________ 20 _ г. №______</w:t>
      </w:r>
      <w:bookmarkEnd w:id="53"/>
    </w:p>
    <w:p>
      <w:pPr>
        <w:pStyle w:val="Normal"/>
        <w:jc w:val="right"/>
        <w:rPr>
          <w:lang w:val="ru-RU"/>
        </w:rPr>
      </w:pPr>
      <w:r>
        <w:rPr>
          <w:lang w:val="ru-RU"/>
        </w:rPr>
      </w:r>
    </w:p>
    <w:p>
      <w:pPr>
        <w:pStyle w:val="Normal"/>
        <w:jc w:val="right"/>
        <w:rPr>
          <w:lang w:val="ru-RU"/>
        </w:rPr>
      </w:pPr>
      <w:r>
        <w:rPr>
          <w:lang w:val="ru-RU"/>
        </w:rPr>
      </w:r>
    </w:p>
    <w:p>
      <w:pPr>
        <w:pStyle w:val="Normal"/>
        <w:jc w:val="center"/>
        <w:rPr/>
      </w:pPr>
      <w:r>
        <w:rPr/>
      </w:r>
    </w:p>
    <w:p>
      <w:pPr>
        <w:pStyle w:val="Normal"/>
        <w:jc w:val="center"/>
        <w:rPr>
          <w:b/>
          <w:bCs/>
          <w:sz w:val="26"/>
          <w:szCs w:val="26"/>
        </w:rPr>
      </w:pPr>
      <w:r>
        <w:rPr>
          <w:b/>
          <w:bCs/>
          <w:sz w:val="26"/>
          <w:szCs w:val="26"/>
        </w:rPr>
        <w:t xml:space="preserve">Расчет стоимости услуг </w:t>
      </w:r>
    </w:p>
    <w:p>
      <w:pPr>
        <w:pStyle w:val="Normal"/>
        <w:jc w:val="center"/>
        <w:rPr/>
      </w:pPr>
      <w:r>
        <w:rPr/>
      </w:r>
    </w:p>
    <w:p>
      <w:pPr>
        <w:pStyle w:val="Normal"/>
        <w:jc w:val="center"/>
        <w:rPr/>
      </w:pPr>
      <w:r>
        <w:rPr/>
      </w:r>
    </w:p>
    <w:tbl>
      <w:tblPr>
        <w:tblW w:w="9810" w:type="dxa"/>
        <w:jc w:val="left"/>
        <w:tblInd w:w="108" w:type="dxa"/>
        <w:tblLayout w:type="fixed"/>
        <w:tblCellMar>
          <w:top w:w="0" w:type="dxa"/>
          <w:left w:w="108" w:type="dxa"/>
          <w:bottom w:w="0" w:type="dxa"/>
          <w:right w:w="108" w:type="dxa"/>
        </w:tblCellMar>
        <w:tblLook w:noVBand="0" w:val="0000" w:noHBand="0" w:lastColumn="0" w:firstColumn="0" w:lastRow="0" w:firstRow="0"/>
      </w:tblPr>
      <w:tblGrid>
        <w:gridCol w:w="589"/>
        <w:gridCol w:w="3838"/>
        <w:gridCol w:w="1218"/>
        <w:gridCol w:w="1388"/>
        <w:gridCol w:w="1388"/>
        <w:gridCol w:w="1388"/>
      </w:tblGrid>
      <w:tr>
        <w:trPr/>
        <w:tc>
          <w:tcPr>
            <w:tcW w:w="58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rPr>
                <w:sz w:val="24"/>
                <w:szCs w:val="24"/>
                <w:lang w:val="ru-RU" w:eastAsia="ru-RU" w:bidi="ar-SA"/>
              </w:rPr>
            </w:pPr>
            <w:r>
              <w:rPr>
                <w:b/>
                <w:bCs/>
                <w:sz w:val="24"/>
                <w:szCs w:val="24"/>
                <w:lang w:val="ru-RU" w:eastAsia="ru-RU" w:bidi="ar-SA"/>
              </w:rPr>
              <w:t xml:space="preserve">№ </w:t>
            </w:r>
            <w:r>
              <w:rPr>
                <w:b/>
                <w:bCs/>
                <w:sz w:val="24"/>
                <w:szCs w:val="24"/>
                <w:lang w:val="ru-RU" w:eastAsia="ru-RU" w:bidi="ar-SA"/>
              </w:rPr>
              <w:t>п/п</w:t>
            </w:r>
          </w:p>
        </w:tc>
        <w:tc>
          <w:tcPr>
            <w:tcW w:w="383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lang w:val="ru-RU" w:eastAsia="ru-RU" w:bidi="ar-SA"/>
              </w:rPr>
            </w:pPr>
            <w:r>
              <w:rPr>
                <w:b/>
                <w:bCs/>
                <w:sz w:val="24"/>
                <w:szCs w:val="24"/>
                <w:lang w:val="ru-RU" w:eastAsia="ru-RU" w:bidi="ar-SA"/>
              </w:rPr>
              <w:t>Наименование услуг / этапа услуг</w:t>
            </w:r>
          </w:p>
        </w:tc>
        <w:tc>
          <w:tcPr>
            <w:tcW w:w="121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lang w:val="ru-RU" w:eastAsia="ru-RU" w:bidi="ar-SA"/>
              </w:rPr>
            </w:pPr>
            <w:r>
              <w:rPr>
                <w:b/>
                <w:bCs/>
                <w:sz w:val="24"/>
                <w:szCs w:val="24"/>
                <w:lang w:val="ru-RU" w:eastAsia="ru-RU" w:bidi="ar-SA"/>
              </w:rPr>
              <w:t>Единица измерения</w:t>
            </w:r>
          </w:p>
        </w:tc>
        <w:tc>
          <w:tcPr>
            <w:tcW w:w="1388"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4"/>
                <w:szCs w:val="24"/>
                <w:lang w:val="ru-RU" w:eastAsia="ru-RU" w:bidi="ar-SA"/>
              </w:rPr>
            </w:pPr>
            <w:r>
              <w:rPr>
                <w:b/>
                <w:bCs/>
                <w:sz w:val="24"/>
                <w:szCs w:val="24"/>
                <w:lang w:val="ru-RU" w:eastAsia="ru-RU" w:bidi="ar-SA"/>
              </w:rPr>
              <w:t>Количество</w:t>
            </w:r>
          </w:p>
        </w:tc>
        <w:tc>
          <w:tcPr>
            <w:tcW w:w="1388" w:type="dxa"/>
            <w:tcBorders>
              <w:top w:val="single" w:sz="4" w:space="0" w:color="000000"/>
              <w:left w:val="single" w:sz="4" w:space="0" w:color="000000"/>
              <w:bottom w:val="single" w:sz="4" w:space="0" w:color="000000"/>
            </w:tcBorders>
            <w:vAlign w:val="center"/>
          </w:tcPr>
          <w:p>
            <w:pPr>
              <w:pStyle w:val="Normal"/>
              <w:keepNext w:val="true"/>
              <w:widowControl w:val="false"/>
              <w:jc w:val="center"/>
              <w:rPr>
                <w:b/>
                <w:bCs/>
                <w:sz w:val="24"/>
                <w:szCs w:val="24"/>
                <w:lang w:val="ru-RU" w:eastAsia="ru-RU" w:bidi="ar-SA"/>
              </w:rPr>
            </w:pPr>
            <w:r>
              <w:rPr>
                <w:b/>
                <w:bCs/>
                <w:sz w:val="24"/>
                <w:szCs w:val="24"/>
                <w:lang w:val="ru-RU" w:eastAsia="ru-RU" w:bidi="ar-SA"/>
              </w:rPr>
              <w:t>Цена за ед. измер, рублей без НДС</w:t>
            </w:r>
          </w:p>
        </w:tc>
        <w:tc>
          <w:tcPr>
            <w:tcW w:w="1388"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b/>
                <w:bCs/>
                <w:sz w:val="24"/>
                <w:szCs w:val="24"/>
                <w:lang w:val="ru-RU" w:eastAsia="ru-RU" w:bidi="ar-SA"/>
              </w:rPr>
            </w:pPr>
            <w:r>
              <w:rPr>
                <w:b/>
                <w:bCs/>
                <w:sz w:val="24"/>
                <w:szCs w:val="24"/>
                <w:lang w:val="ru-RU" w:eastAsia="ru-RU" w:bidi="ar-SA"/>
              </w:rPr>
              <w:t>Сумма, рублей без НДС</w:t>
            </w:r>
          </w:p>
        </w:tc>
      </w:tr>
      <w:tr>
        <w:trPr/>
        <w:tc>
          <w:tcPr>
            <w:tcW w:w="58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val="ru-RU" w:eastAsia="ru-RU" w:bidi="ar-SA"/>
              </w:rPr>
            </w:pPr>
            <w:r>
              <w:rPr>
                <w:b/>
                <w:sz w:val="24"/>
                <w:szCs w:val="24"/>
                <w:lang w:val="ru-RU" w:eastAsia="ru-RU" w:bidi="ar-SA"/>
              </w:rPr>
              <w:t>1</w:t>
            </w:r>
          </w:p>
        </w:tc>
        <w:tc>
          <w:tcPr>
            <w:tcW w:w="38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val="ru-RU" w:eastAsia="ru-RU" w:bidi="ar-SA"/>
              </w:rPr>
            </w:pPr>
            <w:r>
              <w:rPr>
                <w:b/>
                <w:sz w:val="24"/>
                <w:szCs w:val="24"/>
                <w:lang w:val="ru-RU" w:eastAsia="ru-RU" w:bidi="ar-SA"/>
              </w:rPr>
              <w:t>2</w:t>
            </w:r>
          </w:p>
        </w:tc>
        <w:tc>
          <w:tcPr>
            <w:tcW w:w="121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lang w:val="ru-RU" w:eastAsia="ru-RU" w:bidi="ar-SA"/>
              </w:rPr>
            </w:pPr>
            <w:r>
              <w:rPr>
                <w:b/>
                <w:sz w:val="24"/>
                <w:szCs w:val="24"/>
                <w:lang w:val="ru-RU" w:eastAsia="ru-RU" w:bidi="ar-SA"/>
              </w:rPr>
              <w:t>3</w:t>
            </w:r>
          </w:p>
        </w:tc>
        <w:tc>
          <w:tcPr>
            <w:tcW w:w="1388" w:type="dxa"/>
            <w:tcBorders>
              <w:top w:val="single" w:sz="4" w:space="0" w:color="000000"/>
              <w:left w:val="single" w:sz="4" w:space="0" w:color="000000"/>
              <w:bottom w:val="single" w:sz="4" w:space="0" w:color="000000"/>
            </w:tcBorders>
          </w:tcPr>
          <w:p>
            <w:pPr>
              <w:pStyle w:val="Normal"/>
              <w:widowControl w:val="false"/>
              <w:jc w:val="center"/>
              <w:rPr>
                <w:sz w:val="24"/>
                <w:szCs w:val="24"/>
                <w:lang w:val="ru-RU" w:eastAsia="ru-RU" w:bidi="ar-SA"/>
              </w:rPr>
            </w:pPr>
            <w:r>
              <w:rPr>
                <w:b/>
                <w:sz w:val="24"/>
                <w:szCs w:val="24"/>
                <w:lang w:val="ru-RU" w:eastAsia="ru-RU" w:bidi="ar-SA"/>
              </w:rPr>
              <w:t>4</w:t>
            </w:r>
          </w:p>
        </w:tc>
        <w:tc>
          <w:tcPr>
            <w:tcW w:w="1388" w:type="dxa"/>
            <w:tcBorders>
              <w:top w:val="single" w:sz="4" w:space="0" w:color="000000"/>
              <w:left w:val="single" w:sz="4" w:space="0" w:color="000000"/>
              <w:bottom w:val="single" w:sz="4" w:space="0" w:color="000000"/>
            </w:tcBorders>
          </w:tcPr>
          <w:p>
            <w:pPr>
              <w:pStyle w:val="Normal"/>
              <w:widowControl w:val="false"/>
              <w:jc w:val="center"/>
              <w:rPr>
                <w:b/>
                <w:bCs/>
                <w:sz w:val="24"/>
                <w:szCs w:val="24"/>
                <w:lang w:val="ru-RU" w:eastAsia="ru-RU" w:bidi="ar-SA"/>
              </w:rPr>
            </w:pPr>
            <w:r>
              <w:rPr>
                <w:b/>
                <w:bCs/>
                <w:sz w:val="24"/>
                <w:szCs w:val="24"/>
                <w:lang w:val="ru-RU" w:eastAsia="ru-RU" w:bidi="ar-SA"/>
              </w:rPr>
              <w:t>5</w:t>
            </w:r>
          </w:p>
        </w:tc>
        <w:tc>
          <w:tcPr>
            <w:tcW w:w="138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bCs/>
                <w:sz w:val="24"/>
                <w:szCs w:val="24"/>
                <w:lang w:val="ru-RU" w:eastAsia="ru-RU" w:bidi="ar-SA"/>
              </w:rPr>
            </w:pPr>
            <w:r>
              <w:rPr>
                <w:b/>
                <w:bCs/>
                <w:sz w:val="24"/>
                <w:szCs w:val="24"/>
                <w:lang w:val="ru-RU" w:eastAsia="ru-RU" w:bidi="ar-SA"/>
              </w:rPr>
              <w:t>6</w:t>
            </w:r>
          </w:p>
        </w:tc>
      </w:tr>
      <w:tr>
        <w:trPr>
          <w:trHeight w:val="924" w:hRule="atLeast"/>
        </w:trPr>
        <w:tc>
          <w:tcPr>
            <w:tcW w:w="589" w:type="dxa"/>
            <w:tcBorders>
              <w:top w:val="single" w:sz="4" w:space="0" w:color="000000"/>
              <w:left w:val="single" w:sz="4" w:space="0" w:color="000000"/>
              <w:bottom w:val="single" w:sz="4" w:space="0" w:color="000000"/>
              <w:right w:val="single" w:sz="4" w:space="0" w:color="000000"/>
            </w:tcBorders>
          </w:tcPr>
          <w:p>
            <w:pPr>
              <w:pStyle w:val="ListParagraph"/>
              <w:widowControl w:val="false"/>
              <w:spacing w:before="0" w:after="0"/>
              <w:ind w:left="0" w:right="0" w:hanging="0"/>
              <w:contextualSpacing w:val="false"/>
              <w:jc w:val="center"/>
              <w:rPr>
                <w:sz w:val="24"/>
                <w:szCs w:val="24"/>
                <w:lang w:val="ru-RU" w:eastAsia="ru-RU" w:bidi="ar-SA"/>
              </w:rPr>
            </w:pPr>
            <w:r>
              <w:rPr>
                <w:sz w:val="24"/>
                <w:szCs w:val="24"/>
                <w:lang w:val="ru-RU" w:eastAsia="ru-RU" w:bidi="ar-SA"/>
              </w:rPr>
              <w:t>1.</w:t>
            </w:r>
          </w:p>
        </w:tc>
        <w:tc>
          <w:tcPr>
            <w:tcW w:w="3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720" w:leader="none"/>
              </w:tabs>
              <w:spacing w:lineRule="auto" w:line="240" w:before="0" w:after="0"/>
              <w:ind w:left="0" w:right="0" w:hanging="0"/>
              <w:jc w:val="left"/>
              <w:rPr>
                <w:sz w:val="24"/>
                <w:szCs w:val="24"/>
                <w:lang w:val="ru-RU" w:eastAsia="ru-RU" w:bidi="ar-SA"/>
              </w:rPr>
            </w:pPr>
            <w:r>
              <w:rPr>
                <w:rFonts w:eastAsia="Calibri"/>
                <w:sz w:val="24"/>
                <w:szCs w:val="24"/>
                <w:lang w:val="ru-RU" w:eastAsia="ru-RU" w:bidi="ar-SA"/>
              </w:rPr>
              <w:t>ОКПД 2 49.39.13.000: Оказание транспортных услуг по доставке сотрудников до места работы: филиал ПАО «РусГидро» - «Чебоксарская ГЭС»</w:t>
            </w:r>
          </w:p>
        </w:tc>
        <w:tc>
          <w:tcPr>
            <w:tcW w:w="12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iCs/>
                <w:sz w:val="24"/>
                <w:szCs w:val="24"/>
                <w:lang w:val="ru-RU" w:eastAsia="ru-RU" w:bidi="ar-SA"/>
              </w:rPr>
              <w:t xml:space="preserve">мес </w:t>
            </w:r>
          </w:p>
        </w:tc>
        <w:tc>
          <w:tcPr>
            <w:tcW w:w="1388"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iCs/>
                <w:sz w:val="24"/>
                <w:szCs w:val="24"/>
                <w:lang w:val="ru-RU" w:eastAsia="ru-RU" w:bidi="ar-SA"/>
              </w:rPr>
              <w:t>12</w:t>
            </w:r>
          </w:p>
        </w:tc>
        <w:tc>
          <w:tcPr>
            <w:tcW w:w="1388" w:type="dxa"/>
            <w:tcBorders>
              <w:top w:val="single" w:sz="4" w:space="0" w:color="000000"/>
              <w:left w:val="single" w:sz="4" w:space="0" w:color="000000"/>
              <w:bottom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sz w:val="24"/>
                <w:szCs w:val="24"/>
                <w:lang w:val="ru-RU" w:eastAsia="ru-RU" w:bidi="ar-SA"/>
              </w:rPr>
            </w:r>
          </w:p>
        </w:tc>
        <w:tc>
          <w:tcPr>
            <w:tcW w:w="1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sz w:val="24"/>
                <w:szCs w:val="24"/>
                <w:lang w:val="ru-RU" w:eastAsia="ru-RU" w:bidi="ar-SA"/>
              </w:rPr>
            </w:r>
          </w:p>
        </w:tc>
      </w:tr>
      <w:tr>
        <w:trPr>
          <w:trHeight w:val="373" w:hRule="atLeast"/>
        </w:trPr>
        <w:tc>
          <w:tcPr>
            <w:tcW w:w="8421" w:type="dxa"/>
            <w:gridSpan w:val="5"/>
            <w:tcBorders>
              <w:left w:val="single" w:sz="4" w:space="0" w:color="000000"/>
              <w:bottom w:val="single" w:sz="4" w:space="0" w:color="000000"/>
            </w:tcBorders>
          </w:tcPr>
          <w:p>
            <w:pPr>
              <w:pStyle w:val="Style33"/>
              <w:widowControl w:val="false"/>
              <w:jc w:val="right"/>
              <w:rPr>
                <w:sz w:val="24"/>
                <w:szCs w:val="24"/>
              </w:rPr>
            </w:pPr>
            <w:r>
              <w:rPr>
                <w:sz w:val="24"/>
                <w:szCs w:val="24"/>
              </w:rPr>
              <w:t>Итого, рублей без НДС</w:t>
            </w:r>
          </w:p>
        </w:tc>
        <w:tc>
          <w:tcPr>
            <w:tcW w:w="138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sz w:val="24"/>
                <w:szCs w:val="24"/>
                <w:lang w:val="ru-RU" w:eastAsia="ru-RU" w:bidi="ar-SA"/>
              </w:rPr>
            </w:r>
          </w:p>
        </w:tc>
      </w:tr>
      <w:tr>
        <w:trPr>
          <w:trHeight w:val="450" w:hRule="atLeast"/>
        </w:trPr>
        <w:tc>
          <w:tcPr>
            <w:tcW w:w="8421" w:type="dxa"/>
            <w:gridSpan w:val="5"/>
            <w:tcBorders>
              <w:left w:val="single" w:sz="4" w:space="0" w:color="000000"/>
              <w:bottom w:val="single" w:sz="4" w:space="0" w:color="000000"/>
            </w:tcBorders>
          </w:tcPr>
          <w:p>
            <w:pPr>
              <w:pStyle w:val="Style33"/>
              <w:widowControl w:val="false"/>
              <w:jc w:val="right"/>
              <w:rPr>
                <w:sz w:val="24"/>
                <w:szCs w:val="24"/>
              </w:rPr>
            </w:pPr>
            <w:r>
              <w:rPr>
                <w:sz w:val="24"/>
                <w:szCs w:val="24"/>
              </w:rPr>
              <w:t>Итого НДС (___%), рублей*</w:t>
            </w:r>
          </w:p>
        </w:tc>
        <w:tc>
          <w:tcPr>
            <w:tcW w:w="138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sz w:val="24"/>
                <w:szCs w:val="24"/>
                <w:lang w:val="ru-RU" w:eastAsia="ru-RU" w:bidi="ar-SA"/>
              </w:rPr>
            </w:r>
          </w:p>
        </w:tc>
      </w:tr>
      <w:tr>
        <w:trPr>
          <w:trHeight w:val="405" w:hRule="atLeast"/>
        </w:trPr>
        <w:tc>
          <w:tcPr>
            <w:tcW w:w="8421" w:type="dxa"/>
            <w:gridSpan w:val="5"/>
            <w:tcBorders>
              <w:left w:val="single" w:sz="4" w:space="0" w:color="000000"/>
              <w:bottom w:val="single" w:sz="4" w:space="0" w:color="000000"/>
            </w:tcBorders>
          </w:tcPr>
          <w:p>
            <w:pPr>
              <w:pStyle w:val="Style33"/>
              <w:widowControl w:val="false"/>
              <w:jc w:val="right"/>
              <w:rPr>
                <w:sz w:val="24"/>
                <w:szCs w:val="24"/>
              </w:rPr>
            </w:pPr>
            <w:r>
              <w:rPr>
                <w:sz w:val="24"/>
                <w:szCs w:val="24"/>
              </w:rPr>
              <w:t>Итого с учетом НДС, рублей**</w:t>
            </w:r>
          </w:p>
        </w:tc>
        <w:tc>
          <w:tcPr>
            <w:tcW w:w="1388" w:type="dxa"/>
            <w:tcBorders>
              <w:left w:val="single" w:sz="4" w:space="0" w:color="000000"/>
              <w:bottom w:val="single" w:sz="4" w:space="0" w:color="000000"/>
              <w:right w:val="single" w:sz="4" w:space="0" w:color="000000"/>
            </w:tcBorders>
            <w:vAlign w:val="center"/>
          </w:tcPr>
          <w:p>
            <w:pPr>
              <w:pStyle w:val="Normal"/>
              <w:widowControl w:val="false"/>
              <w:spacing w:lineRule="auto" w:line="240" w:before="0" w:after="0"/>
              <w:ind w:left="0" w:right="0" w:hanging="0"/>
              <w:jc w:val="center"/>
              <w:rPr>
                <w:sz w:val="24"/>
                <w:szCs w:val="24"/>
                <w:lang w:val="ru-RU" w:eastAsia="ru-RU" w:bidi="ar-SA"/>
              </w:rPr>
            </w:pPr>
            <w:r>
              <w:rPr>
                <w:sz w:val="24"/>
                <w:szCs w:val="24"/>
                <w:lang w:val="ru-RU" w:eastAsia="ru-RU" w:bidi="ar-SA"/>
              </w:rPr>
            </w:r>
          </w:p>
        </w:tc>
      </w:tr>
    </w:tbl>
    <w:p>
      <w:pPr>
        <w:pStyle w:val="Normal"/>
        <w:jc w:val="both"/>
        <w:rPr>
          <w:i/>
          <w:i/>
          <w:iCs/>
          <w:sz w:val="20"/>
          <w:szCs w:val="20"/>
          <w:lang w:val="ru-RU" w:bidi="ar-SA"/>
        </w:rPr>
      </w:pP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необходимо указать: «НДС не облагается».</w:t>
      </w:r>
    </w:p>
    <w:p>
      <w:pPr>
        <w:pStyle w:val="Normal"/>
        <w:jc w:val="both"/>
        <w:rPr>
          <w:i/>
          <w:i/>
          <w:iCs/>
          <w:sz w:val="20"/>
          <w:szCs w:val="20"/>
          <w:lang w:val="ru-RU" w:bidi="ar-SA"/>
        </w:rPr>
      </w:pPr>
      <w:r>
        <w:rPr>
          <w:i/>
          <w:iCs/>
          <w:sz w:val="20"/>
          <w:szCs w:val="20"/>
          <w:lang w:val="ru-RU" w:bidi="ar-SA"/>
        </w:rPr>
        <w:t>** Если Контрагент применяет упрощенную систему налогообложения или специальный налоговый режим «Налог на профессиональный доход», то в данной графе указывается цена без НДС, указанная в графе «Итого, рублей без НДС».</w:t>
      </w:r>
    </w:p>
    <w:p>
      <w:pPr>
        <w:pStyle w:val="Normal"/>
        <w:rPr>
          <w:rFonts w:ascii="Times New Roman" w:hAnsi="Times New Roman"/>
          <w:sz w:val="28"/>
          <w:szCs w:val="28"/>
        </w:rPr>
      </w:pPr>
      <w:r>
        <w:rPr>
          <w:sz w:val="28"/>
          <w:szCs w:val="28"/>
        </w:rPr>
        <w:t xml:space="preserve">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tbl>
      <w:tblPr>
        <w:tblW w:w="9965" w:type="dxa"/>
        <w:jc w:val="left"/>
        <w:tblInd w:w="10" w:type="dxa"/>
        <w:tblLayout w:type="fixed"/>
        <w:tblCellMar>
          <w:top w:w="0" w:type="dxa"/>
          <w:left w:w="108" w:type="dxa"/>
          <w:bottom w:w="0" w:type="dxa"/>
          <w:right w:w="108" w:type="dxa"/>
        </w:tblCellMar>
        <w:tblLook w:noVBand="0" w:val="0000" w:noHBand="0" w:lastColumn="0" w:firstColumn="0" w:lastRow="0" w:firstRow="0"/>
      </w:tblPr>
      <w:tblGrid>
        <w:gridCol w:w="5227"/>
        <w:gridCol w:w="4737"/>
      </w:tblGrid>
      <w:tr>
        <w:trPr/>
        <w:tc>
          <w:tcPr>
            <w:tcW w:w="5227" w:type="dxa"/>
            <w:tcBorders/>
          </w:tcPr>
          <w:p>
            <w:pPr>
              <w:pStyle w:val="Normal"/>
              <w:widowControl w:val="false"/>
              <w:rPr>
                <w:b/>
              </w:rPr>
            </w:pPr>
            <w:r>
              <w:rPr>
                <w:b/>
              </w:rPr>
              <w:t>Заказчик:</w:t>
            </w:r>
          </w:p>
        </w:tc>
        <w:tc>
          <w:tcPr>
            <w:tcW w:w="4737" w:type="dxa"/>
            <w:tcBorders/>
          </w:tcPr>
          <w:p>
            <w:pPr>
              <w:pStyle w:val="Normal"/>
              <w:widowControl w:val="false"/>
              <w:rPr>
                <w:b/>
              </w:rPr>
            </w:pPr>
            <w:r>
              <w:rPr>
                <w:b/>
                <w:lang w:val="ru-RU"/>
              </w:rPr>
              <w:t>Исполнитель</w:t>
            </w:r>
            <w:r>
              <w:rPr>
                <w:b/>
              </w:rPr>
              <w:t>:</w:t>
            </w:r>
          </w:p>
        </w:tc>
      </w:tr>
      <w:tr>
        <w:trPr/>
        <w:tc>
          <w:tcPr>
            <w:tcW w:w="5227" w:type="dxa"/>
            <w:tcBorders/>
          </w:tcPr>
          <w:p>
            <w:pPr>
              <w:pStyle w:val="Normal"/>
              <w:widowControl w:val="false"/>
              <w:rPr>
                <w:lang w:val="ru-RU"/>
              </w:rPr>
            </w:pPr>
            <w:r>
              <w:rPr>
                <w:lang w:val="ru-RU"/>
              </w:rPr>
              <w:t>АО «СК РусГидро»</w:t>
            </w:r>
          </w:p>
          <w:p>
            <w:pPr>
              <w:pStyle w:val="Normal"/>
              <w:widowControl w:val="false"/>
              <w:rPr>
                <w:lang w:val="ru-RU"/>
              </w:rPr>
            </w:pPr>
            <w:r>
              <w:rPr>
                <w:lang w:val="ru-RU"/>
              </w:rPr>
              <w:t xml:space="preserve">Заместитель Генерального директора по управлению ресурсами </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 xml:space="preserve">__________________ / Н.Н. Клочков </w:t>
            </w:r>
          </w:p>
        </w:tc>
        <w:tc>
          <w:tcPr>
            <w:tcW w:w="4737" w:type="dxa"/>
            <w:tcBorders/>
          </w:tcPr>
          <w:p>
            <w:pPr>
              <w:pStyle w:val="Normal"/>
              <w:widowControl w:val="false"/>
              <w:rPr>
                <w:lang w:val="ru-RU"/>
              </w:rPr>
            </w:pPr>
            <w:r>
              <w:rPr>
                <w:lang w:val="ru-RU"/>
              </w:rPr>
              <w:t>____________________________</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 /____________</w:t>
            </w:r>
          </w:p>
        </w:tc>
      </w:tr>
    </w:tbl>
    <w:p>
      <w:pPr>
        <w:pStyle w:val="Normal"/>
        <w:rPr/>
      </w:pPr>
      <w:r>
        <w:rPr/>
      </w:r>
    </w:p>
    <w:sectPr>
      <w:headerReference w:type="default" r:id="rId3"/>
      <w:headerReference w:type="first" r:id="rId4"/>
      <w:footerReference w:type="default" r:id="rId5"/>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OpenSymbol">
    <w:altName w:val="Arial Unicode MS"/>
    <w:charset w:val="01"/>
    <w:family w:val="roman"/>
    <w:pitch w:val="default"/>
  </w:font>
  <w:font w:name="TimesNewRoman">
    <w:charset w:val="01"/>
    <w:family w:val="roman"/>
    <w:pitch w:val="default"/>
  </w:font>
  <w:font w:name="Liberation Sans">
    <w:altName w:val="Arial"/>
    <w:charset w:val="01"/>
    <w:family w:val="roman"/>
    <w:pitch w:val="default"/>
  </w:font>
  <w:font w:name="Verdana">
    <w:charset w:val="01"/>
    <w:family w:val="roman"/>
    <w:pitch w:val="default"/>
  </w:font>
  <w:font w:name="Consolas">
    <w:charset w:val="01"/>
    <w:family w:val="roman"/>
    <w:pitch w:val="default"/>
  </w:font>
  <w:font w:name="Tahoma">
    <w:charset w:val="01"/>
    <w:family w:val="roman"/>
    <w:pitch w:val="default"/>
  </w:font>
  <w:font w:name="Symbol">
    <w:charset w:val="02"/>
    <w:family w:val="auto"/>
    <w:pitch w:val="default"/>
  </w:font>
  <w:font w:name="Tahoma">
    <w:charset w:val="01"/>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22</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Выбор зависит от того, является ли Поставщик плательщиком НДС или нет.</w:t>
      </w:r>
    </w:p>
  </w:footnote>
  <w:footnote w:id="4">
    <w:p>
      <w:pPr>
        <w:pStyle w:val="FootnoteText"/>
        <w:rPr>
          <w:lang w:val="ru-RU"/>
        </w:rPr>
      </w:pPr>
      <w:r>
        <w:rPr>
          <w:rStyle w:val="Style6"/>
        </w:rPr>
        <w:footnoteRef/>
      </w:r>
      <w:r>
        <w:rPr>
          <w:lang w:val="ru-RU"/>
        </w:rPr>
        <w:t xml:space="preserve"> </w:t>
      </w:r>
      <w:r>
        <w:rPr>
          <w:lang w:val="ru-RU"/>
        </w:rPr>
        <w:t>Данный порядок не является обязательным и может быть изменен в каждом конкретном случае.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sz w:val="20"/>
        <w:szCs w:val="20"/>
        <w:lang w:val="ru-RU"/>
      </w:rPr>
    </w:pPr>
    <w:r>
      <w:rPr>
        <w:color w:val="A6A6A6" w:themeColor="background1" w:themeShade="a6"/>
        <w:sz w:val="20"/>
        <w:szCs w:val="20"/>
        <w:lang w:val="ru-RU"/>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lang w:val="ru-RU"/>
      </w:rPr>
    </w:pPr>
    <w:r>
      <w:rPr>
        <w:lang w:val="ru-RU"/>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7">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8">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3"/>
      <w:numFmt w:val="decimal"/>
      <w:lvlText w:val="%1."/>
      <w:lvlJc w:val="left"/>
      <w:pPr>
        <w:tabs>
          <w:tab w:val="num" w:pos="0"/>
        </w:tabs>
        <w:ind w:left="360" w:hanging="360"/>
      </w:pPr>
      <w:rPr/>
    </w:lvl>
    <w:lvl w:ilvl="1">
      <w:start w:val="3"/>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1">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660" w:hanging="660"/>
      </w:pPr>
      <w:rPr/>
    </w:lvl>
    <w:lvl w:ilvl="1">
      <w:start w:val="1"/>
      <w:numFmt w:val="decimal"/>
      <w:lvlText w:val="%1.%2."/>
      <w:lvlJc w:val="left"/>
      <w:pPr>
        <w:tabs>
          <w:tab w:val="num" w:pos="0"/>
        </w:tabs>
        <w:ind w:left="1015" w:hanging="660"/>
      </w:pPr>
      <w:rPr>
        <w:b w:val="false"/>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3">
    <w:lvl w:ilvl="0">
      <w:start w:val="1"/>
      <w:numFmt w:val="bullet"/>
      <w:lvlText w:val="₋"/>
      <w:lvlJc w:val="left"/>
      <w:pPr>
        <w:tabs>
          <w:tab w:val="num" w:pos="720"/>
        </w:tabs>
        <w:ind w:left="720" w:hanging="360"/>
      </w:pPr>
      <w:rPr>
        <w:rFonts w:ascii="Tahoma" w:hAnsi="Tahoma" w:cs="Tahoma"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5">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lvl w:ilvl="0">
      <w:start w:val="1"/>
      <w:numFmt w:val="bullet"/>
      <w:lvlText w:val="₋"/>
      <w:lvlJc w:val="left"/>
      <w:pPr>
        <w:tabs>
          <w:tab w:val="num" w:pos="720"/>
        </w:tabs>
        <w:ind w:left="720" w:hanging="360"/>
      </w:pPr>
      <w:rPr>
        <w:rFonts w:ascii="Tahoma" w:hAnsi="Tahoma" w:cs="Tahoma"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8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uiPriority w:val="99"/>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UnresolvedMention">
    <w:name w:val="Unresolved Mention"/>
    <w:basedOn w:val="DefaultParagraphFont"/>
    <w:uiPriority w:val="99"/>
    <w:semiHidden/>
    <w:unhideWhenUsed/>
    <w:qFormat/>
    <w:rsid w:val="00540ad9"/>
    <w:rPr>
      <w:color w:val="605E5C"/>
      <w:shd w:fill="E1DFDD" w:val="clear"/>
    </w:rPr>
  </w:style>
  <w:style w:type="character" w:styleId="Style17">
    <w:name w:val="Маркеры"/>
    <w:qFormat/>
    <w:rPr>
      <w:rFonts w:ascii="OpenSymbol" w:hAnsi="OpenSymbol" w:eastAsia="OpenSymbol" w:cs="OpenSymbol"/>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character" w:styleId="Style19">
    <w:name w:val="комментарий"/>
    <w:qFormat/>
    <w:rPr>
      <w:b/>
      <w:i/>
      <w:shd w:fill="FFFF99" w:val="clear"/>
    </w:rPr>
  </w:style>
  <w:style w:type="character" w:styleId="Fontstyle01">
    <w:name w:val="fontstyle01"/>
    <w:basedOn w:val="DefaultParagraphFont"/>
    <w:qFormat/>
    <w:rPr>
      <w:rFonts w:ascii="TimesNewRoman" w:hAnsi="TimesNewRoman"/>
      <w:b w:val="false"/>
      <w:bCs w:val="false"/>
      <w:i w:val="false"/>
      <w:iCs w:val="false"/>
      <w:color w:val="000000"/>
      <w:sz w:val="22"/>
      <w:szCs w:val="22"/>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22"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3" w:customStyle="1">
    <w:name w:val="Пункт"/>
    <w:basedOn w:val="Normal"/>
    <w:qFormat/>
    <w:rsid w:val="005f1e81"/>
    <w:pPr>
      <w:numPr>
        <w:ilvl w:val="2"/>
        <w:numId w:val="2"/>
      </w:numPr>
      <w:jc w:val="both"/>
    </w:pPr>
    <w:rPr>
      <w:sz w:val="28"/>
      <w:lang w:val="ru-RU"/>
    </w:rPr>
  </w:style>
  <w:style w:type="paragraph" w:styleId="Style24" w:customStyle="1">
    <w:name w:val="Подпункт"/>
    <w:basedOn w:val="Style23"/>
    <w:qFormat/>
    <w:rsid w:val="005f1e81"/>
    <w:pPr>
      <w:numPr>
        <w:ilvl w:val="3"/>
      </w:numPr>
    </w:pPr>
    <w:rPr/>
  </w:style>
  <w:style w:type="paragraph" w:styleId="Style25" w:customStyle="1">
    <w:name w:val="Подподпункт"/>
    <w:basedOn w:val="Style24"/>
    <w:qFormat/>
    <w:rsid w:val="005f1e81"/>
    <w:pPr>
      <w:numPr>
        <w:ilvl w:val="4"/>
      </w:numPr>
    </w:pPr>
    <w:rPr/>
  </w:style>
  <w:style w:type="paragraph" w:styleId="Style26" w:customStyle="1">
    <w:name w:val="Пункт договора"/>
    <w:basedOn w:val="Normal"/>
    <w:qFormat/>
    <w:rsid w:val="005f1e81"/>
    <w:pPr>
      <w:widowControl w:val="false"/>
      <w:jc w:val="both"/>
    </w:pPr>
    <w:rPr>
      <w:rFonts w:ascii="Arial" w:hAnsi="Arial"/>
      <w:sz w:val="20"/>
      <w:szCs w:val="20"/>
      <w:lang w:val="ru-RU"/>
    </w:rPr>
  </w:style>
  <w:style w:type="paragraph" w:styleId="Style27"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8" w:customStyle="1">
    <w:name w:val="Раздел договора"/>
    <w:basedOn w:val="Normal"/>
    <w:next w:val="Style26"/>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9"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30">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tru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tru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true"/>
      <w:spacing w:before="0" w:after="0"/>
      <w:jc w:val="both"/>
      <w:textAlignment w:val="baseline"/>
    </w:pPr>
    <w:rPr>
      <w:rFonts w:ascii="Times New Roman" w:hAnsi="Times New Roman"/>
      <w:color w:val="auto"/>
      <w:lang w:val="x-none"/>
    </w:rPr>
  </w:style>
  <w:style w:type="paragraph" w:styleId="NormalWeb">
    <w:name w:val="Normal (Web)"/>
    <w:basedOn w:val="Normal"/>
    <w:qFormat/>
    <w:pPr>
      <w:widowControl/>
      <w:spacing w:beforeAutospacing="1" w:afterAutospacing="1"/>
    </w:pPr>
    <w:rPr>
      <w:sz w:val="24"/>
      <w:szCs w:val="24"/>
    </w:rPr>
  </w:style>
  <w:style w:type="paragraph" w:styleId="4">
    <w:name w:val="4. Текст"/>
    <w:basedOn w:val="Annotationtext"/>
    <w:qFormat/>
    <w:pPr>
      <w:widowControl w:val="false"/>
      <w:tabs>
        <w:tab w:val="clear" w:pos="708"/>
        <w:tab w:val="left" w:pos="7608" w:leader="none"/>
      </w:tabs>
      <w:jc w:val="both"/>
    </w:pPr>
    <w:rPr>
      <w:bCs/>
      <w:color w:val="000000"/>
      <w:spacing w:val="2"/>
      <w:sz w:val="24"/>
      <w:szCs w:val="24"/>
    </w:rPr>
  </w:style>
  <w:style w:type="paragraph" w:styleId="Style31">
    <w:name w:val="Таблица шапка"/>
    <w:basedOn w:val="Normal"/>
    <w:qFormat/>
    <w:pPr>
      <w:keepNext w:val="true"/>
      <w:spacing w:before="40" w:after="40"/>
      <w:ind w:left="57" w:right="57" w:hanging="0"/>
    </w:pPr>
    <w:rPr>
      <w:sz w:val="22"/>
      <w:szCs w:val="26"/>
    </w:rPr>
  </w:style>
  <w:style w:type="paragraph" w:styleId="Style32">
    <w:name w:val="Таблица"/>
    <w:basedOn w:val="Normal"/>
    <w:qFormat/>
    <w:pPr>
      <w:keepNext w:val="true"/>
      <w:spacing w:before="60" w:after="60"/>
      <w:jc w:val="center"/>
    </w:pPr>
    <w:rPr>
      <w:rFonts w:eastAsia="Calibri"/>
      <w:b/>
      <w:sz w:val="24"/>
      <w:szCs w:val="24"/>
      <w:lang w:val="x-none" w:eastAsia="x-none"/>
    </w:rPr>
  </w:style>
  <w:style w:type="paragraph" w:styleId="Style33">
    <w:name w:val="Содержимое таблицы"/>
    <w:basedOn w:val="Normal"/>
    <w:qFormat/>
    <w:pPr>
      <w:widowControl w:val="false"/>
      <w:suppressLineNumbers/>
    </w:pPr>
    <w:rPr/>
  </w:style>
  <w:style w:type="paragraph" w:styleId="Style34">
    <w:name w:val="Заголовок таблицы"/>
    <w:basedOn w:val="Style33"/>
    <w:qFormat/>
    <w:pPr>
      <w:suppressLineNumbers/>
      <w:jc w:val="center"/>
    </w:pPr>
    <w:rPr>
      <w:b/>
      <w:bCs/>
    </w:rPr>
  </w:style>
  <w:style w:type="numbering" w:styleId="NoList" w:default="1">
    <w:name w:val="No List"/>
    <w:uiPriority w:val="99"/>
    <w:semiHidden/>
    <w:unhideWhenUsed/>
    <w:qFormat/>
  </w:style>
  <w:style w:type="numbering" w:styleId="37395047461">
    <w:name w:val="37395047461"/>
    <w:qFormat/>
  </w:style>
  <w:style w:type="numbering" w:styleId="1538584731">
    <w:name w:val="1538584731"/>
    <w:qFormat/>
  </w:style>
  <w:style w:type="numbering" w:styleId="33028689531">
    <w:name w:val="33028689531"/>
    <w:qFormat/>
  </w:style>
  <w:style w:type="numbering" w:styleId="34425485631">
    <w:name w:val="34425485631"/>
    <w:qFormat/>
  </w:style>
  <w:style w:type="numbering" w:styleId="30127710911">
    <w:name w:val="30127710911"/>
    <w:qFormat/>
  </w:style>
  <w:style w:type="numbering" w:styleId="17772831821">
    <w:name w:val="17772831821"/>
    <w:qFormat/>
  </w:style>
  <w:style w:type="numbering" w:styleId="16071120371">
    <w:name w:val="16071120371"/>
    <w:qFormat/>
  </w:style>
  <w:style w:type="numbering" w:styleId="36109418211">
    <w:name w:val="36109418211"/>
    <w:qFormat/>
  </w:style>
  <w:style w:type="numbering" w:styleId="1869596761">
    <w:name w:val="1869596761"/>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Relationship Id="rId14" Type="http://schemas.openxmlformats.org/officeDocument/2006/relationships/customXml" Target="../customXml/item4.xml"/><Relationship Id="rId15" Type="http://schemas.openxmlformats.org/officeDocument/2006/relationships/customXml" Target="../customXml/item5.xml"/><Relationship Id="rId16" Type="http://schemas.openxmlformats.org/officeDocument/2006/relationships/customXml" Target="../customXml/item6.xml"/><Relationship Id="rId17"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DFB6C-79B7-4D78-AE0D-03613354B53B}">
  <ds:schemaRefs>
    <ds:schemaRef ds:uri="http://schemas.openxmlformats.org/officeDocument/2006/bibliography"/>
  </ds:schemaRefs>
</ds:datastoreItem>
</file>

<file path=customXml/itemProps2.xml><?xml version="1.0" encoding="utf-8"?>
<ds:datastoreItem xmlns:ds="http://schemas.openxmlformats.org/officeDocument/2006/customXml" ds:itemID="{067CB3AE-82F9-4FB4-9193-B379748E0D83}">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924832C5-AC63-4F40-AC62-9F176972CC19}">
  <ds:schemaRefs>
    <ds:schemaRef ds:uri="http://schemas.openxmlformats.org/officeDocument/2006/bibliography"/>
  </ds:schemaRefs>
</ds:datastoreItem>
</file>

<file path=customXml/itemProps6.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7.xml><?xml version="1.0" encoding="utf-8"?>
<ds:datastoreItem xmlns:ds="http://schemas.openxmlformats.org/officeDocument/2006/customXml" ds:itemID="{26F7F186-D8F2-4159-978D-BC1017BD8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Application>AlterOffice/3.4.0.9$Linux_X86_64 LibreOffice_project/b8daf9e823b1a5463a2f48435ddc2e8696e7d4fc</Application>
  <AppVersion>15.0000</AppVersion>
  <Pages>27</Pages>
  <Words>9721</Words>
  <Characters>69421</Characters>
  <CharactersWithSpaces>78571</CharactersWithSpaces>
  <Paragraphs>678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2021-09-13T02:06:00Z</dcterms:created>
  <dc:creator>UK VoHEC</dc:creator>
  <dc:description/>
  <dc:language>ru-RU</dc:language>
  <cp:lastModifiedBy>kabakovaes</cp:lastModifiedBy>
  <cp:lastPrinted>2022-01-13T22:05:00Z</cp:lastPrinted>
  <dcterms:modified xsi:type="dcterms:W3CDTF">2026-09-23T10:26:14Z</dcterms:modified>
  <cp:revision>187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