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t>Договор поставки №   -Жиг/пос-26</w:t>
      </w:r>
    </w:p>
    <w:p>
      <w:pPr>
        <w:pStyle w:val="Normal"/>
        <w:shd w:val="clear" w:color="auto" w:fill="FFFFFF"/>
        <w:spacing w:before="0" w:after="120"/>
        <w:rPr>
          <w:sz w:val="24"/>
          <w:szCs w:val="24"/>
        </w:rPr>
      </w:pPr>
      <w:r>
        <w:rPr>
          <w:sz w:val="24"/>
          <w:szCs w:val="24"/>
        </w:rPr>
        <w:t>г. Жигулевск</w:t>
        <w:tab/>
        <w:t xml:space="preserve"> </w:t>
        <w:tab/>
        <w:t xml:space="preserve">                                                                            «___» __________ 2026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w:t>
      </w:r>
      <w:r>
        <w:rPr>
          <w:sz w:val="24"/>
          <w:szCs w:val="24"/>
          <w:lang w:eastAsia="zh-CN"/>
        </w:rPr>
        <w:t xml:space="preserve">в лице директора Жигулевского филиала АО «Гидроремонт-ВКК» в г. Жигулевск Голубцова Игоря Алексеевича, действующего на основании доверенности № 633 от 02.09.2025 г., </w:t>
      </w:r>
      <w:r>
        <w:rPr>
          <w:sz w:val="24"/>
          <w:szCs w:val="24"/>
        </w:rPr>
        <w:t>с одной стороны, и</w:t>
      </w:r>
    </w:p>
    <w:p>
      <w:pPr>
        <w:pStyle w:val="Normal"/>
        <w:spacing w:before="0" w:after="120"/>
        <w:ind w:firstLine="567"/>
        <w:jc w:val="both"/>
        <w:rPr>
          <w:sz w:val="24"/>
          <w:szCs w:val="24"/>
        </w:rPr>
      </w:pPr>
      <w:r>
        <w:rPr>
          <w:b/>
          <w:sz w:val="24"/>
          <w:szCs w:val="24"/>
        </w:rPr>
        <w:t>____________________________________ (______),</w:t>
      </w:r>
      <w:r>
        <w:rPr>
          <w:sz w:val="24"/>
          <w:szCs w:val="24"/>
        </w:rPr>
        <w:t xml:space="preserve"> именуемое в дальнейшем </w:t>
      </w:r>
      <w:r>
        <w:rPr>
          <w:b w:val="false"/>
          <w:bCs w:val="false"/>
          <w:sz w:val="24"/>
          <w:szCs w:val="24"/>
        </w:rPr>
        <w:t xml:space="preserve">«Поставщик», </w:t>
      </w:r>
      <w:r>
        <w:rPr>
          <w:sz w:val="24"/>
          <w:szCs w:val="24"/>
        </w:rPr>
        <w:t xml:space="preserve">в лице ______________, действующего на основании ________________,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auto" w:val="clear"/>
        </w:rPr>
      </w:pPr>
      <w:r>
        <w:rPr>
          <w:bCs/>
          <w:sz w:val="24"/>
          <w:szCs w:val="24"/>
          <w:shd w:fill="auto" w:val="clear"/>
        </w:rPr>
        <w:t>по результатам нерегламентированной закупки, что подтверждается аналитической запиской о результатах анализа предложений, представленных в отношении нерегламентированной закупки от  ____.2026,</w:t>
      </w:r>
      <w:r>
        <w:rPr>
          <w:sz w:val="24"/>
          <w:szCs w:val="24"/>
          <w:shd w:fill="auto" w:val="clear"/>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firstLine="567" w:left="0"/>
        <w:jc w:val="both"/>
        <w:rPr>
          <w:b w:val="false"/>
          <w:sz w:val="24"/>
        </w:rPr>
      </w:pPr>
      <w:r>
        <w:rPr>
          <w:b w:val="false"/>
          <w:sz w:val="24"/>
        </w:rPr>
        <w:t xml:space="preserve">Поставщик обязуется передать </w:t>
      </w:r>
      <w:r>
        <w:rPr>
          <w:b/>
          <w:bCs/>
          <w:color w:val="000000"/>
          <w:sz w:val="24"/>
          <w:szCs w:val="24"/>
        </w:rPr>
        <w:t>электрод</w:t>
      </w:r>
      <w:r>
        <w:rPr>
          <w:b/>
          <w:bCs/>
          <w:color w:val="000000"/>
          <w:sz w:val="24"/>
          <w:szCs w:val="24"/>
        </w:rPr>
        <w:t>ы</w:t>
      </w:r>
      <w:r>
        <w:rPr>
          <w:b/>
          <w:bCs/>
          <w:color w:val="000000"/>
          <w:sz w:val="24"/>
          <w:szCs w:val="24"/>
        </w:rPr>
        <w:t xml:space="preserve"> на капитальный ремонт ГА№1</w:t>
      </w:r>
      <w:r>
        <w:rPr>
          <w:sz w:val="24"/>
        </w:rPr>
        <w:t xml:space="preserve"> </w:t>
      </w:r>
      <w:r>
        <w:rPr>
          <w:b w:val="false"/>
          <w:sz w:val="24"/>
        </w:rPr>
        <w:t>(далее – «Продукция») на условиях, согласованных Сторонами в Договоре, в соответствии со Спецификацией (</w:t>
      </w:r>
      <w:r>
        <w:rPr>
          <w:sz w:val="24"/>
        </w:rPr>
        <w:t>Приложение № 1</w:t>
      </w:r>
      <w:r>
        <w:rPr>
          <w:b w:val="false"/>
          <w:sz w:val="24"/>
        </w:rPr>
        <w:t>)</w:t>
      </w:r>
      <w:r>
        <w:rPr>
          <w:sz w:val="24"/>
        </w:rPr>
        <w:t xml:space="preserve"> </w:t>
      </w:r>
      <w:r>
        <w:rPr>
          <w:b w:val="false"/>
          <w:sz w:val="24"/>
        </w:rPr>
        <w:t>и</w:t>
      </w:r>
      <w:r>
        <w:rPr>
          <w:sz w:val="24"/>
        </w:rPr>
        <w:t xml:space="preserve"> </w:t>
      </w:r>
      <w:r>
        <w:rPr>
          <w:b w:val="false"/>
          <w:sz w:val="24"/>
        </w:rPr>
        <w:t>Техническими требованиями (</w:t>
      </w:r>
      <w:r>
        <w:rPr>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firstLine="567" w:left="0"/>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Поставка по Договору выполняется для нужд Жигулевского филиала АО «Гидроремонт-ВКК» в г. Жигулевск.</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Место поставки: РФ, 445351, Самарская область, г. Жигулевск, территория Жигулевская ГЭС (далее – «Место поставки»).</w:t>
      </w:r>
    </w:p>
    <w:p>
      <w:pPr>
        <w:pStyle w:val="ListParagraph"/>
        <w:numPr>
          <w:ilvl w:val="1"/>
          <w:numId w:val="6"/>
        </w:numPr>
        <w:shd w:val="clear" w:color="auto" w:fill="FFFFFF"/>
        <w:tabs>
          <w:tab w:val="clear" w:pos="720"/>
          <w:tab w:val="left" w:pos="540" w:leader="none"/>
          <w:tab w:val="left" w:pos="1134" w:leader="none"/>
        </w:tabs>
        <w:spacing w:before="0" w:after="120"/>
        <w:ind w:firstLine="567" w:left="0"/>
        <w:contextualSpacing w:val="false"/>
        <w:jc w:val="both"/>
        <w:rPr>
          <w:highlight w:val="none"/>
          <w:shd w:fill="auto" w:val="clear"/>
        </w:rPr>
      </w:pPr>
      <w:r>
        <w:rPr>
          <w:sz w:val="24"/>
          <w:szCs w:val="24"/>
          <w:shd w:fill="auto" w:val="clear"/>
        </w:rPr>
        <w:t xml:space="preserve">Срок поставки Продукции по Договору: В течение 10 (десяти) календарных дней </w:t>
      </w:r>
      <w:r>
        <w:rPr>
          <w:sz w:val="24"/>
          <w:szCs w:val="24"/>
          <w:shd w:fill="auto" w:val="clear"/>
        </w:rPr>
        <w:t>с даты подписания договора</w:t>
      </w:r>
      <w:r>
        <w:rPr>
          <w:sz w:val="24"/>
          <w:szCs w:val="24"/>
          <w:shd w:fill="auto" w:val="clear"/>
        </w:rPr>
        <w:t>.</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b w:val="false"/>
          <w:bCs w:val="false"/>
        </w:rPr>
      </w:pPr>
      <w:r>
        <w:rPr>
          <w:b w:val="false"/>
          <w:bCs w:val="false"/>
          <w:sz w:val="24"/>
          <w:szCs w:val="24"/>
        </w:rPr>
        <w:t>Предельная стоимость Продукции (далее – «Цена Договора») по Договору составляет _____________ (_________________) рубля __ копеек без учёта НДС, в том числе НДС (22 %) в размере ___________ (_______________) рублей __ копеек.</w:t>
      </w:r>
      <w:r>
        <w:rPr>
          <w:b w:val="false"/>
          <w:bCs w:val="false"/>
          <w:szCs w:val="28"/>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u w:val="single"/>
        </w:rPr>
      </w:pPr>
      <w:r>
        <w:rPr>
          <w:sz w:val="24"/>
          <w:szCs w:val="24"/>
          <w:u w:val="single"/>
        </w:rPr>
        <w:t xml:space="preserve">Оплата в соответствии с Договором осуществляется следующим образом: </w:t>
      </w:r>
    </w:p>
    <w:p>
      <w:pPr>
        <w:pStyle w:val="ListParagraph"/>
        <w:numPr>
          <w:ilvl w:val="2"/>
          <w:numId w:val="6"/>
        </w:numPr>
        <w:shd w:val="clear" w:color="auto" w:fill="FFFFFF"/>
        <w:tabs>
          <w:tab w:val="clear" w:pos="720"/>
          <w:tab w:val="left" w:pos="567" w:leader="none"/>
        </w:tabs>
        <w:spacing w:before="0" w:after="120"/>
        <w:ind w:firstLine="567" w:left="0"/>
        <w:contextualSpacing/>
        <w:jc w:val="both"/>
        <w:rPr>
          <w:sz w:val="24"/>
          <w:szCs w:val="24"/>
        </w:rPr>
      </w:pPr>
      <w:r>
        <w:rPr>
          <w:sz w:val="24"/>
          <w:szCs w:val="24"/>
        </w:rPr>
        <w:t xml:space="preserve">Платеж в размере 100% (Сто процентов) </w:t>
      </w:r>
      <w:r>
        <w:rPr>
          <w:bCs/>
          <w:sz w:val="24"/>
          <w:szCs w:val="24"/>
        </w:rPr>
        <w:t>от стоимости Продукции выплачивается</w:t>
      </w:r>
      <w:r>
        <w:rPr>
          <w:sz w:val="24"/>
          <w:szCs w:val="24"/>
        </w:rPr>
        <w:t xml:space="preserve"> в течение 7 (семи) рабочих дней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lang w:eastAsia="x-none"/>
        </w:rPr>
        <w:t>сертификат</w:t>
      </w:r>
      <w:r>
        <w:rPr>
          <w:sz w:val="24"/>
          <w:szCs w:val="24"/>
          <w:lang w:val="en-US" w:eastAsia="x-none"/>
        </w:rPr>
        <w:t>ы</w:t>
      </w:r>
      <w:r>
        <w:rPr>
          <w:sz w:val="24"/>
          <w:szCs w:val="24"/>
          <w:lang w:eastAsia="x-none"/>
        </w:rPr>
        <w:t xml:space="preserve"> качества</w:t>
      </w:r>
      <w:r>
        <w:rPr>
          <w:sz w:val="24"/>
          <w:szCs w:val="24"/>
        </w:rPr>
        <w:t>;</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bookmarkStart w:id="0" w:name="_Hlk206074549"/>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bookmarkEnd w:id="0"/>
      <w:r>
        <w:rPr>
          <w:sz w:val="24"/>
          <w:szCs w:val="24"/>
        </w:rPr>
        <w:t>;</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w:t>
      </w:r>
      <w:bookmarkStart w:id="1" w:name="_Hlk206074307"/>
      <w:r>
        <w:rPr>
          <w:sz w:val="24"/>
          <w:szCs w:val="24"/>
        </w:rPr>
        <w:t>в. Постановлением Правительства РФ от 21.12.2020 № 2200</w:t>
      </w:r>
      <w:bookmarkEnd w:id="1"/>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bookmarkStart w:id="2" w:name="_Hlk206074326"/>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Pr>
          <w:sz w:val="24"/>
          <w:szCs w:val="24"/>
        </w:rPr>
        <w:t xml:space="preserve">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w:t>
      </w:r>
      <w:r>
        <w:rPr>
          <w:color w:val="000000"/>
          <w:sz w:val="24"/>
          <w:szCs w:val="24"/>
        </w:rPr>
        <w:t>.</w:t>
      </w:r>
      <w:bookmarkEnd w:id="2"/>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Железнодорожной накладной (форма № ГУ-27) в 1 экз.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 В случае отсутствия замечаний Покупатель подписывает </w:t>
      </w:r>
      <w:r>
        <w:rPr>
          <w:color w:val="000000"/>
          <w:sz w:val="24"/>
          <w:szCs w:val="24"/>
        </w:rPr>
        <w:t>товарную накладную унифицированной формы ТОРГ-12 или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На Продукцию устанавливается гарантийный срок: </w:t>
      </w:r>
      <w:r>
        <w:rPr>
          <w:rFonts w:eastAsia="Times New Roman"/>
          <w:color w:val="000000"/>
          <w:sz w:val="24"/>
          <w:szCs w:val="24"/>
        </w:rPr>
        <w:t>Не менее 12 месяцев с даты подписания сторонами ТОРГ-12 (УПД), но не менее гарантийных обязательств завода-изготовителя.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3" w:name="OLE_LINK6"/>
      <w:bookmarkStart w:id="4" w:name="OLE_LINK5"/>
      <w:r>
        <w:rPr>
          <w:sz w:val="24"/>
          <w:szCs w:val="24"/>
        </w:rPr>
        <w:t>Покупателем в соответствии с п. 3.14. Договора</w:t>
      </w:r>
      <w:bookmarkEnd w:id="3"/>
      <w:bookmarkEnd w:id="4"/>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8"/>
          <w:szCs w:val="28"/>
        </w:rPr>
        <w:t xml:space="preserve"> </w:t>
      </w:r>
      <w:r>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bookmarkStart w:id="5" w:name="_Hlk130023773"/>
      <w:r>
        <w:rPr>
          <w:sz w:val="24"/>
          <w:szCs w:val="24"/>
        </w:rPr>
        <w:t xml:space="preserve">В случае </w:t>
      </w:r>
      <w:bookmarkStart w:id="6" w:name="_Hlk130023740"/>
      <w:r>
        <w:rPr>
          <w:sz w:val="24"/>
          <w:szCs w:val="24"/>
        </w:rPr>
        <w:t xml:space="preserve">нарушения </w:t>
      </w:r>
      <w:bookmarkEnd w:id="6"/>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5"/>
      <w:r>
        <w:rPr>
          <w:sz w:val="24"/>
          <w:szCs w:val="24"/>
        </w:rPr>
        <w:t xml:space="preserve">. </w:t>
      </w:r>
    </w:p>
    <w:p>
      <w:pPr>
        <w:pStyle w:val="Normal"/>
        <w:tabs>
          <w:tab w:val="clear" w:pos="720"/>
          <w:tab w:val="left" w:pos="1701" w:leader="none"/>
        </w:tabs>
        <w:jc w:val="both"/>
        <w:rPr>
          <w:sz w:val="24"/>
          <w:szCs w:val="24"/>
        </w:rPr>
      </w:pPr>
      <w:r>
        <w:rPr>
          <w:sz w:val="24"/>
          <w:szCs w:val="24"/>
        </w:rPr>
        <w:tab/>
      </w:r>
      <w:bookmarkStart w:id="7"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7"/>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firstLine="567"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firstLine="567" w:left="0"/>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firstLine="567" w:left="0"/>
        <w:jc w:val="both"/>
        <w:outlineLvl w:val="0"/>
        <w:rPr>
          <w:sz w:val="24"/>
          <w:szCs w:val="24"/>
        </w:rPr>
      </w:pPr>
      <w:r>
        <w:rPr>
          <w:sz w:val="24"/>
          <w:szCs w:val="24"/>
        </w:rPr>
        <w:t>6.13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продукцию.</w:t>
      </w:r>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8" w:name="Par2"/>
      <w:bookmarkEnd w:id="8"/>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overflowPunct w:val="true"/>
        <w:spacing w:before="0" w:after="120"/>
        <w:ind w:hanging="0" w:left="567"/>
        <w:jc w:val="both"/>
        <w:textAlignment w:val="baseline"/>
        <w:rPr>
          <w:b w:val="false"/>
          <w:sz w:val="24"/>
          <w:szCs w:val="24"/>
        </w:rPr>
      </w:pPr>
      <w:r>
        <w:rPr>
          <w:b w:val="false"/>
          <w:sz w:val="24"/>
          <w:szCs w:val="24"/>
        </w:rPr>
        <w:t>- Приложение № 1 – Спецификация;</w:t>
      </w:r>
    </w:p>
    <w:p>
      <w:pPr>
        <w:pStyle w:val="Heading3"/>
        <w:keepNext w:val="false"/>
        <w:tabs>
          <w:tab w:val="clear" w:pos="0"/>
        </w:tabs>
        <w:overflowPunct w:val="true"/>
        <w:spacing w:before="0" w:after="120"/>
        <w:ind w:hanging="0" w:left="567"/>
        <w:jc w:val="both"/>
        <w:textAlignment w:val="baseline"/>
        <w:rPr>
          <w:b w:val="false"/>
          <w:sz w:val="24"/>
          <w:szCs w:val="24"/>
        </w:rPr>
      </w:pPr>
      <w:bookmarkStart w:id="9" w:name="sub_1"/>
      <w:r>
        <w:rPr>
          <w:b w:val="false"/>
          <w:sz w:val="24"/>
          <w:szCs w:val="24"/>
        </w:rPr>
        <w:t>- Приложение № 2 – Технические требования.</w:t>
      </w:r>
      <w:bookmarkEnd w:id="9"/>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b/>
                <w:sz w:val="24"/>
                <w:szCs w:val="24"/>
              </w:rPr>
              <w:t>Акционерное общество</w:t>
            </w:r>
          </w:p>
          <w:p>
            <w:pPr>
              <w:pStyle w:val="Normal"/>
              <w:widowControl w:val="false"/>
              <w:rPr>
                <w:b/>
                <w:sz w:val="24"/>
                <w:szCs w:val="24"/>
              </w:rPr>
            </w:pPr>
            <w:r>
              <w:rPr>
                <w:b/>
                <w:sz w:val="24"/>
                <w:szCs w:val="24"/>
              </w:rPr>
              <w:t>«Гидроремонт-ВКК» (АО «Гидроремонт-ВКК»)</w:t>
            </w:r>
          </w:p>
          <w:p>
            <w:pPr>
              <w:pStyle w:val="Normal"/>
              <w:widowControl w:val="false"/>
              <w:rPr>
                <w:sz w:val="24"/>
                <w:szCs w:val="24"/>
                <w:lang w:val="x-none"/>
              </w:rPr>
            </w:pPr>
            <w:r>
              <w:rPr>
                <w:sz w:val="24"/>
                <w:szCs w:val="24"/>
                <w:lang w:val="x-none"/>
              </w:rPr>
              <w:t>Юридический адрес: 603140,Нижегородская обл., г.о. город Нижний Новгород, пер. Мотальный, д.8 помещ. ВП31,офис С1А</w:t>
            </w:r>
          </w:p>
          <w:p>
            <w:pPr>
              <w:pStyle w:val="Normal"/>
              <w:widowControl w:val="false"/>
              <w:rPr>
                <w:sz w:val="24"/>
                <w:szCs w:val="24"/>
                <w:lang w:val="x-none"/>
              </w:rPr>
            </w:pPr>
            <w:r>
              <w:rPr>
                <w:sz w:val="24"/>
                <w:szCs w:val="24"/>
                <w:lang w:val="x-none"/>
              </w:rPr>
              <w:t>Почтовый адрес: 445350, РФ, Самарская область, г. Жигулевск, а/я 44.</w:t>
            </w:r>
          </w:p>
          <w:p>
            <w:pPr>
              <w:pStyle w:val="Normal"/>
              <w:widowControl w:val="false"/>
              <w:rPr>
                <w:sz w:val="24"/>
                <w:szCs w:val="24"/>
                <w:lang w:val="x-none"/>
              </w:rPr>
            </w:pPr>
            <w:r>
              <w:rPr>
                <w:sz w:val="24"/>
                <w:szCs w:val="24"/>
                <w:lang w:val="x-none"/>
              </w:rPr>
              <w:t xml:space="preserve">Грузополучатель: Жигулевский филиал АО «Гидроремонт-ВКК» в г. Жигулевск, 445351, РФ, Самарская область, г. Жигулевск, Жигулевская ГЭС </w:t>
            </w:r>
          </w:p>
          <w:p>
            <w:pPr>
              <w:pStyle w:val="Normal"/>
              <w:widowControl w:val="false"/>
              <w:rPr>
                <w:sz w:val="24"/>
                <w:szCs w:val="24"/>
                <w:lang w:val="x-none"/>
              </w:rPr>
            </w:pPr>
            <w:r>
              <w:rPr>
                <w:sz w:val="24"/>
                <w:szCs w:val="24"/>
                <w:lang w:val="x-none"/>
              </w:rPr>
              <w:t>ОГРН 1036301733005</w:t>
            </w:r>
          </w:p>
          <w:p>
            <w:pPr>
              <w:pStyle w:val="Normal"/>
              <w:widowControl w:val="false"/>
              <w:rPr>
                <w:sz w:val="24"/>
                <w:szCs w:val="24"/>
                <w:lang w:val="x-none"/>
              </w:rPr>
            </w:pPr>
            <w:r>
              <w:rPr>
                <w:sz w:val="24"/>
                <w:szCs w:val="24"/>
                <w:lang w:val="x-none"/>
              </w:rPr>
              <w:t>ИНН/КПП 6345012488/634543001</w:t>
            </w:r>
          </w:p>
          <w:p>
            <w:pPr>
              <w:pStyle w:val="Normal"/>
              <w:widowControl w:val="false"/>
              <w:rPr>
                <w:sz w:val="24"/>
                <w:szCs w:val="24"/>
                <w:lang w:val="x-none"/>
              </w:rPr>
            </w:pPr>
            <w:r>
              <w:rPr>
                <w:sz w:val="24"/>
                <w:szCs w:val="24"/>
                <w:lang w:val="x-none"/>
              </w:rPr>
              <w:t>Наименование банка: Банк ГПБ (АО) г Москва</w:t>
            </w:r>
          </w:p>
          <w:p>
            <w:pPr>
              <w:pStyle w:val="Normal"/>
              <w:widowControl w:val="false"/>
              <w:rPr>
                <w:sz w:val="24"/>
                <w:szCs w:val="24"/>
                <w:lang w:val="x-none"/>
              </w:rPr>
            </w:pPr>
            <w:r>
              <w:rPr>
                <w:sz w:val="24"/>
                <w:szCs w:val="24"/>
                <w:lang w:val="x-none"/>
              </w:rPr>
              <w:t>БИК 044525823</w:t>
            </w:r>
          </w:p>
          <w:p>
            <w:pPr>
              <w:pStyle w:val="Normal"/>
              <w:widowControl w:val="false"/>
              <w:rPr>
                <w:sz w:val="24"/>
                <w:szCs w:val="24"/>
                <w:lang w:val="x-none"/>
              </w:rPr>
            </w:pPr>
            <w:r>
              <w:rPr>
                <w:sz w:val="24"/>
                <w:szCs w:val="24"/>
                <w:lang w:val="x-none"/>
              </w:rPr>
              <w:t xml:space="preserve">К/с № 30101810200000000823 </w:t>
            </w:r>
          </w:p>
          <w:p>
            <w:pPr>
              <w:pStyle w:val="Normal"/>
              <w:widowControl w:val="false"/>
              <w:rPr>
                <w:sz w:val="24"/>
                <w:szCs w:val="24"/>
                <w:lang w:val="x-none"/>
              </w:rPr>
            </w:pPr>
            <w:r>
              <w:rPr>
                <w:sz w:val="24"/>
                <w:szCs w:val="24"/>
                <w:lang w:val="x-none"/>
              </w:rPr>
              <w:t>Расчетный счет № 40702810200000046755</w:t>
            </w:r>
          </w:p>
          <w:p>
            <w:pPr>
              <w:pStyle w:val="Normal"/>
              <w:widowControl w:val="false"/>
              <w:rPr>
                <w:sz w:val="24"/>
                <w:szCs w:val="24"/>
                <w:lang w:val="x-none"/>
              </w:rPr>
            </w:pPr>
            <w:r>
              <w:rPr>
                <w:sz w:val="24"/>
                <w:szCs w:val="24"/>
                <w:lang w:val="x-none"/>
              </w:rPr>
              <w:t>E-mail: zhigulevsk@rushydro.ru</w:t>
            </w:r>
          </w:p>
          <w:p>
            <w:pPr>
              <w:pStyle w:val="Normal"/>
              <w:widowControl w:val="false"/>
              <w:rPr>
                <w:sz w:val="22"/>
                <w:szCs w:val="22"/>
                <w:lang w:val="en-US"/>
              </w:rPr>
            </w:pPr>
            <w:r>
              <w:rPr>
                <w:sz w:val="24"/>
                <w:szCs w:val="24"/>
                <w:lang w:val="x-none"/>
              </w:rPr>
              <w:t>Тел.: (84862) 71-6-91</w:t>
            </w:r>
          </w:p>
          <w:p>
            <w:pPr>
              <w:pStyle w:val="Normal"/>
              <w:widowControl w:val="false"/>
              <w:rPr>
                <w:sz w:val="22"/>
                <w:szCs w:val="22"/>
                <w:lang w:val="en-US"/>
              </w:rPr>
            </w:pPr>
            <w:r>
              <w:rPr>
                <w:sz w:val="22"/>
                <w:szCs w:val="22"/>
                <w:lang w:val="en-US"/>
              </w:rPr>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pPr>
            <w:r>
              <w:rPr>
                <w:sz w:val="22"/>
                <w:szCs w:val="22"/>
              </w:rPr>
              <w:t>(</w:t>
            </w:r>
            <w:r>
              <w:rPr>
                <w:sz w:val="22"/>
                <w:szCs w:val="22"/>
                <w:lang w:val="en-US"/>
              </w:rPr>
              <w:t>email</w:t>
            </w:r>
            <w:r>
              <w:rPr>
                <w:sz w:val="22"/>
                <w:szCs w:val="22"/>
              </w:rPr>
              <w:t>)</w:t>
            </w:r>
          </w:p>
          <w:p>
            <w:pPr>
              <w:pStyle w:val="Normal"/>
              <w:widowControl w:val="false"/>
              <w:rPr>
                <w:b/>
                <w:sz w:val="24"/>
                <w:szCs w:val="24"/>
              </w:rPr>
            </w:pPr>
            <w:r>
              <w:rPr>
                <w:b/>
                <w:sz w:val="24"/>
                <w:szCs w:val="24"/>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/Голубцов И.А.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br/>
            </w:r>
          </w:p>
          <w:p>
            <w:pPr>
              <w:pStyle w:val="Normal"/>
              <w:widowControl w:val="false"/>
              <w:rPr>
                <w:sz w:val="22"/>
                <w:szCs w:val="22"/>
              </w:rPr>
            </w:pPr>
            <w:r>
              <w:rPr>
                <w:sz w:val="22"/>
                <w:szCs w:val="22"/>
              </w:rPr>
              <w:t>_______________ /_______________/</w:t>
            </w:r>
          </w:p>
          <w:p>
            <w:pPr>
              <w:pStyle w:val="Normal"/>
              <w:widowControl w:val="false"/>
              <w:rPr>
                <w:sz w:val="22"/>
                <w:szCs w:val="22"/>
              </w:rPr>
            </w:pPr>
            <w:r>
              <w:rPr>
                <w:sz w:val="22"/>
                <w:szCs w:val="22"/>
              </w:rPr>
              <w:t>м.п.</w:t>
            </w:r>
          </w:p>
        </w:tc>
      </w:tr>
    </w:tbl>
    <w:p>
      <w:pPr>
        <w:sectPr>
          <w:headerReference w:type="default" r:id="rId5"/>
          <w:footerReference w:type="even" r:id="rId6"/>
          <w:footerReference w:type="default" r:id="rId7"/>
          <w:footerReference w:type="first" r:id="rId8"/>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hanging="0" w:left="0"/>
        <w:outlineLvl w:val="0"/>
        <w:rPr>
          <w:b/>
          <w:bCs/>
          <w:sz w:val="24"/>
          <w:szCs w:val="24"/>
        </w:rPr>
      </w:pPr>
      <w:r>
        <w:rPr>
          <w:b/>
          <w:bCs/>
          <w:sz w:val="24"/>
          <w:szCs w:val="24"/>
        </w:rPr>
        <w:t xml:space="preserve">                                                                                                                            </w:t>
      </w: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Normal"/>
        <w:numPr>
          <w:ilvl w:val="0"/>
          <w:numId w:val="0"/>
        </w:numPr>
        <w:spacing w:before="0" w:after="120"/>
        <w:ind w:firstLine="567" w:left="0" w:right="0"/>
        <w:jc w:val="center"/>
        <w:outlineLvl w:val="0"/>
        <w:rPr>
          <w:b/>
          <w:sz w:val="24"/>
          <w:szCs w:val="24"/>
          <w:u w:val="single"/>
        </w:rPr>
      </w:pPr>
      <w:r>
        <w:rPr>
          <w:b/>
          <w:sz w:val="24"/>
          <w:szCs w:val="24"/>
        </w:rPr>
        <w:t>Спецификация №__</w:t>
      </w:r>
    </w:p>
    <w:p>
      <w:pPr>
        <w:pStyle w:val="Normal"/>
        <w:numPr>
          <w:ilvl w:val="0"/>
          <w:numId w:val="0"/>
        </w:numPr>
        <w:spacing w:before="0" w:after="120"/>
        <w:ind w:firstLine="567" w:left="0" w:right="0"/>
        <w:jc w:val="center"/>
        <w:outlineLvl w:val="0"/>
        <w:rPr>
          <w:b/>
          <w:sz w:val="24"/>
          <w:szCs w:val="24"/>
          <w:u w:val="single"/>
        </w:rPr>
      </w:pPr>
      <w:r>
        <w:rPr/>
        <w:t>(заполняется на основании предложения, указанного в заявке участника закупки и технических требований)</w:t>
      </w:r>
    </w:p>
    <w:tbl>
      <w:tblPr>
        <w:tblW w:w="10632" w:type="dxa"/>
        <w:jc w:val="left"/>
        <w:tblInd w:w="-289" w:type="dxa"/>
        <w:tblLayout w:type="fixed"/>
        <w:tblCellMar>
          <w:top w:w="0" w:type="dxa"/>
          <w:left w:w="108" w:type="dxa"/>
          <w:bottom w:w="0" w:type="dxa"/>
          <w:right w:w="108" w:type="dxa"/>
        </w:tblCellMar>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sz w:val="24"/>
                <w:szCs w:val="24"/>
              </w:rPr>
            </w:pPr>
            <w:r>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b/>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bl>
    <w:p>
      <w:pPr>
        <w:pStyle w:val="Normal"/>
        <w:spacing w:before="0" w:after="120"/>
        <w:ind w:firstLine="567" w:left="0" w:right="0"/>
        <w:jc w:val="both"/>
        <w:rPr>
          <w:b/>
          <w:sz w:val="24"/>
          <w:szCs w:val="24"/>
          <w:u w:val="single"/>
        </w:rPr>
      </w:pPr>
      <w:r>
        <w:rPr>
          <w:b/>
          <w:sz w:val="24"/>
          <w:szCs w:val="24"/>
          <w:u w:val="single"/>
        </w:rPr>
      </w:r>
    </w:p>
    <w:p>
      <w:pPr>
        <w:pStyle w:val="Normal"/>
        <w:spacing w:before="0" w:after="120"/>
        <w:ind w:firstLine="567" w:left="0" w:right="0"/>
        <w:jc w:val="both"/>
        <w:rPr>
          <w:b/>
          <w:sz w:val="24"/>
          <w:szCs w:val="24"/>
          <w:u w:val="single"/>
        </w:rPr>
      </w:pPr>
      <w:r>
        <w:rPr>
          <w:b/>
          <w:bCs/>
          <w:i/>
          <w:sz w:val="24"/>
          <w:szCs w:val="24"/>
        </w:rPr>
        <w:t>Условия поставки:</w:t>
      </w:r>
    </w:p>
    <w:p>
      <w:pPr>
        <w:pStyle w:val="Normal"/>
        <w:widowControl w:val="false"/>
        <w:numPr>
          <w:ilvl w:val="0"/>
          <w:numId w:val="15"/>
        </w:numPr>
        <w:tabs>
          <w:tab w:val="left" w:pos="720" w:leader="none"/>
        </w:tabs>
        <w:spacing w:before="0" w:after="120"/>
        <w:ind w:firstLine="284" w:left="0" w:righ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Наименование производителя: ______________________;</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Срок поставки Продукции: В течение 1</w:t>
      </w:r>
      <w:r>
        <w:rPr>
          <w:sz w:val="24"/>
          <w:szCs w:val="24"/>
        </w:rPr>
        <w:t>0</w:t>
      </w:r>
      <w:r>
        <w:rPr>
          <w:sz w:val="24"/>
          <w:szCs w:val="24"/>
        </w:rPr>
        <w:t xml:space="preserve"> (</w:t>
      </w:r>
      <w:r>
        <w:rPr>
          <w:sz w:val="24"/>
          <w:szCs w:val="24"/>
        </w:rPr>
        <w:t>десят</w:t>
      </w:r>
      <w:r>
        <w:rPr>
          <w:sz w:val="24"/>
          <w:szCs w:val="24"/>
        </w:rPr>
        <w:t>ь) календарных дней с даты подписания договора.</w:t>
      </w:r>
    </w:p>
    <w:p>
      <w:pPr>
        <w:pStyle w:val="Normal"/>
        <w:widowControl w:val="false"/>
        <w:numPr>
          <w:ilvl w:val="0"/>
          <w:numId w:val="16"/>
        </w:numPr>
        <w:tabs>
          <w:tab w:val="left" w:pos="720" w:leader="none"/>
        </w:tabs>
        <w:spacing w:before="0" w:after="120"/>
        <w:ind w:firstLine="284" w:left="0" w:right="0"/>
        <w:jc w:val="both"/>
        <w:rPr>
          <w:b/>
          <w:sz w:val="24"/>
          <w:szCs w:val="24"/>
        </w:rPr>
      </w:pPr>
      <w:r>
        <w:rPr>
          <w:sz w:val="24"/>
          <w:szCs w:val="24"/>
        </w:rPr>
        <w:t>Иные условия, предусмотренные техническими требованиями:_________________.</w:t>
      </w:r>
    </w:p>
    <w:p>
      <w:pPr>
        <w:pStyle w:val="Normal"/>
        <w:numPr>
          <w:ilvl w:val="0"/>
        </w:numPr>
        <w:spacing w:before="0" w:after="120"/>
        <w:ind w:firstLine="567" w:left="0" w:right="0"/>
        <w:jc w:val="both"/>
        <w:rPr>
          <w:b/>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b/>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b w:val="false"/>
          <w:bCs w:val="false"/>
          <w:i/>
          <w:i/>
          <w:iCs/>
          <w:sz w:val="24"/>
          <w:szCs w:val="24"/>
        </w:rPr>
      </w:pPr>
      <w:r>
        <w:rPr>
          <w:b w:val="false"/>
          <w:bCs w:val="false"/>
          <w:i/>
          <w:iCs/>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p>
      <w:pPr>
        <w:pStyle w:val="Normal"/>
        <w:spacing w:before="0" w:after="120"/>
        <w:jc w:val="both"/>
        <w:rPr>
          <w:sz w:val="24"/>
          <w:szCs w:val="24"/>
        </w:rPr>
      </w:pPr>
      <w:r>
        <w:rPr>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Style18"/>
              <w:widowControl w:val="false"/>
              <w:spacing w:before="0" w:after="120"/>
              <w:ind w:hanging="0" w:left="567"/>
              <w:rPr>
                <w:rFonts w:ascii="Times New Roman" w:hAnsi="Times New Roman"/>
                <w:sz w:val="24"/>
                <w:szCs w:val="24"/>
                <w:lang w:val="ru-RU"/>
              </w:rPr>
            </w:pPr>
            <w:r>
              <w:rPr>
                <w:rFonts w:ascii="Times New Roman" w:hAnsi="Times New Roman"/>
                <w:sz w:val="24"/>
                <w:szCs w:val="24"/>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p>
          <w:p>
            <w:pPr>
              <w:pStyle w:val="Normal"/>
              <w:widowControl w:val="false"/>
              <w:rPr>
                <w:sz w:val="24"/>
                <w:szCs w:val="24"/>
              </w:rPr>
            </w:pPr>
            <w:r>
              <w:rPr>
                <w:sz w:val="24"/>
                <w:szCs w:val="24"/>
              </w:rPr>
              <w:t xml:space="preserve">      </w:t>
            </w:r>
          </w:p>
        </w:tc>
      </w:tr>
      <w:tr>
        <w:trPr/>
        <w:tc>
          <w:tcPr>
            <w:tcW w:w="4785" w:type="dxa"/>
            <w:tcBorders/>
            <w:shd w:color="auto" w:fill="FFFFFF" w:themeFill="background1" w:val="clear"/>
          </w:tcPr>
          <w:p>
            <w:pPr>
              <w:pStyle w:val="Style18"/>
              <w:widowControl w:val="false"/>
              <w:spacing w:lineRule="auto" w:line="240" w:before="0" w:after="120"/>
              <w:jc w:val="left"/>
              <w:rPr>
                <w:rFonts w:ascii="Times New Roman" w:hAnsi="Times New Roman"/>
                <w:sz w:val="24"/>
                <w:szCs w:val="24"/>
                <w:lang w:val="ru-RU"/>
              </w:rPr>
            </w:pPr>
            <w:r>
              <w:rPr>
                <w:rFonts w:ascii="Times New Roman" w:hAnsi="Times New Roman"/>
                <w:sz w:val="24"/>
                <w:szCs w:val="24"/>
                <w:lang w:val="ru-RU"/>
              </w:rPr>
              <w:t>_______________ /Голубцов И.А./</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___________________/_______________/</w:t>
            </w:r>
          </w:p>
          <w:p>
            <w:pPr>
              <w:pStyle w:val="Normal"/>
              <w:widowControl w:val="false"/>
              <w:rPr>
                <w:sz w:val="22"/>
                <w:szCs w:val="22"/>
              </w:rPr>
            </w:pPr>
            <w:r>
              <w:rPr>
                <w:sz w:val="22"/>
                <w:szCs w:val="22"/>
              </w:rPr>
              <w:t>м.п.</w:t>
            </w:r>
          </w:p>
        </w:tc>
      </w:tr>
    </w:tbl>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BodyText"/>
        <w:numPr>
          <w:ilvl w:val="0"/>
          <w:numId w:val="0"/>
        </w:numPr>
        <w:spacing w:before="0" w:after="120"/>
        <w:ind w:hanging="0" w:left="0"/>
        <w:outlineLvl w:val="0"/>
        <w:rPr>
          <w:b/>
          <w:bCs/>
          <w:sz w:val="24"/>
          <w:szCs w:val="24"/>
        </w:rPr>
      </w:pPr>
      <w:r>
        <w:rPr>
          <w:b/>
          <w:bCs/>
          <w:sz w:val="24"/>
          <w:szCs w:val="24"/>
        </w:rPr>
      </w:r>
    </w:p>
    <w:p>
      <w:pPr>
        <w:pStyle w:val="Normal"/>
        <w:numPr>
          <w:ilvl w:val="0"/>
          <w:numId w:val="0"/>
        </w:numPr>
        <w:spacing w:before="0" w:after="120"/>
        <w:ind w:hanging="0" w:left="0"/>
        <w:jc w:val="center"/>
        <w:outlineLvl w:val="0"/>
        <w:rPr/>
      </w:pPr>
      <w:r>
        <w:rPr>
          <w:b/>
          <w:bCs/>
          <w:sz w:val="24"/>
          <w:szCs w:val="24"/>
        </w:rPr>
        <w:t>ТЕХНИЧЕСКИЕ ТРЕБОВАНИЯ</w:t>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BodyText"/>
        <w:numPr>
          <w:ilvl w:val="0"/>
          <w:numId w:val="0"/>
        </w:numPr>
        <w:spacing w:before="0" w:after="120"/>
        <w:ind w:firstLine="567" w:left="0" w:right="0"/>
        <w:jc w:val="right"/>
        <w:outlineLvl w:val="0"/>
        <w:rPr/>
      </w:pPr>
      <w:r>
        <w:rPr/>
        <mc:AlternateContent>
          <mc:Choice Requires="wps">
            <w:drawing>
              <wp:anchor behindDoc="0" distT="0" distB="0" distL="0" distR="108585" simplePos="0" locked="0" layoutInCell="0" allowOverlap="1" relativeHeight="38">
                <wp:simplePos x="0" y="0"/>
                <wp:positionH relativeFrom="margin">
                  <wp:posOffset>-68580</wp:posOffset>
                </wp:positionH>
                <wp:positionV relativeFrom="paragraph">
                  <wp:posOffset>142875</wp:posOffset>
                </wp:positionV>
                <wp:extent cx="6076315" cy="1179830"/>
                <wp:effectExtent l="0" t="0" r="0" b="0"/>
                <wp:wrapSquare wrapText="bothSides"/>
                <wp:docPr id="7" name="Врезка6"/>
                <a:graphic xmlns:a="http://schemas.openxmlformats.org/drawingml/2006/main">
                  <a:graphicData uri="http://schemas.microsoft.com/office/word/2010/wordprocessingShape">
                    <wps:wsp>
                      <wps:cNvSpPr/>
                      <wps:spPr>
                        <a:xfrm>
                          <a:off x="0" y="0"/>
                          <a:ext cx="6076440" cy="1179720"/>
                        </a:xfrm>
                        <a:prstGeom prst="rect">
                          <a:avLst/>
                        </a:prstGeom>
                        <a:noFill/>
                        <a:ln w="0">
                          <a:noFill/>
                        </a:ln>
                      </wps:spPr>
                      <wps:style>
                        <a:lnRef idx="0"/>
                        <a:fillRef idx="0"/>
                        <a:effectRef idx="0"/>
                        <a:fontRef idx="minor"/>
                      </wps:style>
                      <wps:txb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wps:txbx>
                      <wps:bodyPr lIns="1440" rIns="1440" tIns="1440" bIns="1440" anchor="t">
                        <a:noAutofit/>
                      </wps:bodyPr>
                    </wps:wsp>
                  </a:graphicData>
                </a:graphic>
              </wp:anchor>
            </w:drawing>
          </mc:Choice>
          <mc:Fallback>
            <w:pict>
              <v:rect id="shape_0" ID="Врезка6" path="m0,0l-2147483645,0l-2147483645,-2147483646l0,-2147483646xe" stroked="f" o:allowincell="f" style="position:absolute;margin-left:-5.4pt;margin-top:11.25pt;width:478.4pt;height:92.85pt;mso-wrap-style:square;v-text-anchor:top;mso-position-horizontal-relative:margin">
                <v:fill o:detectmouseclick="t" on="false"/>
                <v:stroke color="#3465a4" joinstyle="round" endcap="flat"/>
                <v:textbo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v:textbox>
                <w10:wrap type="square"/>
              </v:rect>
            </w:pict>
          </mc:Fallback>
        </mc:AlternateContent>
      </w:r>
    </w:p>
    <w:sectPr>
      <w:headerReference w:type="default" r:id="rId9"/>
      <w:headerReference w:type="first" r:id="rId10"/>
      <w:footerReference w:type="default" r:id="rId11"/>
      <w:footerReference w:type="first" r:id="rId12"/>
      <w:type w:val="nextPage"/>
      <w:pgSz w:w="11906" w:h="16838"/>
      <w:pgMar w:left="851" w:right="425" w:gutter="0" w:header="709" w:top="1134" w:footer="709" w:bottom="1134"/>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59683050"/>
    </w:sdtPr>
    <w:sdtContent>
      <w:p>
        <w:pPr>
          <w:pStyle w:val="Footer"/>
          <w:jc w:val="right"/>
          <w:rPr/>
        </w:pPr>
        <w:r>
          <w:rPr/>
          <w:fldChar w:fldCharType="begin"/>
        </w:r>
        <w:r>
          <w:rPr/>
          <w:instrText xml:space="preserve"> PAGE </w:instrText>
        </w:r>
        <w:r>
          <w:rPr/>
          <w:fldChar w:fldCharType="separate"/>
        </w:r>
        <w:r>
          <w:rPr/>
          <w:t>19</w:t>
        </w:r>
        <w:r>
          <w:rPr/>
          <w:fldChar w:fldCharType="end"/>
        </w:r>
      </w:p>
      <w:p>
        <w:pPr>
          <w:pStyle w:val="Footer"/>
          <w:rPr>
            <w:sz w:val="24"/>
            <w:szCs w:val="24"/>
          </w:rPr>
        </w:pPr>
        <w:r>
          <w:rPr>
            <w:sz w:val="24"/>
            <w:szCs w:val="24"/>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93646677"/>
    </w:sdtPr>
    <w:sdtContent>
      <w:p>
        <w:pPr>
          <w:pStyle w:val="Footer"/>
          <w:jc w:val="right"/>
          <w:rPr/>
        </w:pPr>
        <w:r>
          <w:rPr/>
          <w:fldChar w:fldCharType="begin"/>
        </w:r>
        <w:r>
          <w:rPr/>
          <w:instrText xml:space="preserve"> PAGE </w:instrText>
        </w:r>
        <w:r>
          <w:rPr/>
          <w:fldChar w:fldCharType="separate"/>
        </w:r>
        <w:r>
          <w:rPr/>
          <w:t>18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1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Нижний колонтитул Знак"/>
    <w:basedOn w:val="DefaultParagraphFont"/>
    <w:uiPriority w:val="99"/>
    <w:qFormat/>
    <w:rsid w:val="00f319af"/>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tru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numbering" w:styleId="WW8Num17">
    <w:name w:val="WW8Num17"/>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83E32-FAFC-48FB-A44E-D0C866FE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Application>AlterOffice/2026.2.0.0$Linux_X86_64 LibreOffice_project/bc4ef1adf80b36c7a6365f8ed6cbf29021361edd</Application>
  <AppVersion>15.0000</AppVersion>
  <Pages>19</Pages>
  <Words>6693</Words>
  <Characters>47791</Characters>
  <CharactersWithSpaces>54248</CharactersWithSpaces>
  <Paragraphs>346</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2024-12-10T07:56:00Z</dcterms:created>
  <dc:creator>Света &amp; Алла (Twix)</dc:creator>
  <dc:description/>
  <dc:language>ru-RU</dc:language>
  <cp:lastModifiedBy>tihanovaov@corp.gidroogk.com</cp:lastModifiedBy>
  <cp:lastPrinted>2017-11-07T14:48:00Z</cp:lastPrinted>
  <dcterms:modified xsi:type="dcterms:W3CDTF">2026-09-25T09:08:25Z</dcterms:modified>
  <cp:revision>57</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