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  <w:lang w:val="en-US"/>
        </w:rPr>
      </w:pPr>
      <w:r>
        <w:rPr>
          <w:b/>
          <w:bCs/>
          <w:sz w:val="26"/>
          <w:szCs w:val="26"/>
          <w:lang w:val="en-US"/>
        </w:rPr>
      </w:r>
      <w:bookmarkStart w:id="0" w:name="_Toc75446582"/>
      <w:bookmarkStart w:id="1" w:name="_Toc75446582"/>
      <w:bookmarkEnd w:id="1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szCs w:val="24"/>
        </w:rPr>
      </w:pPr>
      <w:r>
        <w:rPr>
          <w:b/>
          <w:szCs w:val="24"/>
        </w:rPr>
        <w:t>ТЕХНИЧЕСКИЕ ТРЕБОВАНИЯ</w:t>
      </w:r>
    </w:p>
    <w:p>
      <w:pPr>
        <w:pStyle w:val="Normal"/>
        <w:keepNext w:val="true"/>
        <w:numPr>
          <w:ilvl w:val="0"/>
          <w:numId w:val="0"/>
        </w:numPr>
        <w:jc w:val="center"/>
        <w:outlineLvl w:val="0"/>
        <w:rPr>
          <w:b/>
          <w:szCs w:val="24"/>
        </w:rPr>
      </w:pPr>
      <w:r>
        <w:rPr>
          <w:b/>
          <w:szCs w:val="24"/>
        </w:rPr>
      </w:r>
    </w:p>
    <w:p>
      <w:pPr>
        <w:pStyle w:val="Normal"/>
        <w:jc w:val="center"/>
        <w:rPr>
          <w:rFonts w:eastAsia="Times New Roman" w:cs="Times New Roman"/>
          <w:bCs/>
          <w:spacing w:val="-6"/>
          <w:szCs w:val="24"/>
        </w:rPr>
      </w:pPr>
      <w:r>
        <w:rPr>
          <w:rFonts w:eastAsia="Times New Roman" w:cs="Times New Roman"/>
          <w:bCs/>
          <w:spacing w:val="-6"/>
          <w:szCs w:val="24"/>
        </w:rPr>
        <w:t xml:space="preserve">ОКПД2: 26.51.66.124 Поставка </w:t>
      </w:r>
      <w:r>
        <w:rPr>
          <w:rFonts w:eastAsia="Calibri"/>
          <w:lang w:eastAsia="x-none"/>
        </w:rPr>
        <w:t xml:space="preserve">тепловизоров </w:t>
      </w:r>
      <w:r>
        <w:rPr>
          <w:rFonts w:eastAsia="Times New Roman" w:cs="Times New Roman"/>
          <w:bCs/>
          <w:spacing w:val="-6"/>
          <w:szCs w:val="24"/>
        </w:rPr>
        <w:t xml:space="preserve">для </w:t>
      </w:r>
      <w:r>
        <w:rPr>
          <w:rStyle w:val="Style"/>
          <w:rFonts w:cs="Times New Roman"/>
          <w:b w:val="false"/>
          <w:bCs/>
          <w:i w:val="false"/>
          <w:color w:val="000000"/>
          <w:szCs w:val="24"/>
          <w:shd w:fill="FFFFFF" w:val="clear"/>
        </w:rPr>
        <w:t>Аушигерской ГЭС, Кашхатау ГЭС и Баксанской ГЭС</w:t>
      </w:r>
    </w:p>
    <w:p>
      <w:pPr>
        <w:pStyle w:val="Normal"/>
        <w:jc w:val="center"/>
        <w:rPr>
          <w:szCs w:val="24"/>
        </w:rPr>
      </w:pPr>
      <w:r>
        <w:rPr>
          <w:szCs w:val="24"/>
        </w:rPr>
        <w:t>Лот №</w:t>
      </w:r>
      <w:r>
        <w:rPr>
          <w:szCs w:val="24"/>
          <w:highlight w:val="yellow"/>
        </w:rPr>
        <w:t>…</w:t>
      </w:r>
    </w:p>
    <w:p>
      <w:pPr>
        <w:pStyle w:val="Normal"/>
        <w:rPr>
          <w:szCs w:val="24"/>
        </w:rPr>
      </w:pPr>
      <w:r>
        <w:rPr>
          <w:szCs w:val="24"/>
        </w:rPr>
      </w:r>
      <w:r>
        <w:br w:type="page"/>
      </w:r>
    </w:p>
    <w:p>
      <w:pPr>
        <w:pStyle w:val="Normal"/>
        <w:rPr>
          <w:b/>
        </w:rPr>
      </w:pPr>
      <w:r>
        <w:rPr>
          <w:b/>
        </w:rPr>
        <w:t>1.</w:t>
        <w:tab/>
        <w:t>Общие сведения</w:t>
      </w:r>
    </w:p>
    <w:p>
      <w:pPr>
        <w:pStyle w:val="Heading4"/>
        <w:numPr>
          <w:ilvl w:val="1"/>
          <w:numId w:val="1"/>
        </w:numPr>
        <w:ind w:hanging="0" w:left="0"/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Heading4"/>
        <w:numPr>
          <w:ilvl w:val="1"/>
          <w:numId w:val="1"/>
        </w:numPr>
        <w:rPr/>
      </w:pPr>
      <w:bookmarkStart w:id="4" w:name="_Toc75446569"/>
      <w:bookmarkStart w:id="5" w:name="_Toc46743507"/>
      <w:r>
        <w:rPr>
          <w:rFonts w:eastAsia="Times New Roman"/>
          <w:b w:val="false"/>
          <w:bCs w:val="false"/>
          <w:spacing w:val="-6"/>
        </w:rPr>
        <w:t>ОКПД2</w:t>
      </w:r>
      <w:r>
        <w:rPr>
          <w:rFonts w:eastAsia="Times New Roman"/>
          <w:b w:val="false"/>
          <w:bCs w:val="false"/>
          <w:spacing w:val="-6"/>
          <w:lang w:val="ru-RU"/>
        </w:rPr>
        <w:t xml:space="preserve">: </w:t>
      </w:r>
      <w:r>
        <w:rPr>
          <w:rFonts w:eastAsia="Times New Roman"/>
          <w:b w:val="false"/>
          <w:bCs w:val="false"/>
          <w:spacing w:val="-6"/>
        </w:rPr>
        <w:t xml:space="preserve">26.51.66.124 </w:t>
      </w:r>
      <w:r>
        <w:rPr>
          <w:rFonts w:eastAsia="Times New Roman"/>
          <w:b w:val="false"/>
          <w:bCs w:val="false"/>
          <w:spacing w:val="-6"/>
          <w:lang w:val="ru-RU" w:eastAsia="en-US"/>
        </w:rPr>
        <w:t xml:space="preserve"> </w:t>
      </w:r>
      <w:r>
        <w:rPr>
          <w:rFonts w:eastAsia="Times New Roman"/>
          <w:b w:val="false"/>
          <w:bCs w:val="false"/>
          <w:spacing w:val="-6"/>
        </w:rPr>
        <w:t xml:space="preserve">Поставка </w:t>
      </w:r>
      <w:r>
        <w:rPr>
          <w:b w:val="false"/>
          <w:bCs w:val="false"/>
        </w:rPr>
        <w:t xml:space="preserve">тепловизоров </w:t>
      </w:r>
      <w:r>
        <w:rPr>
          <w:rFonts w:eastAsia="Times New Roman"/>
          <w:b w:val="false"/>
          <w:bCs w:val="false"/>
          <w:spacing w:val="-6"/>
        </w:rPr>
        <w:t xml:space="preserve">для </w:t>
      </w:r>
      <w:r>
        <w:rPr>
          <w:rStyle w:val="Style"/>
          <w:rFonts w:eastAsia="Calibri" w:eastAsiaTheme="minorHAnsi"/>
          <w:b w:val="false"/>
          <w:bCs w:val="false"/>
          <w:i w:val="false"/>
          <w:color w:val="000000"/>
          <w:shd w:fill="FFFFFF" w:val="clear"/>
        </w:rPr>
        <w:t>Аушигерской ГЭС, Кашхатау ГЭС и Баксанской ГЭС</w:t>
      </w:r>
      <w:r>
        <w:rPr>
          <w:rStyle w:val="Style"/>
          <w:rFonts w:eastAsia="Calibri" w:eastAsiaTheme="minorHAnsi"/>
          <w:b w:val="false"/>
          <w:bCs w:val="false"/>
          <w:i w:val="false"/>
          <w:color w:val="000000"/>
          <w:shd w:fill="FFFFFF" w:val="clear"/>
          <w:lang w:val="ru-RU"/>
        </w:rPr>
        <w:t>.</w:t>
      </w:r>
    </w:p>
    <w:p>
      <w:pPr>
        <w:pStyle w:val="Heading4"/>
        <w:numPr>
          <w:ilvl w:val="1"/>
          <w:numId w:val="1"/>
        </w:numPr>
        <w:rPr/>
      </w:pPr>
      <w:bookmarkStart w:id="6" w:name="_Toc46743507"/>
      <w:r>
        <w:rPr/>
        <w:t xml:space="preserve">Цель </w:t>
      </w:r>
      <w:bookmarkEnd w:id="6"/>
      <w:r>
        <w:rPr/>
        <w:t xml:space="preserve">использования закупаемой продукции </w:t>
      </w:r>
      <w:bookmarkEnd w:id="4"/>
      <w:r>
        <w:rPr/>
        <w:t xml:space="preserve"> </w:t>
      </w:r>
    </w:p>
    <w:p>
      <w:pPr>
        <w:pStyle w:val="Normal"/>
        <w:suppressAutoHyphens w:val="false"/>
        <w:rPr>
          <w:rStyle w:val="Style"/>
          <w:rFonts w:cs="Times New Roman"/>
          <w:b w:val="false"/>
          <w:bCs/>
          <w:i w:val="false"/>
          <w:i w:val="false"/>
          <w:color w:val="000000"/>
          <w:szCs w:val="24"/>
          <w:shd w:fill="FFFFFF" w:val="clear"/>
        </w:rPr>
      </w:pPr>
      <w:r>
        <w:rPr>
          <w:rStyle w:val="Style"/>
          <w:rFonts w:cs="Times New Roman"/>
          <w:b w:val="false"/>
          <w:bCs/>
          <w:i w:val="false"/>
          <w:color w:val="000000"/>
          <w:szCs w:val="24"/>
          <w:shd w:fill="FFFFFF" w:val="clear"/>
        </w:rPr>
        <w:t>Исполнение доходного договора от 02.09.2026 г № 1170-3894-2026 «Корректировка рабочей документации и модернизация комплексной системы безопасности Аушигерской ГЭС, Кашхатау ГЭС и Баксанской ГЭС Филиала ПАО «РусГидро» –</w:t>
      </w:r>
    </w:p>
    <w:p>
      <w:pPr>
        <w:pStyle w:val="BodyText21"/>
        <w:ind w:hanging="0"/>
        <w:rPr>
          <w:rStyle w:val="Style"/>
          <w:rFonts w:eastAsia="Calibri" w:eastAsiaTheme="minorHAnsi"/>
          <w:b w:val="false"/>
          <w:bCs/>
          <w:i w:val="false"/>
          <w:i w:val="false"/>
          <w:color w:val="000000"/>
          <w:szCs w:val="24"/>
          <w:shd w:fill="FFFFFF" w:val="clear"/>
          <w:lang w:eastAsia="en-US"/>
        </w:rPr>
      </w:pPr>
      <w:r>
        <w:rPr>
          <w:rStyle w:val="Style"/>
          <w:rFonts w:eastAsia="Calibri" w:eastAsiaTheme="minorHAnsi"/>
          <w:b w:val="false"/>
          <w:bCs/>
          <w:i w:val="false"/>
          <w:color w:val="000000"/>
          <w:szCs w:val="24"/>
          <w:shd w:fill="FFFFFF" w:val="clear"/>
          <w:lang w:eastAsia="en-US"/>
        </w:rPr>
        <w:t>«Кабардино-Балкарский филиал», заключенного между АО «Гидроремонт-ВКК» и ПАО «РусГидро».</w:t>
      </w:r>
    </w:p>
    <w:p>
      <w:pPr>
        <w:pStyle w:val="Normal"/>
        <w:ind w:firstLine="567"/>
        <w:jc w:val="both"/>
        <w:rPr>
          <w:szCs w:val="24"/>
        </w:rPr>
      </w:pPr>
      <w:r>
        <w:rPr>
          <w:szCs w:val="24"/>
        </w:rPr>
      </w:r>
    </w:p>
    <w:p>
      <w:pPr>
        <w:pStyle w:val="Heading1"/>
        <w:numPr>
          <w:ilvl w:val="0"/>
          <w:numId w:val="1"/>
        </w:numPr>
        <w:ind w:hanging="0" w:left="0"/>
        <w:rPr>
          <w:sz w:val="24"/>
          <w:szCs w:val="24"/>
        </w:rPr>
      </w:pPr>
      <w:bookmarkStart w:id="7" w:name="_Toc51339693"/>
      <w:bookmarkStart w:id="8" w:name="_Toc75446573"/>
      <w:r>
        <w:rPr>
          <w:sz w:val="24"/>
          <w:szCs w:val="24"/>
        </w:rPr>
        <w:t>Требования к продукции</w:t>
      </w:r>
      <w:bookmarkEnd w:id="7"/>
      <w:bookmarkEnd w:id="8"/>
    </w:p>
    <w:p>
      <w:pPr>
        <w:pStyle w:val="Heading4"/>
        <w:numPr>
          <w:ilvl w:val="1"/>
          <w:numId w:val="1"/>
        </w:numPr>
        <w:ind w:hanging="0" w:left="0"/>
        <w:rPr/>
      </w:pPr>
      <w:bookmarkStart w:id="9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9"/>
    </w:p>
    <w:p>
      <w:pPr>
        <w:pStyle w:val="Heading3"/>
        <w:numPr>
          <w:ilvl w:val="2"/>
          <w:numId w:val="1"/>
        </w:numPr>
        <w:ind w:hanging="0" w:left="0"/>
        <w:rPr/>
      </w:pPr>
      <w:bookmarkStart w:id="10" w:name="_Toc75446575"/>
      <w:r>
        <w:rPr/>
        <w:t>Перечень и объем закупаемой продукции</w:t>
      </w:r>
      <w:bookmarkEnd w:id="10"/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jc w:val="both"/>
        <w:rPr>
          <w:szCs w:val="24"/>
        </w:rPr>
      </w:pPr>
      <w:bookmarkStart w:id="11" w:name="_Toc75446578"/>
      <w:bookmarkStart w:id="12" w:name="_Toc51339695"/>
      <w:bookmarkStart w:id="13" w:name="_Toc75446576"/>
      <w:bookmarkEnd w:id="11"/>
      <w:r>
        <w:rPr>
          <w:szCs w:val="24"/>
        </w:rPr>
        <w:t xml:space="preserve">Таблица 1.1 Перечень </w:t>
      </w:r>
      <w:bookmarkEnd w:id="12"/>
      <w:r>
        <w:rPr>
          <w:szCs w:val="24"/>
        </w:rPr>
        <w:t>и объем закупаемой продукци</w:t>
      </w:r>
      <w:bookmarkEnd w:id="13"/>
      <w:r>
        <w:rPr>
          <w:szCs w:val="24"/>
        </w:rPr>
        <w:t xml:space="preserve">и </w:t>
      </w:r>
    </w:p>
    <w:tbl>
      <w:tblPr>
        <w:tblStyle w:val="afffff"/>
        <w:tblW w:w="1020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3"/>
        <w:gridCol w:w="6804"/>
        <w:gridCol w:w="1277"/>
        <w:gridCol w:w="1416"/>
      </w:tblGrid>
      <w:tr>
        <w:trPr>
          <w:trHeight w:val="567" w:hRule="atLeast"/>
        </w:trPr>
        <w:tc>
          <w:tcPr>
            <w:tcW w:w="703" w:type="dxa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№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68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Ед. измерения</w:t>
            </w:r>
          </w:p>
        </w:tc>
        <w:tc>
          <w:tcPr>
            <w:tcW w:w="14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</w:tr>
      <w:tr>
        <w:trPr/>
        <w:tc>
          <w:tcPr>
            <w:tcW w:w="7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127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141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</w:tr>
      <w:tr>
        <w:trPr>
          <w:trHeight w:val="339" w:hRule="atLeast"/>
        </w:trPr>
        <w:tc>
          <w:tcPr>
            <w:tcW w:w="70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680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 w:cs=""/>
                <w:b/>
                <w:kern w:val="0"/>
                <w:szCs w:val="22"/>
                <w:lang w:val="ru-RU" w:eastAsia="en-US" w:bidi="ar-SA"/>
              </w:rPr>
              <w:t>Партия №1 (</w:t>
            </w:r>
            <w:r>
              <w:rPr>
                <w:rStyle w:val="Style"/>
                <w:rFonts w:eastAsia="Calibri" w:cs=""/>
                <w:bCs/>
                <w:i w:val="false"/>
                <w:color w:val="000000"/>
                <w:kern w:val="0"/>
                <w:szCs w:val="24"/>
                <w:shd w:fill="FFFFFF" w:val="clear"/>
                <w:lang w:val="ru-RU" w:eastAsia="en-US" w:bidi="ar-SA"/>
              </w:rPr>
              <w:t>Аушигерская</w:t>
            </w:r>
            <w:r>
              <w:rPr>
                <w:rFonts w:eastAsia="Calibri" w:cs=""/>
                <w:kern w:val="0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"/>
                <w:b/>
                <w:kern w:val="0"/>
                <w:szCs w:val="22"/>
                <w:lang w:val="ru-RU" w:eastAsia="en-US" w:bidi="ar-SA"/>
              </w:rPr>
              <w:t>ГЭС)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1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Calibri"/>
                <w:b/>
                <w:sz w:val="22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</w:r>
          </w:p>
        </w:tc>
        <w:tc>
          <w:tcPr>
            <w:tcW w:w="68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  <w:t>Тепловизор стационарный</w:t>
            </w:r>
          </w:p>
        </w:tc>
        <w:tc>
          <w:tcPr>
            <w:tcW w:w="1277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 w:ascii="Calibri" w:hAnsi="Calibri"/>
                <w:kern w:val="0"/>
                <w:sz w:val="22"/>
                <w:szCs w:val="22"/>
                <w:lang w:val="ru-RU" w:eastAsia="en-US" w:bidi="ar-SA"/>
              </w:rPr>
              <w:t>компл.</w:t>
            </w:r>
          </w:p>
        </w:tc>
        <w:tc>
          <w:tcPr>
            <w:tcW w:w="1416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highlight w:val="yellow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502"/>
              <w:jc w:val="left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</w:r>
          </w:p>
        </w:tc>
        <w:tc>
          <w:tcPr>
            <w:tcW w:w="68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2"/>
              </w:rPr>
            </w:pPr>
            <w:r>
              <w:rPr>
                <w:rFonts w:eastAsia="Calibri" w:cs=""/>
                <w:b/>
                <w:kern w:val="0"/>
                <w:szCs w:val="22"/>
                <w:lang w:val="ru-RU" w:eastAsia="en-US" w:bidi="ar-SA"/>
              </w:rPr>
              <w:t>Партия №2 (</w:t>
            </w:r>
            <w:r>
              <w:rPr>
                <w:rStyle w:val="Style"/>
                <w:rFonts w:eastAsia="Calibri" w:cs=""/>
                <w:bCs/>
                <w:i w:val="false"/>
                <w:color w:val="000000"/>
                <w:kern w:val="0"/>
                <w:szCs w:val="24"/>
                <w:shd w:fill="FFFFFF" w:val="clear"/>
                <w:lang w:val="ru-RU" w:eastAsia="en-US" w:bidi="ar-SA"/>
              </w:rPr>
              <w:t>Кашхатау</w:t>
            </w:r>
            <w:r>
              <w:rPr>
                <w:rFonts w:eastAsia="Calibri" w:cs=""/>
                <w:b/>
                <w:kern w:val="0"/>
                <w:szCs w:val="22"/>
                <w:lang w:val="ru-RU" w:eastAsia="en-US" w:bidi="ar-SA"/>
              </w:rPr>
              <w:t xml:space="preserve"> ГЭС)</w:t>
            </w:r>
          </w:p>
        </w:tc>
        <w:tc>
          <w:tcPr>
            <w:tcW w:w="1277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 w:cs=""/>
                <w:kern w:val="0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Cs w:val="22"/>
                <w:lang w:val="ru-RU" w:eastAsia="en-US" w:bidi="ar-SA"/>
              </w:rPr>
            </w:r>
          </w:p>
        </w:tc>
        <w:tc>
          <w:tcPr>
            <w:tcW w:w="1416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highlight w:val="yellow"/>
              </w:rPr>
            </w:pPr>
            <w:r>
              <w:rPr>
                <w:rFonts w:eastAsia="Calibri" w:cs=""/>
                <w:kern w:val="0"/>
                <w:szCs w:val="22"/>
                <w:highlight w:val="yellow"/>
                <w:lang w:val="ru-RU" w:eastAsia="en-US" w:bidi="ar-SA"/>
              </w:rPr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</w:r>
          </w:p>
        </w:tc>
        <w:tc>
          <w:tcPr>
            <w:tcW w:w="68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  <w:t>Тепловизор стационарный</w:t>
            </w:r>
          </w:p>
        </w:tc>
        <w:tc>
          <w:tcPr>
            <w:tcW w:w="1277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 w:ascii="Calibri" w:hAnsi="Calibri"/>
                <w:kern w:val="0"/>
                <w:sz w:val="22"/>
                <w:szCs w:val="22"/>
                <w:lang w:val="ru-RU" w:eastAsia="en-US" w:bidi="ar-SA"/>
              </w:rPr>
              <w:t>компл.</w:t>
            </w:r>
          </w:p>
        </w:tc>
        <w:tc>
          <w:tcPr>
            <w:tcW w:w="1416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center"/>
              <w:rPr>
                <w:rFonts w:eastAsia="Calibri"/>
                <w:b/>
                <w:lang w:eastAsia="x-none"/>
              </w:rPr>
            </w:pPr>
            <w:r>
              <w:rPr>
                <w:rFonts w:eastAsia="Calibri" w:cs=""/>
                <w:b/>
                <w:kern w:val="0"/>
                <w:szCs w:val="22"/>
                <w:lang w:val="ru-RU" w:eastAsia="x-none" w:bidi="ar-SA"/>
              </w:rPr>
            </w:r>
          </w:p>
        </w:tc>
        <w:tc>
          <w:tcPr>
            <w:tcW w:w="68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  <w:t xml:space="preserve">Тепловизор поворотный </w:t>
            </w:r>
          </w:p>
        </w:tc>
        <w:tc>
          <w:tcPr>
            <w:tcW w:w="1277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 w:ascii="Calibri" w:hAnsi="Calibri"/>
                <w:kern w:val="0"/>
                <w:sz w:val="22"/>
                <w:szCs w:val="22"/>
                <w:lang w:val="ru-RU" w:eastAsia="en-US" w:bidi="ar-SA"/>
              </w:rPr>
              <w:t>компл.</w:t>
            </w:r>
          </w:p>
        </w:tc>
        <w:tc>
          <w:tcPr>
            <w:tcW w:w="1416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502"/>
              <w:jc w:val="left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</w:r>
          </w:p>
        </w:tc>
        <w:tc>
          <w:tcPr>
            <w:tcW w:w="68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b/>
                <w:kern w:val="0"/>
                <w:szCs w:val="22"/>
                <w:lang w:val="ru-RU" w:eastAsia="en-US" w:bidi="ar-SA"/>
              </w:rPr>
              <w:t>Партия №3 (</w:t>
            </w:r>
            <w:r>
              <w:rPr>
                <w:rStyle w:val="Style"/>
                <w:rFonts w:eastAsia="Calibri" w:cs=""/>
                <w:bCs/>
                <w:i w:val="false"/>
                <w:color w:val="000000"/>
                <w:kern w:val="0"/>
                <w:szCs w:val="24"/>
                <w:shd w:fill="FFFFFF" w:val="clear"/>
                <w:lang w:val="ru-RU" w:eastAsia="en-US" w:bidi="ar-SA"/>
              </w:rPr>
              <w:t>Баксанская</w:t>
            </w:r>
            <w:r>
              <w:rPr>
                <w:rFonts w:eastAsia="Calibri" w:cs=""/>
                <w:kern w:val="0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"/>
                <w:b/>
                <w:kern w:val="0"/>
                <w:szCs w:val="22"/>
                <w:lang w:val="ru-RU" w:eastAsia="en-US" w:bidi="ar-SA"/>
              </w:rPr>
              <w:t>ГЭС)</w:t>
            </w:r>
          </w:p>
        </w:tc>
        <w:tc>
          <w:tcPr>
            <w:tcW w:w="1277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 w:ascii="Calibri" w:hAnsi="Calibri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16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highlight w:val="yellow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highlight w:val="yellow"/>
                <w:lang w:val="ru-RU" w:eastAsia="en-US" w:bidi="ar-SA"/>
              </w:rPr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</w:r>
          </w:p>
        </w:tc>
        <w:tc>
          <w:tcPr>
            <w:tcW w:w="68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  <w:t>Тепловизор стационарный</w:t>
            </w:r>
          </w:p>
        </w:tc>
        <w:tc>
          <w:tcPr>
            <w:tcW w:w="1277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 w:ascii="Calibri" w:hAnsi="Calibri"/>
                <w:kern w:val="0"/>
                <w:sz w:val="22"/>
                <w:szCs w:val="22"/>
                <w:lang w:val="ru-RU" w:eastAsia="en-US" w:bidi="ar-SA"/>
              </w:rPr>
              <w:t>компл.</w:t>
            </w:r>
          </w:p>
        </w:tc>
        <w:tc>
          <w:tcPr>
            <w:tcW w:w="1416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</w:tr>
      <w:tr>
        <w:trPr>
          <w:trHeight w:val="20" w:hRule="atLeast"/>
        </w:trPr>
        <w:tc>
          <w:tcPr>
            <w:tcW w:w="70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</w:r>
          </w:p>
        </w:tc>
        <w:tc>
          <w:tcPr>
            <w:tcW w:w="68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Calibri"/>
                <w:lang w:eastAsia="x-none"/>
              </w:rPr>
            </w:pPr>
            <w:r>
              <w:rPr>
                <w:rFonts w:eastAsia="Calibri" w:cs=""/>
                <w:kern w:val="0"/>
                <w:szCs w:val="22"/>
                <w:lang w:val="ru-RU" w:eastAsia="x-none" w:bidi="ar-SA"/>
              </w:rPr>
              <w:t xml:space="preserve">Тепловизор поворотный </w:t>
            </w:r>
          </w:p>
        </w:tc>
        <w:tc>
          <w:tcPr>
            <w:tcW w:w="1277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rFonts w:cs="Times New Roman"/>
              </w:rPr>
            </w:pPr>
            <w:r>
              <w:rPr>
                <w:rFonts w:eastAsia="Calibri" w:cs="Times New Roman" w:ascii="Calibri" w:hAnsi="Calibri"/>
                <w:kern w:val="0"/>
                <w:sz w:val="22"/>
                <w:szCs w:val="22"/>
                <w:lang w:val="ru-RU" w:eastAsia="en-US" w:bidi="ar-SA"/>
              </w:rPr>
              <w:t>компл.</w:t>
            </w:r>
          </w:p>
        </w:tc>
        <w:tc>
          <w:tcPr>
            <w:tcW w:w="1416" w:type="dxa"/>
            <w:tcBorders/>
            <w:shd w:color="auto" w:fill="auto" w:val="clear"/>
            <w:vAlign w:val="center"/>
          </w:tcPr>
          <w:p>
            <w:pPr>
              <w:pStyle w:val="Style42"/>
              <w:widowControl/>
              <w:suppressAutoHyphens w:val="true"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</w:tbl>
    <w:p>
      <w:pPr>
        <w:pStyle w:val="Normal"/>
        <w:jc w:val="both"/>
        <w:rPr>
          <w:szCs w:val="24"/>
        </w:rPr>
      </w:pPr>
      <w:r>
        <w:rPr>
          <w:szCs w:val="24"/>
        </w:rPr>
      </w:r>
      <w:bookmarkStart w:id="14" w:name="_Toc75446578"/>
      <w:bookmarkStart w:id="15" w:name="_Toc75446578"/>
      <w:bookmarkEnd w:id="15"/>
    </w:p>
    <w:p>
      <w:pPr>
        <w:pStyle w:val="Heading3"/>
        <w:numPr>
          <w:ilvl w:val="2"/>
          <w:numId w:val="1"/>
        </w:numPr>
        <w:ind w:hanging="0" w:left="0"/>
        <w:rPr/>
      </w:pPr>
      <w:bookmarkStart w:id="16" w:name="_Toc141728501"/>
      <w:r>
        <w:rPr/>
        <w:t>Требования к срокам поставки продукции</w:t>
      </w:r>
      <w:r>
        <w:rPr>
          <w:lang w:val="ru-RU"/>
        </w:rPr>
        <w:t xml:space="preserve"> и оказания сопутствующих услуг</w:t>
      </w:r>
      <w:r>
        <w:rPr/>
        <w:t xml:space="preserve"> </w:t>
      </w:r>
      <w:bookmarkEnd w:id="16"/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 xml:space="preserve">Таблица 2.1 </w:t>
      </w:r>
      <w:bookmarkStart w:id="17" w:name="_Hlk50465284"/>
      <w:r>
        <w:rPr>
          <w:rFonts w:eastAsia="Calibri"/>
          <w:szCs w:val="24"/>
          <w:lang w:eastAsia="x-none"/>
        </w:rPr>
        <w:t xml:space="preserve">Требования по срокам </w:t>
      </w:r>
      <w:bookmarkEnd w:id="17"/>
      <w:r>
        <w:rPr>
          <w:rFonts w:eastAsia="Calibri"/>
          <w:szCs w:val="24"/>
          <w:lang w:eastAsia="x-none"/>
        </w:rPr>
        <w:t xml:space="preserve">поставки продукции </w:t>
      </w:r>
    </w:p>
    <w:tbl>
      <w:tblPr>
        <w:tblW w:w="10207" w:type="dxa"/>
        <w:jc w:val="left"/>
        <w:tblInd w:w="-43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3686"/>
        <w:gridCol w:w="2976"/>
        <w:gridCol w:w="2835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r>
              <w:rPr>
                <w:sz w:val="22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продукции / партии продукции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Требования к началу срока поставки продукции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Times New Roman" w:cs="Times New Roman"/>
                <w:bCs/>
                <w:spacing w:val="-6"/>
                <w:sz w:val="22"/>
                <w:szCs w:val="24"/>
              </w:rPr>
              <w:t>Партия №1 (</w:t>
            </w:r>
            <w:r>
              <w:rPr>
                <w:rStyle w:val="Style"/>
                <w:b w:val="false"/>
                <w:bCs/>
                <w:i w:val="false"/>
                <w:color w:val="000000"/>
                <w:sz w:val="22"/>
                <w:shd w:fill="FFFFFF" w:val="clear"/>
              </w:rPr>
              <w:t>Аушигерская ГЭС</w:t>
            </w:r>
            <w:r>
              <w:rPr>
                <w:rFonts w:eastAsia="Times New Roman" w:cs="Times New Roman"/>
                <w:bCs/>
                <w:spacing w:val="-6"/>
                <w:sz w:val="22"/>
                <w:szCs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 даты подписания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2"/>
              </w:rPr>
              <w:t>В течение 60 календарных дней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eastAsia="Times New Roman" w:cs="Times New Roman"/>
                <w:bCs/>
                <w:spacing w:val="-6"/>
                <w:sz w:val="22"/>
                <w:szCs w:val="24"/>
              </w:rPr>
            </w:pPr>
            <w:r>
              <w:rPr>
                <w:rFonts w:eastAsia="Times New Roman" w:cs="Times New Roman"/>
                <w:bCs/>
                <w:spacing w:val="-6"/>
                <w:sz w:val="22"/>
                <w:szCs w:val="24"/>
              </w:rPr>
              <w:t>Партия №2 (</w:t>
            </w:r>
            <w:r>
              <w:rPr>
                <w:rStyle w:val="Style"/>
                <w:b w:val="false"/>
                <w:bCs/>
                <w:i w:val="false"/>
                <w:color w:val="000000"/>
                <w:sz w:val="22"/>
                <w:shd w:fill="FFFFFF" w:val="clear"/>
              </w:rPr>
              <w:t>Кашхатау ГЭС</w:t>
            </w:r>
            <w:r>
              <w:rPr>
                <w:rFonts w:eastAsia="Times New Roman" w:cs="Times New Roman"/>
                <w:bCs/>
                <w:spacing w:val="-6"/>
                <w:sz w:val="22"/>
                <w:szCs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 даты подписания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2"/>
              </w:rPr>
              <w:t>В течение 60 календарных дней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both"/>
              <w:rPr>
                <w:rFonts w:eastAsia="Times New Roman" w:cs="Times New Roman"/>
                <w:bCs/>
                <w:spacing w:val="-6"/>
                <w:sz w:val="22"/>
                <w:szCs w:val="24"/>
              </w:rPr>
            </w:pPr>
            <w:r>
              <w:rPr>
                <w:rFonts w:eastAsia="Times New Roman" w:cs="Times New Roman"/>
                <w:bCs/>
                <w:spacing w:val="-6"/>
                <w:sz w:val="22"/>
                <w:szCs w:val="24"/>
              </w:rPr>
              <w:t>Партия №3 (</w:t>
            </w:r>
            <w:r>
              <w:rPr>
                <w:rStyle w:val="Style"/>
                <w:b w:val="false"/>
                <w:bCs/>
                <w:i w:val="false"/>
                <w:color w:val="000000"/>
                <w:sz w:val="22"/>
                <w:shd w:fill="FFFFFF" w:val="clear"/>
              </w:rPr>
              <w:t>Баксанская ГЭС</w:t>
            </w:r>
            <w:r>
              <w:rPr>
                <w:rFonts w:eastAsia="Times New Roman" w:cs="Times New Roman"/>
                <w:bCs/>
                <w:spacing w:val="-6"/>
                <w:sz w:val="22"/>
                <w:szCs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 даты подписания договора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sz w:val="22"/>
              </w:rPr>
              <w:t>В течение 60 календарных дней</w:t>
            </w:r>
          </w:p>
        </w:tc>
      </w:tr>
    </w:tbl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</w:p>
    <w:p>
      <w:pPr>
        <w:sectPr>
          <w:footerReference w:type="default" r:id="rId2"/>
          <w:type w:val="nextPage"/>
          <w:pgSz w:w="11906" w:h="16838"/>
          <w:pgMar w:left="1418" w:right="1134" w:gutter="0" w:header="0" w:top="1134" w:footer="788" w:bottom="851"/>
          <w:pgNumType w:fmt="decimal"/>
          <w:formProt w:val="false"/>
          <w:textDirection w:val="lrTb"/>
          <w:docGrid w:type="default" w:linePitch="360" w:charSpace="0"/>
        </w:sect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</w:p>
    <w:p>
      <w:pPr>
        <w:pStyle w:val="ListParagraph"/>
        <w:keepNext w:val="true"/>
        <w:numPr>
          <w:ilvl w:val="1"/>
          <w:numId w:val="1"/>
        </w:numPr>
        <w:tabs>
          <w:tab w:val="clear" w:pos="708"/>
          <w:tab w:val="left" w:pos="2552" w:leader="none"/>
          <w:tab w:val="left" w:pos="3261" w:leader="none"/>
        </w:tabs>
        <w:suppressAutoHyphens w:val="false"/>
        <w:spacing w:before="120" w:after="60"/>
        <w:contextualSpacing/>
        <w:outlineLvl w:val="3"/>
        <w:rPr>
          <w:b/>
          <w:bCs/>
          <w:lang w:val="x-none" w:eastAsia="x-none"/>
        </w:rPr>
      </w:pPr>
      <w:bookmarkStart w:id="18" w:name="_Toc141728503"/>
      <w:bookmarkStart w:id="19" w:name="_Toc46743511"/>
      <w:r>
        <w:rPr>
          <w:b/>
          <w:bCs/>
          <w:lang w:val="x-none" w:eastAsia="x-none"/>
        </w:rPr>
        <w:t xml:space="preserve">Требования к </w:t>
      </w:r>
      <w:bookmarkEnd w:id="19"/>
      <w:r>
        <w:rPr>
          <w:b/>
          <w:bCs/>
          <w:lang w:val="x-none" w:eastAsia="x-none"/>
        </w:rPr>
        <w:t>качеству продукции</w:t>
      </w:r>
      <w:bookmarkEnd w:id="18"/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Таблица 3. Требования к качеству продукции</w:t>
      </w:r>
    </w:p>
    <w:p>
      <w:pPr>
        <w:pStyle w:val="Normal"/>
        <w:jc w:val="both"/>
        <w:rPr>
          <w:rFonts w:eastAsia="Times New Roman" w:cs="Times New Roman"/>
          <w:b/>
          <w:bCs/>
          <w:spacing w:val="-6"/>
          <w:szCs w:val="24"/>
        </w:rPr>
      </w:pPr>
      <w:r>
        <w:rPr>
          <w:rFonts w:eastAsia="Times New Roman" w:cs="Times New Roman"/>
          <w:bCs/>
          <w:color w:val="000000"/>
          <w:spacing w:val="-6"/>
        </w:rPr>
        <w:t xml:space="preserve">Наименование продукции (позиции № 1-5 Таблицы 1.1): </w:t>
      </w:r>
      <w:bookmarkStart w:id="20" w:name="_GoBack"/>
      <w:r>
        <w:rPr>
          <w:rFonts w:eastAsia="Times New Roman"/>
          <w:spacing w:val="-6"/>
        </w:rPr>
        <w:t>ОКПД2</w:t>
      </w:r>
      <w:r>
        <w:rPr>
          <w:rFonts w:eastAsia="Times New Roman"/>
          <w:bCs/>
          <w:spacing w:val="-6"/>
        </w:rPr>
        <w:t xml:space="preserve">: </w:t>
      </w:r>
      <w:r>
        <w:rPr>
          <w:rFonts w:eastAsia="Times New Roman"/>
          <w:spacing w:val="-6"/>
        </w:rPr>
        <w:t xml:space="preserve">26.51.66.124 </w:t>
      </w:r>
      <w:r>
        <w:rPr>
          <w:rFonts w:eastAsia="Times New Roman"/>
          <w:b/>
          <w:spacing w:val="-6"/>
        </w:rPr>
        <w:t xml:space="preserve"> </w:t>
      </w:r>
      <w:bookmarkEnd w:id="20"/>
      <w:r>
        <w:rPr>
          <w:rFonts w:eastAsia="Times New Roman"/>
          <w:spacing w:val="-6"/>
        </w:rPr>
        <w:t xml:space="preserve">Поставка </w:t>
      </w:r>
      <w:r>
        <w:rPr/>
        <w:t xml:space="preserve">тепловизоров </w:t>
      </w:r>
      <w:r>
        <w:rPr>
          <w:rFonts w:eastAsia="Times New Roman"/>
          <w:spacing w:val="-6"/>
        </w:rPr>
        <w:t xml:space="preserve">для </w:t>
      </w:r>
      <w:r>
        <w:rPr>
          <w:rStyle w:val="Style"/>
          <w:b w:val="false"/>
          <w:bCs/>
          <w:i w:val="false"/>
          <w:color w:val="000000"/>
          <w:shd w:fill="FFFFFF" w:val="clear"/>
        </w:rPr>
        <w:t>Аушигерской ГЭС, Кашхатау ГЭС и Баксанской ГЭС</w:t>
      </w:r>
    </w:p>
    <w:tbl>
      <w:tblPr>
        <w:tblpPr w:vertAnchor="text" w:horzAnchor="text" w:leftFromText="180" w:rightFromText="180" w:tblpX="0" w:tblpY="1"/>
        <w:tblW w:w="1487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6"/>
        <w:gridCol w:w="2835"/>
        <w:gridCol w:w="34"/>
        <w:gridCol w:w="3792"/>
        <w:gridCol w:w="2268"/>
        <w:gridCol w:w="1844"/>
        <w:gridCol w:w="1559"/>
        <w:gridCol w:w="1700"/>
      </w:tblGrid>
      <w:tr>
        <w:trPr>
          <w:trHeight w:val="280" w:hRule="atLeast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</w:rPr>
              <w:t>п/п</w:t>
            </w:r>
          </w:p>
        </w:tc>
        <w:tc>
          <w:tcPr>
            <w:tcW w:w="6661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color w:val="000000"/>
                <w:sz w:val="22"/>
              </w:rPr>
              <w:t>Наименование параметра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Требование заказчика</w:t>
            </w:r>
          </w:p>
        </w:tc>
        <w:tc>
          <w:tcPr>
            <w:tcW w:w="5103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224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</w:r>
          </w:p>
        </w:tc>
        <w:tc>
          <w:tcPr>
            <w:tcW w:w="6661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</w:r>
          </w:p>
        </w:tc>
        <w:tc>
          <w:tcPr>
            <w:tcW w:w="2268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Согласие с требованием/ указание характеристик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98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1</w:t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</w:tr>
      <w:tr>
        <w:trPr>
          <w:trHeight w:val="252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2"/>
                <w:lang w:eastAsia="x-none"/>
              </w:rPr>
            </w:pPr>
            <w:r>
              <w:rPr>
                <w:rFonts w:eastAsia="Calibri"/>
                <w:b/>
                <w:sz w:val="22"/>
                <w:lang w:eastAsia="x-none"/>
              </w:rPr>
              <w:t>1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2"/>
              </w:rPr>
            </w:pPr>
            <w:r>
              <w:rPr>
                <w:b/>
                <w:sz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0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</w:rPr>
              <w:t>1.1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2"/>
              </w:rPr>
            </w:pPr>
            <w:r>
              <w:rPr>
                <w:rFonts w:eastAsia="Calibri"/>
                <w:b/>
                <w:lang w:eastAsia="x-none"/>
              </w:rPr>
              <w:t>Тепловизор стационарный</w:t>
            </w:r>
            <w:r>
              <w:rPr>
                <w:rFonts w:eastAsia="Calibri"/>
                <w:b/>
                <w:sz w:val="22"/>
                <w:lang w:eastAsia="x-none"/>
              </w:rPr>
              <w:t>:</w:t>
            </w:r>
          </w:p>
        </w:tc>
      </w:tr>
      <w:tr>
        <w:trPr>
          <w:trHeight w:val="20" w:hRule="atLeast"/>
        </w:trPr>
        <w:tc>
          <w:tcPr>
            <w:tcW w:w="8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sz w:val="22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 xml:space="preserve">Соответствие стандартам </w:t>
            </w:r>
          </w:p>
          <w:p>
            <w:pPr>
              <w:pStyle w:val="Style42"/>
              <w:rPr>
                <w:sz w:val="22"/>
              </w:rPr>
            </w:pPr>
            <w:r>
              <w:rPr>
                <w:sz w:val="22"/>
              </w:rPr>
              <w:t>ТР ТС 004/2011 «О безопасности низковольтного оборудования»,</w:t>
            </w:r>
          </w:p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ТР ТС 020/2011 «Электромагнитная совместимость технических средств»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Устойчивость к воздействию климатических факторов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УХЛ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Категории размещения по ГОСТ 15150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Степень защиты в соответствии с ГОСТ 14254, не ниже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IP66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Рабочий диапазон температур, °C, не уже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от - 40 до + 50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Материал корпуса кожуха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Коррозионностойкая нержавеющая сталь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Защитное окно кожуха должно иметь специальное и защитное покрытие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DLC, АR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Объектив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Атермальный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Фокусное расстояние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19 мм;</w:t>
            </w:r>
          </w:p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F1.0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Углы обзора,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горизонтальный: 44,01°; вертикальный: 35,84°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Разрешение изображения,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1280*1024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Размер элемента матрицы, мкм, не хуже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12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Спектральный диапазон, мкм,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8-14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Частота обновления кадров, кадров/с,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25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Цветовая палитра, шт,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18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NETD, mK, не более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50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Видеокодек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H.264/H.265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Три видеопотока (главный поток не менее 1280х1024, субпотоки D1, CIF)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tabs>
                <w:tab w:val="clear" w:pos="708"/>
                <w:tab w:val="left" w:pos="1080" w:leader="none"/>
              </w:tabs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Поддержка стандарта Onvif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Поддержка технологии Multicast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Электропитание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230 В ± 10%,</w:t>
            </w:r>
          </w:p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50 Гц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Внешние размеры (диаметр х длина), мм, не более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165х455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Вес, кг, не более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6,5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Комплектация кронштейном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Кронштейн для крепления на стену/столб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Возможность комплектации кронштейнами для крепления на стену, столб, угол. Кронштейны должны быть изготовлены из нержавеющей стали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1.2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/>
                <w:sz w:val="22"/>
              </w:rPr>
            </w:pPr>
            <w:r>
              <w:rPr>
                <w:rFonts w:eastAsia="Calibri"/>
                <w:b/>
                <w:lang w:eastAsia="x-none"/>
              </w:rPr>
              <w:t>Тепловизор поворотный</w:t>
            </w:r>
            <w:r>
              <w:rPr>
                <w:rFonts w:eastAsia="Calibri"/>
                <w:b/>
                <w:sz w:val="22"/>
                <w:lang w:eastAsia="x-none"/>
              </w:rPr>
              <w:t>:</w:t>
            </w:r>
          </w:p>
        </w:tc>
      </w:tr>
      <w:tr>
        <w:trPr>
          <w:trHeight w:val="20" w:hRule="atLeast"/>
        </w:trPr>
        <w:tc>
          <w:tcPr>
            <w:tcW w:w="8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Соответствие стандартам</w:t>
            </w:r>
          </w:p>
          <w:p>
            <w:pPr>
              <w:pStyle w:val="Style42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ГОСТ Р 51558</w:t>
            </w:r>
          </w:p>
          <w:p>
            <w:pPr>
              <w:pStyle w:val="Style42"/>
              <w:rPr>
                <w:sz w:val="22"/>
              </w:rPr>
            </w:pPr>
            <w:r>
              <w:rPr>
                <w:sz w:val="22"/>
              </w:rPr>
              <w:t>ТР ТС 004/2011 «О безопасности низковольтного оборудования»,</w:t>
            </w:r>
          </w:p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ТР ТС 020/2011 «Электромагнитная совместимость технических средств»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Устойчивость к воздействию климатических факторов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УХЛ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Категории размещения по ГОСТ 15150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Степень защиты в соответствии с ГОСТ 14254, не ниже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IP66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Рабочий диапазон температур, °C, не уже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от - 40 до + 50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Расчетные дальности действия при 80% вероятности решения зрительной задачи оператором в соответствии с критериями Джонсона:</w:t>
              <w:br/>
              <w:t>Зрительная задача:</w:t>
              <w:br/>
              <w:t>Цель: человек (критический размер 0,75) Детекция, не менее 2000 м.</w:t>
              <w:br/>
              <w:t xml:space="preserve">Распознавание, не менее 700 м. Идентификация, не менее 300 м.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sz w:val="22"/>
              </w:rPr>
            </w:pPr>
            <w:r>
              <w:rPr>
                <w:rFonts w:cs="Times New Roman"/>
                <w:sz w:val="22"/>
              </w:rPr>
              <w:t>Документальное подтверждение обеспечения интеграции с программным обеспечением SecurOS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2"/>
                <w:lang w:eastAsia="x-none"/>
              </w:rPr>
            </w:pPr>
            <w:r>
              <w:rPr>
                <w:rFonts w:eastAsia="Calibri"/>
                <w:b/>
                <w:sz w:val="22"/>
                <w:lang w:eastAsia="x-none"/>
              </w:rPr>
              <w:t>1.2.1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" w:eastAsiaTheme="minorEastAsia"/>
                <w:b/>
                <w:color w:val="000000"/>
                <w:sz w:val="22"/>
                <w:lang w:eastAsia="ru-RU"/>
              </w:rPr>
              <w:t>Тепловизионный канал</w:t>
            </w:r>
          </w:p>
        </w:tc>
      </w:tr>
      <w:tr>
        <w:trPr>
          <w:trHeight w:val="20" w:hRule="atLeast"/>
        </w:trPr>
        <w:tc>
          <w:tcPr>
            <w:tcW w:w="8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Объектив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Атермальный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Фокусное расстояние, мм,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</w:rPr>
              <w:t>20 - 100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Автофокусировка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Тип детектора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неохлаждаемый микроболометр без ТЕС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Разрешение изображения,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1280*1024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Размер элемента матрицы, не более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12 мкм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Спектральный диапазон, мкм, не уже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8... 14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Частота обновления кадров, кадров/с,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NETD, mK, не более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35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Защита детектора от излучения большой интенсивности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 xml:space="preserve">Цветовая палитра (псевдоцветов, </w:t>
            </w:r>
            <w:r>
              <w:rPr>
                <w:rFonts w:cs="Times New Roman"/>
                <w:color w:val="000000"/>
                <w:sz w:val="22"/>
              </w:rPr>
              <w:t xml:space="preserve"> ч/б, негатив</w:t>
            </w: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), шт,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16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Видеокодек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H.264/H.265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Три видеопотока (главный поток не менее 1280х1024, субпотоки D1, CIF)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Защитное покрытие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DLC/AR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tabs>
                <w:tab w:val="clear" w:pos="708"/>
                <w:tab w:val="left" w:pos="1080" w:leader="none"/>
              </w:tabs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Поддержка стандарта Onvif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eastAsia="x-none"/>
              </w:rPr>
            </w:pPr>
            <w:r>
              <w:rPr>
                <w:rFonts w:eastAsia="Calibri"/>
                <w:sz w:val="22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Поддержка технологии Multicast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2"/>
                <w:lang w:eastAsia="x-none"/>
              </w:rPr>
            </w:pPr>
            <w:r>
              <w:rPr>
                <w:rFonts w:eastAsia="Calibri"/>
                <w:b/>
                <w:sz w:val="22"/>
                <w:lang w:eastAsia="x-none"/>
              </w:rPr>
              <w:t>1.2.2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" w:eastAsiaTheme="minorEastAsia"/>
                <w:b/>
                <w:color w:val="000000"/>
                <w:sz w:val="22"/>
                <w:lang w:eastAsia="ru-RU"/>
              </w:rPr>
              <w:t>Видеоканал</w:t>
            </w:r>
          </w:p>
        </w:tc>
      </w:tr>
      <w:tr>
        <w:trPr>
          <w:trHeight w:val="20" w:hRule="atLeast"/>
        </w:trPr>
        <w:tc>
          <w:tcPr>
            <w:tcW w:w="8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разрешение матрицы видеокамеры, Мп,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4</w:t>
            </w:r>
          </w:p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</w:rPr>
              <w:t>(2560x1440 пикселей)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Автофокусировка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Тип матрицы,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</w:rPr>
              <w:t>1/1.8” СМOS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>Фокусное расстояние объектива, мм,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cs="Times New Roman"/>
                <w:color w:val="000000"/>
                <w:sz w:val="22"/>
              </w:rPr>
              <w:t>6,1-561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sz w:val="22"/>
              </w:rPr>
            </w:pPr>
            <w:r>
              <w:rPr>
                <w:sz w:val="22"/>
              </w:rPr>
              <w:t>Оптический зум,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sz w:val="22"/>
              </w:rPr>
              <w:t>92x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Электронная стабилизация изображения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Функция день/ночь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  <w:lang w:val="en-US"/>
              </w:rPr>
            </w:pPr>
            <w:r>
              <w:rPr>
                <w:rFonts w:cs="Times New Roman"/>
                <w:color w:val="000000"/>
                <w:sz w:val="22"/>
              </w:rPr>
              <w:t>Функция</w:t>
            </w:r>
            <w:r>
              <w:rPr>
                <w:rFonts w:cs="Times New Roman"/>
                <w:color w:val="000000"/>
                <w:sz w:val="22"/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 w:val="22"/>
              </w:rPr>
              <w:t>В</w:t>
            </w:r>
            <w:r>
              <w:rPr>
                <w:rFonts w:cs="Times New Roman"/>
                <w:color w:val="000000"/>
                <w:sz w:val="22"/>
                <w:lang w:val="en-US"/>
              </w:rPr>
              <w:t>L</w:t>
            </w:r>
            <w:r>
              <w:rPr>
                <w:rFonts w:cs="Times New Roman"/>
                <w:color w:val="000000"/>
                <w:sz w:val="22"/>
              </w:rPr>
              <w:t>С</w:t>
            </w:r>
            <w:r>
              <w:rPr>
                <w:rFonts w:cs="Times New Roman"/>
                <w:color w:val="000000"/>
                <w:sz w:val="22"/>
                <w:lang w:val="en-US"/>
              </w:rPr>
              <w:t xml:space="preserve"> (back light compensation)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en-US" w:eastAsia="x-none"/>
              </w:rPr>
            </w:pPr>
            <w:r>
              <w:rPr>
                <w:rFonts w:eastAsia="Calibri"/>
                <w:lang w:val="en-US"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Функция широкого динамического диапазона (WDR)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  <w:lang w:val="en-US"/>
              </w:rPr>
            </w:pPr>
            <w:r>
              <w:rPr>
                <w:rFonts w:cs="Times New Roman"/>
                <w:color w:val="000000"/>
                <w:sz w:val="22"/>
              </w:rPr>
              <w:t>Функция</w:t>
            </w:r>
            <w:r>
              <w:rPr>
                <w:rFonts w:cs="Times New Roman"/>
                <w:color w:val="000000"/>
                <w:sz w:val="22"/>
                <w:lang w:val="en-US"/>
              </w:rPr>
              <w:t xml:space="preserve"> HLC (High light compensation)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en-US" w:eastAsia="x-none"/>
              </w:rPr>
            </w:pPr>
            <w:r>
              <w:rPr>
                <w:rFonts w:eastAsia="Calibri"/>
                <w:lang w:val="en-US"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Функция</w:t>
            </w:r>
            <w:r>
              <w:rPr>
                <w:rFonts w:cs="Times New Roman"/>
                <w:color w:val="000000"/>
                <w:sz w:val="22"/>
                <w:lang w:val="en-US"/>
              </w:rPr>
              <w:t xml:space="preserve"> </w:t>
            </w:r>
            <w:r>
              <w:rPr>
                <w:rFonts w:cs="Times New Roman"/>
                <w:color w:val="000000"/>
                <w:sz w:val="22"/>
              </w:rPr>
              <w:t>антитуман (Optical Defog)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Функция шумоподавления 3D Noise Reduction;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  <w:lang w:val="en-US"/>
              </w:rPr>
            </w:pPr>
            <w:r>
              <w:rPr>
                <w:rFonts w:cs="Times New Roman"/>
                <w:color w:val="000000"/>
                <w:sz w:val="22"/>
              </w:rPr>
              <w:t>Функция</w:t>
            </w:r>
            <w:r>
              <w:rPr>
                <w:rFonts w:cs="Times New Roman"/>
                <w:color w:val="000000"/>
                <w:sz w:val="22"/>
                <w:lang w:val="en-US"/>
              </w:rPr>
              <w:t xml:space="preserve"> OSD (On-screen Display)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en-US" w:eastAsia="x-none"/>
              </w:rPr>
            </w:pPr>
            <w:r>
              <w:rPr>
                <w:rFonts w:eastAsia="Calibri"/>
                <w:lang w:val="en-US"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  <w:lang w:val="en-US"/>
              </w:rPr>
            </w:pPr>
            <w:r>
              <w:rPr>
                <w:rFonts w:cs="Times New Roman"/>
                <w:color w:val="000000"/>
                <w:sz w:val="22"/>
              </w:rPr>
              <w:t>функция</w:t>
            </w:r>
            <w:r>
              <w:rPr>
                <w:rFonts w:cs="Times New Roman"/>
                <w:color w:val="000000"/>
                <w:sz w:val="22"/>
                <w:lang w:val="en-US"/>
              </w:rPr>
              <w:t xml:space="preserve"> QoS (Quality of Service);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en-US" w:eastAsia="x-none"/>
              </w:rPr>
            </w:pPr>
            <w:r>
              <w:rPr>
                <w:rFonts w:eastAsia="Calibri"/>
                <w:lang w:val="en-US"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Функции видеоанализа:</w:t>
            </w:r>
          </w:p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детекция пересечения линии;</w:t>
            </w:r>
          </w:p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детекция входа/выхода в/из зоны;</w:t>
            </w:r>
          </w:p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обнаружения оставленных предметов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en-US" w:eastAsia="x-none"/>
              </w:rPr>
            </w:pPr>
            <w:r>
              <w:rPr>
                <w:rFonts w:eastAsia="Calibri"/>
                <w:lang w:val="en-US"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Интерфейс управления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Ethernet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en-US" w:eastAsia="x-none"/>
              </w:rPr>
            </w:pPr>
            <w:r>
              <w:rPr>
                <w:rFonts w:eastAsia="Calibri"/>
                <w:lang w:val="en-US"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Видеокодек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H.264/H.265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en-US" w:eastAsia="x-none"/>
              </w:rPr>
            </w:pPr>
            <w:r>
              <w:rPr>
                <w:rFonts w:eastAsia="Calibri"/>
                <w:lang w:val="en-US"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Три видеопотока (главный поток не менее 2560х1440, субпотоки D1, CIF)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en-US" w:eastAsia="x-none"/>
              </w:rPr>
            </w:pPr>
            <w:r>
              <w:rPr>
                <w:rFonts w:eastAsia="Calibri"/>
                <w:lang w:val="en-US"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tabs>
                <w:tab w:val="clear" w:pos="708"/>
                <w:tab w:val="left" w:pos="1080" w:leader="none"/>
              </w:tabs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Поддержка стандарта Onvif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Поддержка технологии Multicast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2"/>
                <w:lang w:eastAsia="x-none"/>
              </w:rPr>
            </w:pPr>
            <w:r>
              <w:rPr>
                <w:rFonts w:eastAsia="Calibri"/>
                <w:b/>
                <w:sz w:val="22"/>
                <w:lang w:eastAsia="x-none"/>
              </w:rPr>
              <w:t>1.2.3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" w:eastAsiaTheme="minorEastAsia"/>
                <w:b/>
                <w:color w:val="000000"/>
                <w:sz w:val="22"/>
                <w:lang w:eastAsia="ru-RU"/>
              </w:rPr>
              <w:t>Поворотное устройство</w:t>
            </w:r>
          </w:p>
        </w:tc>
      </w:tr>
      <w:tr>
        <w:trPr>
          <w:trHeight w:val="20" w:hRule="atLeast"/>
        </w:trPr>
        <w:tc>
          <w:tcPr>
            <w:tcW w:w="8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Горизонтальный поворот без ограничений, град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360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Угол наклона по вертикали, град,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sz w:val="22"/>
              </w:rPr>
              <w:t>±90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Переменная скорость вращения по горизонтали, град/с,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0,01-120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Переменная скорость вращения по вертикали, град/с,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0,01- 60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Точность позиционирования, град, не более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0,01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sz w:val="22"/>
              </w:rPr>
              <w:t>Количество предустановок, не менее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sz w:val="22"/>
              </w:rPr>
              <w:t>255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Патруль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sz w:val="22"/>
                <w:lang w:eastAsia="x-none"/>
              </w:rPr>
            </w:pPr>
            <w:r>
              <w:rPr>
                <w:rFonts w:eastAsia="Calibri"/>
                <w:b/>
                <w:sz w:val="22"/>
                <w:lang w:eastAsia="x-none"/>
              </w:rPr>
              <w:t>1.2.4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" w:eastAsiaTheme="minorEastAsia"/>
                <w:b/>
                <w:color w:val="000000"/>
                <w:sz w:val="22"/>
                <w:lang w:eastAsia="ru-RU"/>
              </w:rPr>
              <w:t>Общие характеристики</w:t>
            </w:r>
          </w:p>
        </w:tc>
      </w:tr>
      <w:tr>
        <w:trPr>
          <w:trHeight w:val="20" w:hRule="atLeast"/>
        </w:trPr>
        <w:tc>
          <w:tcPr>
            <w:tcW w:w="8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Синхронизация полей зрения видеокамеры и тепловизора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Функция холодного старта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Функция автоматического отслеживания цели (автотрекинг)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  <w:lang w:val="en-US"/>
              </w:rPr>
            </w:pPr>
            <w:r>
              <w:rPr>
                <w:rFonts w:cs="Times New Roman"/>
                <w:color w:val="000000"/>
                <w:sz w:val="22"/>
              </w:rPr>
              <w:t>Интерфейс</w:t>
            </w:r>
            <w:r>
              <w:rPr>
                <w:rFonts w:cs="Times New Roman"/>
                <w:color w:val="000000"/>
                <w:sz w:val="22"/>
                <w:lang w:val="en-US"/>
              </w:rPr>
              <w:t xml:space="preserve"> RS-485 (PELCO D protocol)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en-US" w:eastAsia="x-none"/>
              </w:rPr>
            </w:pPr>
            <w:r>
              <w:rPr>
                <w:rFonts w:eastAsia="Calibri"/>
                <w:lang w:val="en-US"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Тревожный выход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да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Электропитание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24 В</w:t>
            </w:r>
          </w:p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постоянного тока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Потребляемая мощность, Вт, не более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rPr>
                <w:rFonts w:eastAsia="" w:eastAsiaTheme="minorEastAsia"/>
                <w:color w:val="000000"/>
                <w:sz w:val="22"/>
                <w:lang w:eastAsia="ru-RU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Степень защиты корпуса в соответствии с ГОСТ 14254, не ниже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rFonts w:eastAsia="" w:eastAsiaTheme="minorEastAsia"/>
                <w:color w:val="000000"/>
                <w:sz w:val="22"/>
                <w:lang w:eastAsia="ru-RU"/>
              </w:rPr>
              <w:t>IP66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" w:hRule="atLeast"/>
        </w:trPr>
        <w:tc>
          <w:tcPr>
            <w:tcW w:w="846" w:type="dxa"/>
            <w:vMerge w:val="continue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lang w:eastAsia="x-none"/>
              </w:rPr>
            </w:pPr>
            <w:r>
              <w:rPr>
                <w:rFonts w:eastAsia="Calibri"/>
                <w:lang w:eastAsia="x-none"/>
              </w:rPr>
            </w:r>
          </w:p>
        </w:tc>
        <w:tc>
          <w:tcPr>
            <w:tcW w:w="66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/>
                <w:color w:val="000000"/>
                <w:sz w:val="22"/>
              </w:rPr>
              <w:t>Вес,  кг, не более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Style42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sz w:val="22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Указание характеристик</w:t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78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b/>
                <w:lang w:eastAsia="x-none"/>
              </w:rPr>
            </w:pPr>
            <w:r>
              <w:rPr>
                <w:rFonts w:eastAsia="Calibri"/>
                <w:b/>
                <w:lang w:eastAsia="x-none"/>
              </w:rPr>
              <w:t>2.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b/>
              </w:rPr>
            </w:pPr>
            <w:r>
              <w:rPr>
                <w:b/>
                <w:sz w:val="22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560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2.1</w:t>
            </w:r>
          </w:p>
        </w:tc>
        <w:tc>
          <w:tcPr>
            <w:tcW w:w="2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Calibri"/>
                <w:sz w:val="22"/>
              </w:rPr>
              <w:t>Место поставки</w:t>
            </w:r>
          </w:p>
        </w:tc>
        <w:tc>
          <w:tcPr>
            <w:tcW w:w="6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rPr>
                <w:rFonts w:cs="Times New Roman"/>
                <w:sz w:val="22"/>
              </w:rPr>
            </w:pPr>
            <w:r>
              <w:rPr>
                <w:sz w:val="22"/>
              </w:rPr>
              <w:t xml:space="preserve">Партия №1 – Партия №3 в соответствии с табл.1.1 - </w:t>
            </w:r>
            <w:r>
              <w:rPr>
                <w:rFonts w:cs="Times New Roman"/>
                <w:sz w:val="22"/>
              </w:rPr>
              <w:t>Кабардино-Балкарская Республика, Баксанский район, с.п. Заюково, с. Заюково, ул. Кирова, дом №546, литера «А»</w:t>
            </w:r>
          </w:p>
        </w:tc>
        <w:tc>
          <w:tcPr>
            <w:tcW w:w="18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FF0000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FF0000"/>
              </w:rPr>
            </w:pPr>
            <w:r>
              <w:rPr>
                <w:color w:val="FF0000"/>
              </w:rPr>
            </w: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color w:val="FF0000"/>
              </w:rPr>
            </w:pPr>
            <w:r>
              <w:rPr>
                <w:color w:val="FF0000"/>
              </w:rPr>
            </w:r>
          </w:p>
        </w:tc>
      </w:tr>
      <w:tr>
        <w:trPr>
          <w:trHeight w:val="276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2.2</w:t>
            </w:r>
          </w:p>
        </w:tc>
        <w:tc>
          <w:tcPr>
            <w:tcW w:w="2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Calibri"/>
                <w:sz w:val="22"/>
              </w:rPr>
              <w:t>Приемка продукции</w:t>
            </w:r>
          </w:p>
        </w:tc>
        <w:tc>
          <w:tcPr>
            <w:tcW w:w="6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Приемка продукции осуществляется только в рабочие дни с 9-00 до 11-00 и с 13-00 до 16-00.</w:t>
            </w:r>
          </w:p>
        </w:tc>
        <w:tc>
          <w:tcPr>
            <w:tcW w:w="184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17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>
          <w:trHeight w:val="276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2.3</w:t>
            </w:r>
          </w:p>
        </w:tc>
        <w:tc>
          <w:tcPr>
            <w:tcW w:w="89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  <w:r>
              <w:rPr>
                <w:rFonts w:eastAsia="Calibri"/>
                <w:b/>
                <w:sz w:val="22"/>
              </w:rPr>
              <w:t>.</w:t>
            </w:r>
          </w:p>
        </w:tc>
        <w:tc>
          <w:tcPr>
            <w:tcW w:w="1844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559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  <w:tc>
          <w:tcPr>
            <w:tcW w:w="1700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</w:rPr>
            </w:pPr>
            <w:r>
              <w:rPr>
                <w:rFonts w:eastAsia="Calibri"/>
              </w:rPr>
            </w:r>
          </w:p>
        </w:tc>
      </w:tr>
      <w:tr>
        <w:trPr>
          <w:trHeight w:val="276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b/>
                <w:sz w:val="22"/>
              </w:rPr>
              <w:t>3.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</w:rPr>
            </w:pPr>
            <w:r>
              <w:rPr>
                <w:b/>
                <w:sz w:val="22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76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3.1</w:t>
            </w:r>
          </w:p>
        </w:tc>
        <w:tc>
          <w:tcPr>
            <w:tcW w:w="28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Calibri"/>
                <w:sz w:val="22"/>
              </w:rPr>
              <w:t>Сроки гарантии</w:t>
            </w:r>
          </w:p>
        </w:tc>
        <w:tc>
          <w:tcPr>
            <w:tcW w:w="60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Calibri"/>
                <w:sz w:val="22"/>
              </w:rPr>
              <w:t>На Продукцию устанавливается гарантийный срок, равный 36 (тридцати шести) месяцам, исчисляемый с даты ввода Продукции в эксплуатацию, но не более 48 (сорока восьми) месяцев с даты подписания Сторонами товарной накладной по форме ТОРГ-12 или Универсального передаточного документа (УПД). Установленный в отношении Продукции Гарантийный срок распространяется на все составные части и комплектующие Продукции.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  <w:tr>
        <w:trPr>
          <w:trHeight w:val="273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/>
                <w:sz w:val="22"/>
                <w:lang w:val="en-US"/>
              </w:rPr>
            </w:pPr>
            <w:r>
              <w:rPr>
                <w:rFonts w:eastAsia="Calibri"/>
                <w:b/>
                <w:sz w:val="22"/>
              </w:rPr>
              <w:t>4.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Calibri"/>
                <w:b/>
                <w:sz w:val="22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73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</w:rPr>
              <w:t>4.1</w:t>
            </w:r>
            <w:r>
              <w:rPr>
                <w:rFonts w:eastAsia="Calibri"/>
                <w:sz w:val="22"/>
                <w:lang w:val="en-US"/>
              </w:rPr>
              <w:t>.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</w:rPr>
              <w:t>Документы, передаваемые вместе с продукцией</w:t>
            </w:r>
          </w:p>
        </w:tc>
        <w:tc>
          <w:tcPr>
            <w:tcW w:w="60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900" w:leader="none"/>
                <w:tab w:val="left" w:pos="1134" w:leader="none"/>
                <w:tab w:val="left" w:pos="1276" w:leader="none"/>
              </w:tabs>
              <w:suppressAutoHyphens w:val="false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false"/>
              <w:ind w:firstLine="567" w:left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Паспорт качества в 2 экз.;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false"/>
              <w:ind w:firstLine="567" w:left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Сертификат соответствия (декларация соответствия) в 2 экз.;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false"/>
              <w:ind w:firstLine="567" w:left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Технический паспорт на русском языке в 1 экз.;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false"/>
              <w:ind w:firstLine="567" w:left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Инструкция по эксплуатации (монтажу и т.п.) на русском языке в 1 экз.;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false"/>
              <w:ind w:firstLine="567" w:left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Упаковочный лист на Продукцию в 1 экз.;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false"/>
              <w:ind w:firstLine="567" w:left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Сертификат о происхождении товара в 2 экз.;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hd w:val="clear" w:color="auto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false"/>
              <w:ind w:firstLine="567" w:left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Лицензии и т.п.) в зависимости от номенклатуры поставляемой Продукции;</w:t>
            </w:r>
          </w:p>
          <w:p>
            <w:pPr>
              <w:pStyle w:val="Normal"/>
              <w:widowControl w:val="false"/>
              <w:numPr>
                <w:ilvl w:val="0"/>
                <w:numId w:val="8"/>
              </w:numPr>
              <w:shd w:val="clear" w:color="auto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false"/>
              <w:ind w:firstLine="567" w:left="0"/>
              <w:rPr>
                <w:rFonts w:eastAsia="Calibri"/>
                <w:sz w:val="22"/>
              </w:rPr>
            </w:pPr>
            <w:r>
              <w:rPr>
                <w:rFonts w:eastAsia="Calibri"/>
                <w:sz w:val="22"/>
              </w:rPr>
              <w:t>Обязательные первичные документы: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shd w:val="clear" w:color="auto" w:fill="FFFFFF"/>
              <w:tabs>
                <w:tab w:val="clear" w:pos="708"/>
                <w:tab w:val="left" w:pos="720" w:leader="none"/>
                <w:tab w:val="left" w:pos="1134" w:leader="none"/>
                <w:tab w:val="left" w:pos="1276" w:leader="none"/>
              </w:tabs>
              <w:suppressAutoHyphens w:val="false"/>
              <w:ind w:firstLine="745" w:left="0"/>
              <w:rPr>
                <w:sz w:val="22"/>
              </w:rPr>
            </w:pPr>
            <w:r>
              <w:rPr>
                <w:sz w:val="22"/>
              </w:rPr>
              <w:t>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2 экз.;</w:t>
            </w:r>
          </w:p>
          <w:p>
            <w:pPr>
              <w:pStyle w:val="ListParagraph"/>
              <w:widowControl w:val="false"/>
              <w:numPr>
                <w:ilvl w:val="0"/>
                <w:numId w:val="7"/>
              </w:numPr>
              <w:ind w:firstLine="745" w:left="0"/>
              <w:rPr/>
            </w:pPr>
            <w:r>
              <w:rPr>
                <w:sz w:val="22"/>
              </w:rPr>
              <w:t>Товарную накладную по форме ТОРГ-12 или Универсальный передаточный документ (УПД) в 2 экз.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73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lang w:val="en-US"/>
              </w:rPr>
            </w:pPr>
            <w:r>
              <w:rPr>
                <w:rFonts w:eastAsia="Calibri"/>
                <w:b/>
                <w:sz w:val="22"/>
              </w:rPr>
              <w:t>5.</w:t>
            </w:r>
          </w:p>
        </w:tc>
        <w:tc>
          <w:tcPr>
            <w:tcW w:w="1403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2"/>
              </w:rPr>
            </w:pPr>
            <w:r>
              <w:rPr>
                <w:rFonts w:eastAsia="Calibri"/>
                <w:b/>
                <w:sz w:val="22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273" w:hRule="atLeast"/>
        </w:trPr>
        <w:tc>
          <w:tcPr>
            <w:tcW w:w="8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Calibri"/>
                <w:sz w:val="22"/>
                <w:lang w:val="en-US"/>
              </w:rPr>
              <w:t>5</w:t>
            </w:r>
            <w:r>
              <w:rPr>
                <w:rFonts w:eastAsia="Calibri"/>
                <w:sz w:val="22"/>
              </w:rPr>
              <w:t>.1</w:t>
            </w:r>
            <w:r>
              <w:rPr>
                <w:rFonts w:eastAsia="Calibri"/>
                <w:sz w:val="22"/>
                <w:lang w:val="en-US"/>
              </w:rPr>
              <w:t>.</w:t>
            </w:r>
          </w:p>
        </w:tc>
        <w:tc>
          <w:tcPr>
            <w:tcW w:w="892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eastAsia="Calibri"/>
                <w:sz w:val="22"/>
              </w:rPr>
              <w:t>Продукция должна быть новой, ранее не использовавшейся.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/>
                <w:bCs/>
                <w:sz w:val="22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Calibri"/>
                <w:bCs/>
                <w:sz w:val="22"/>
                <w:lang w:eastAsia="x-none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rFonts w:cs="Times New Roman"/>
                <w:sz w:val="22"/>
              </w:rPr>
              <w:t>Согласие с требованием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pStyle w:val="Normal"/>
        <w:jc w:val="both"/>
        <w:rPr>
          <w:rFonts w:eastAsia="Times New Roman" w:cs="Times New Roman"/>
          <w:bCs/>
          <w:spacing w:val="-6"/>
          <w:szCs w:val="24"/>
        </w:rPr>
      </w:pPr>
      <w:r>
        <w:rPr>
          <w:rFonts w:eastAsia="Times New Roman" w:cs="Times New Roman"/>
          <w:bCs/>
          <w:spacing w:val="-6"/>
          <w:szCs w:val="24"/>
        </w:rPr>
      </w:r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</w:r>
    </w:p>
    <w:p>
      <w:pPr>
        <w:pStyle w:val="Normal"/>
        <w:rPr>
          <w:rFonts w:eastAsia="Calibri"/>
          <w:b/>
          <w:szCs w:val="24"/>
          <w:lang w:eastAsia="x-none"/>
        </w:rPr>
      </w:pPr>
      <w:r>
        <w:rPr>
          <w:rFonts w:eastAsia="Calibri"/>
          <w:b/>
          <w:szCs w:val="24"/>
          <w:lang w:eastAsia="x-none"/>
        </w:rPr>
        <w:t>3. Требования к документации по ценообразованию на этапе закупки</w:t>
      </w:r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rPr>
          <w:rFonts w:eastAsia="Calibri"/>
          <w:szCs w:val="24"/>
          <w:lang w:eastAsia="x-none"/>
        </w:rPr>
      </w:pPr>
      <w:r>
        <w:rPr>
          <w:rFonts w:eastAsia="Calibri"/>
          <w:szCs w:val="24"/>
          <w:lang w:eastAsia="x-none"/>
        </w:rPr>
        <w:t>3.2. Дополнительные документы по ценообразованию в состав заявки не включаются.</w:t>
      </w:r>
    </w:p>
    <w:sectPr>
      <w:footerReference w:type="default" r:id="rId3"/>
      <w:footerReference w:type="first" r:id="rId4"/>
      <w:type w:val="nextPage"/>
      <w:pgSz w:orient="landscape" w:w="16838" w:h="11906"/>
      <w:pgMar w:left="1418" w:right="1134" w:gutter="0" w:header="0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384403551"/>
    </w:sdtPr>
    <w:sdtContent>
      <w:p>
        <w:pPr>
          <w:pStyle w:val="Footer"/>
          <w:jc w:val="center"/>
          <w:rPr>
            <w:sz w:val="22"/>
            <w:szCs w:val="24"/>
          </w:rPr>
        </w:pPr>
        <w:r>
          <w:rPr>
            <w:sz w:val="22"/>
            <w:szCs w:val="24"/>
          </w:rPr>
          <w:t xml:space="preserve">Страница </w:t>
        </w:r>
        <w:r>
          <w:rPr>
            <w:b/>
            <w:bCs/>
            <w:sz w:val="22"/>
            <w:szCs w:val="24"/>
          </w:rPr>
          <w:fldChar w:fldCharType="begin"/>
        </w:r>
        <w:r>
          <w:rPr>
            <w:sz w:val="22"/>
            <w:b/>
            <w:szCs w:val="24"/>
            <w:bCs/>
          </w:rPr>
          <w:instrText xml:space="preserve"> PAGE </w:instrText>
        </w:r>
        <w:r>
          <w:rPr>
            <w:sz w:val="22"/>
            <w:b/>
            <w:szCs w:val="24"/>
            <w:bCs/>
          </w:rPr>
          <w:fldChar w:fldCharType="separate"/>
        </w:r>
        <w:r>
          <w:rPr>
            <w:sz w:val="22"/>
            <w:b/>
            <w:szCs w:val="24"/>
            <w:bCs/>
          </w:rPr>
          <w:t>2</w:t>
        </w:r>
        <w:r>
          <w:rPr>
            <w:sz w:val="22"/>
            <w:b/>
            <w:szCs w:val="24"/>
            <w:bCs/>
          </w:rPr>
          <w:fldChar w:fldCharType="end"/>
        </w:r>
        <w:r>
          <w:rPr>
            <w:sz w:val="22"/>
            <w:szCs w:val="24"/>
          </w:rPr>
          <w:t xml:space="preserve"> из </w:t>
        </w:r>
        <w:r>
          <w:rPr>
            <w:b/>
            <w:bCs/>
            <w:sz w:val="22"/>
            <w:szCs w:val="24"/>
          </w:rPr>
          <w:fldChar w:fldCharType="begin"/>
        </w:r>
        <w:r>
          <w:rPr>
            <w:sz w:val="22"/>
            <w:b/>
            <w:szCs w:val="24"/>
            <w:bCs/>
          </w:rPr>
          <w:instrText xml:space="preserve"> NUMPAGES </w:instrText>
        </w:r>
        <w:r>
          <w:rPr>
            <w:sz w:val="22"/>
            <w:b/>
            <w:szCs w:val="24"/>
            <w:bCs/>
          </w:rPr>
          <w:fldChar w:fldCharType="separate"/>
        </w:r>
        <w:r>
          <w:rPr>
            <w:sz w:val="22"/>
            <w:b/>
            <w:szCs w:val="24"/>
            <w:bCs/>
          </w:rPr>
          <w:t>10</w:t>
        </w:r>
        <w:r>
          <w:rPr>
            <w:sz w:val="22"/>
            <w:b/>
            <w:szCs w:val="24"/>
            <w:bCs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045462223"/>
    </w:sdtPr>
    <w:sdtContent>
      <w:p>
        <w:pPr>
          <w:pStyle w:val="Footer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 xml:space="preserve">Страница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10</w:t>
        </w:r>
        <w:r>
          <w:rPr>
            <w:sz w:val="24"/>
            <w:b/>
            <w:szCs w:val="24"/>
            <w:bCs/>
          </w:rPr>
          <w:fldChar w:fldCharType="end"/>
        </w:r>
        <w:r>
          <w:rPr>
            <w:sz w:val="24"/>
            <w:szCs w:val="24"/>
          </w:rPr>
          <w:t xml:space="preserve"> из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10</w:t>
        </w:r>
        <w:r>
          <w:rPr>
            <w:sz w:val="24"/>
            <w:b/>
            <w:szCs w:val="24"/>
            <w:bCs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2"/>
      <w:numFmt w:val="bullet"/>
      <w:lvlText w:val="-"/>
      <w:lvlJc w:val="left"/>
      <w:pPr>
        <w:tabs>
          <w:tab w:val="num" w:pos="0"/>
        </w:tabs>
        <w:ind w:left="372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1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3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7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9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32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0" w:semiHidden="1" w:unhideWhenUsed="1"/>
    <w:lsdException w:name="toc 6" w:uiPriority="0" w:semiHidden="1" w:unhideWhenUsed="1"/>
    <w:lsdException w:name="toc 7" w:uiPriority="0" w:semiHidden="1" w:unhideWhenUsed="1"/>
    <w:lsdException w:name="toc 8" w:uiPriority="0" w:semiHidden="1" w:unhideWhenUsed="1"/>
    <w:lsdException w:name="toc 9" w:uiPriority="0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uiPriority="0" w:semiHidden="1" w:unhideWhenUsed="1"/>
    <w:lsdException w:name="footer" w:semiHidden="1" w:unhideWhenUsed="1"/>
    <w:lsdException w:name="index heading" w:uiPriority="0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 w:qFormat="1"/>
    <w:lsdException w:name="line number" w:semiHidden="1" w:unhideWhenUsed="1"/>
    <w:lsdException w:name="page number" w:uiPriority="0" w:semiHidden="1" w:unhideWhenUsed="1" w:qFormat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uiPriority="0" w:semiHidden="1" w:unhideWhenUsed="1" w:qFormat="1"/>
    <w:lsdException w:name="Body Text Indent 2" w:uiPriority="0" w:semiHidden="1" w:unhideWhenUsed="1" w:qFormat="1"/>
    <w:lsdException w:name="Body Text Indent 3" w:uiPriority="0" w:semiHidden="1" w:unhideWhenUsed="1" w:qFormat="1"/>
    <w:lsdException w:name="Block Text" w:uiPriority="0" w:semiHidden="1" w:unhideWhenUsed="1" w:qFormat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c3a9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9c3b1a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cd6e45"/>
    <w:pPr>
      <w:tabs>
        <w:tab w:val="clear" w:pos="0"/>
        <w:tab w:val="clear" w:pos="709"/>
      </w:tabs>
      <w:ind w:hanging="432" w:left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9a70a1"/>
    <w:pPr>
      <w:keepNext w:val="true"/>
      <w:tabs>
        <w:tab w:val="clear" w:pos="708"/>
        <w:tab w:val="left" w:pos="0" w:leader="none"/>
        <w:tab w:val="left" w:pos="709" w:leader="none"/>
      </w:tabs>
      <w:outlineLvl w:val="2"/>
    </w:pPr>
    <w:rPr>
      <w:rFonts w:eastAsia="Calibri"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9c3b1a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cd6e45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cd6e45"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cd6e45"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cd6e45"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cd6e45"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9c3b1a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9a70a1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9c3b1a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sid w:val="009c3b1a"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sid w:val="00cd6e45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cd6e45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cd6e45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cd6e45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cd6e45"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cd6e45"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sid w:val="00cd6e4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uiPriority w:val="99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cd6e45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cd6e45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cd6e45"/>
    <w:rPr/>
  </w:style>
  <w:style w:type="character" w:styleId="11" w:customStyle="1">
    <w:name w:val="Гиперссылка1"/>
    <w:qFormat/>
    <w:rsid w:val="00cd6e45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semiHidden/>
    <w:qFormat/>
    <w:rsid w:val="00cd6e45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sid w:val="00cd6e45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sid w:val="00cd6e45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 w:customStyle="1">
    <w:name w:val="Strong1"/>
    <w:uiPriority w:val="22"/>
    <w:qFormat/>
    <w:rsid w:val="00cd6e45"/>
    <w:rPr>
      <w:b/>
      <w:bCs/>
    </w:rPr>
  </w:style>
  <w:style w:type="character" w:styleId="Style10" w:customStyle="1">
    <w:name w:val="Название Знак"/>
    <w:link w:val="17"/>
    <w:uiPriority w:val="10"/>
    <w:qFormat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uiPriority w:val="11"/>
    <w:qFormat/>
    <w:rsid w:val="00cd6e45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cd6e45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cd6e45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uiPriority w:val="30"/>
    <w:qFormat/>
    <w:rsid w:val="00cd6e45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cd6e45"/>
    <w:rPr>
      <w:i/>
      <w:iCs/>
      <w:color w:val="808080"/>
    </w:rPr>
  </w:style>
  <w:style w:type="character" w:styleId="IntenseEmphasis">
    <w:name w:val="Intense Emphasis"/>
    <w:uiPriority w:val="21"/>
    <w:qFormat/>
    <w:rsid w:val="00cd6e45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cd6e45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cd6e45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cd6e45"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uiPriority w:val="99"/>
    <w:qFormat/>
    <w:rsid w:val="00cd6e45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2" w:customStyle="1">
    <w:name w:val="Подпункт Знак1"/>
    <w:link w:val="Style27"/>
    <w:qFormat/>
    <w:locked/>
    <w:rsid w:val="00cd6e45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cd6e45"/>
    <w:rPr/>
  </w:style>
  <w:style w:type="character" w:styleId="Style14" w:customStyle="1">
    <w:name w:val="Абзац списка Знак"/>
    <w:link w:val="ListParagraph"/>
    <w:uiPriority w:val="34"/>
    <w:qFormat/>
    <w:locked/>
    <w:rsid w:val="00cd6e45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4"/>
    <w:qFormat/>
    <w:locked/>
    <w:rsid w:val="00cd6e45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cd6e45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cd6e4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cd6e45"/>
    <w:rPr>
      <w:vertAlign w:val="superscript"/>
    </w:rPr>
  </w:style>
  <w:style w:type="character" w:styleId="24" w:customStyle="1">
    <w:name w:val="Пункт2 Знак"/>
    <w:link w:val="26"/>
    <w:qFormat/>
    <w:rsid w:val="00cd6e45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3" w:customStyle="1">
    <w:name w:val="УРОВЕНЬ_1. Знак"/>
    <w:link w:val="111"/>
    <w:qFormat/>
    <w:rsid w:val="00cd6e45"/>
    <w:rPr>
      <w:rFonts w:ascii="Times New Roman" w:hAnsi="Times New Roman" w:eastAsia="Calibri" w:cs="Times New Roman"/>
      <w:caps/>
      <w:sz w:val="28"/>
      <w:szCs w:val="28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d6e45"/>
    <w:rPr>
      <w:color w:val="605E5C"/>
      <w:shd w:fill="E1DFDD" w:val="clear"/>
    </w:rPr>
  </w:style>
  <w:style w:type="character" w:styleId="FontStyle16" w:customStyle="1">
    <w:name w:val="Font Style16"/>
    <w:qFormat/>
    <w:rsid w:val="00cd6e45"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sid w:val="00682709"/>
    <w:rPr/>
  </w:style>
  <w:style w:type="character" w:styleId="Value" w:customStyle="1">
    <w:name w:val="value"/>
    <w:qFormat/>
    <w:rsid w:val="00682709"/>
    <w:rPr/>
  </w:style>
  <w:style w:type="character" w:styleId="Style18" w:customStyle="1">
    <w:name w:val="Текст Знак"/>
    <w:basedOn w:val="DefaultParagraphFont"/>
    <w:link w:val="PlainText"/>
    <w:uiPriority w:val="99"/>
    <w:qFormat/>
    <w:rsid w:val="00003389"/>
    <w:rPr>
      <w:rFonts w:ascii="Calibri" w:hAnsi="Calibri" w:eastAsia="Calibri" w:cs="Times New Roman"/>
      <w:szCs w:val="21"/>
      <w:lang w:val="x-none"/>
    </w:rPr>
  </w:style>
  <w:style w:type="character" w:styleId="Name" w:customStyle="1">
    <w:name w:val="name"/>
    <w:qFormat/>
    <w:rsid w:val="00003389"/>
    <w:rPr/>
  </w:style>
  <w:style w:type="character" w:styleId="Extended-textshort" w:customStyle="1">
    <w:name w:val="extended-text__short"/>
    <w:qFormat/>
    <w:rsid w:val="00003389"/>
    <w:rPr/>
  </w:style>
  <w:style w:type="character" w:styleId="15" w:customStyle="1">
    <w:name w:val="Просмотренная гиперссылка1"/>
    <w:qFormat/>
    <w:rsid w:val="00003389"/>
    <w:rPr>
      <w:color w:val="800080"/>
      <w:u w:val="single"/>
    </w:rPr>
  </w:style>
  <w:style w:type="character" w:styleId="Productcode" w:customStyle="1">
    <w:name w:val="product_code"/>
    <w:qFormat/>
    <w:rsid w:val="00003389"/>
    <w:rPr/>
  </w:style>
  <w:style w:type="character" w:styleId="Add-data-value" w:customStyle="1">
    <w:name w:val="add-data-value"/>
    <w:basedOn w:val="DefaultParagraphFont"/>
    <w:qFormat/>
    <w:rsid w:val="00003389"/>
    <w:rPr/>
  </w:style>
  <w:style w:type="character" w:styleId="Extendedtext-short" w:customStyle="1">
    <w:name w:val="extendedtext-short"/>
    <w:qFormat/>
    <w:rsid w:val="00003389"/>
    <w:rPr/>
  </w:style>
  <w:style w:type="character" w:styleId="Style19" w:customStyle="1">
    <w:name w:val="Символ нумерации"/>
    <w:qFormat/>
    <w:rPr/>
  </w:style>
  <w:style w:type="character" w:styleId="Strong2" w:customStyle="1">
    <w:name w:val="Strong2"/>
    <w:qFormat/>
    <w:rPr>
      <w:b/>
      <w:bCs/>
    </w:rPr>
  </w:style>
  <w:style w:type="character" w:styleId="Strong">
    <w:name w:val="Strong"/>
    <w:uiPriority w:val="22"/>
    <w:qFormat/>
    <w:rPr>
      <w:b/>
      <w:bCs/>
    </w:rPr>
  </w:style>
  <w:style w:type="character" w:styleId="Docdata" w:customStyle="1">
    <w:name w:val="docdata"/>
    <w:basedOn w:val="DefaultParagraphFont"/>
    <w:qFormat/>
    <w:rsid w:val="00b14d2a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cd6e45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next w:val="Normal"/>
    <w:uiPriority w:val="35"/>
    <w:qFormat/>
    <w:rsid w:val="00cd6e45"/>
    <w:pPr/>
    <w:rPr>
      <w:rFonts w:eastAsia="Calibri" w:cs="Times New Roman"/>
      <w:b/>
      <w:bCs/>
      <w:color w:val="4F81BD"/>
      <w:sz w:val="18"/>
      <w:szCs w:val="18"/>
      <w:lang w:eastAsia="ru-RU"/>
    </w:rPr>
  </w:style>
  <w:style w:type="paragraph" w:styleId="Indexheading11" w:customStyle="1">
    <w:name w:val="index heading11"/>
    <w:basedOn w:val="Title"/>
    <w:qFormat/>
    <w:pPr/>
    <w:rPr/>
  </w:style>
  <w:style w:type="paragraph" w:styleId="Style22" w:customStyle="1">
    <w:name w:val="Раздел положения"/>
    <w:basedOn w:val="Normal"/>
    <w:autoRedefine/>
    <w:qFormat/>
    <w:rsid w:val="00734d42"/>
    <w:pPr>
      <w:numPr>
        <w:ilvl w:val="0"/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3" w:customStyle="1">
    <w:name w:val="Подраздел раздела положения"/>
    <w:basedOn w:val="Normal"/>
    <w:autoRedefine/>
    <w:qFormat/>
    <w:rsid w:val="00734d42"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4" w:customStyle="1">
    <w:name w:val="Таблица шапка"/>
    <w:basedOn w:val="Normal"/>
    <w:qFormat/>
    <w:rsid w:val="00cd6e45"/>
    <w:pPr>
      <w:keepNext w:val="true"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styleId="Style25" w:customStyle="1">
    <w:name w:val="Название раздела инструкции"/>
    <w:basedOn w:val="Normal"/>
    <w:autoRedefine/>
    <w:qFormat/>
    <w:rsid w:val="00cd6e45"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uiPriority w:val="99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16" w:customStyle="1">
    <w:name w:val="Шапка 1"/>
    <w:basedOn w:val="Normal"/>
    <w:qFormat/>
    <w:rsid w:val="00cd6e45"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rsid w:val="00cd6e45"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rsid w:val="00cd6e45"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7" w:customStyle="1">
    <w:name w:val="Название1"/>
    <w:basedOn w:val="Normal"/>
    <w:link w:val="Style10"/>
    <w:uiPriority w:val="10"/>
    <w:qFormat/>
    <w:rsid w:val="00cd6e45"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rsid w:val="00cd6e45"/>
    <w:pPr>
      <w:ind w:left="36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uiPriority w:val="99"/>
    <w:rsid w:val="00cd6e45"/>
    <w:pPr>
      <w:tabs>
        <w:tab w:val="clear" w:pos="708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cd6e45"/>
    <w:pPr>
      <w:spacing w:lineRule="auto" w:line="480" w:before="0" w:after="120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cd6e45"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cd6e45"/>
    <w:pPr>
      <w:spacing w:before="0"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cd6e45"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cd6e45"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7" w:customStyle="1">
    <w:name w:val="Подпункт"/>
    <w:basedOn w:val="Normal"/>
    <w:link w:val="12"/>
    <w:qFormat/>
    <w:rsid w:val="00cd6e45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rsid w:val="00cd6e45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cd6e45"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rsid w:val="00cd6e45"/>
    <w:pPr>
      <w:ind w:left="280"/>
    </w:pPr>
    <w:rPr>
      <w:rFonts w:eastAsia="Times New Roman" w:cs="Calibri" w:cstheme="minorHAnsi"/>
      <w:sz w:val="20"/>
      <w:szCs w:val="20"/>
      <w:lang w:eastAsia="ru-RU"/>
    </w:rPr>
  </w:style>
  <w:style w:type="paragraph" w:styleId="Style28" w:customStyle="1">
    <w:name w:val="Раздел регламента"/>
    <w:basedOn w:val="Normal"/>
    <w:qFormat/>
    <w:rsid w:val="00cd6e45"/>
    <w:pPr/>
    <w:rPr>
      <w:rFonts w:eastAsia="Times New Roman" w:cs="Times New Roman"/>
      <w:sz w:val="28"/>
      <w:szCs w:val="28"/>
      <w:lang w:eastAsia="ru-RU"/>
    </w:rPr>
  </w:style>
  <w:style w:type="paragraph" w:styleId="Style29" w:customStyle="1">
    <w:name w:val="Приложение к регламенту"/>
    <w:basedOn w:val="Normal"/>
    <w:qFormat/>
    <w:rsid w:val="00cd6e45"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uiPriority w:val="39"/>
    <w:rsid w:val="00cd6e45"/>
    <w:pPr>
      <w:spacing w:before="240" w:after="0"/>
    </w:pPr>
    <w:rPr>
      <w:rFonts w:eastAsia="Times New Roman" w:cs="Calibri" w:cstheme="minorHAns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semiHidden/>
    <w:qFormat/>
    <w:rsid w:val="00cd6e45"/>
    <w:pPr/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rsid w:val="00cd6e45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cd6e45"/>
    <w:pPr>
      <w:spacing w:beforeAutospacing="1" w:afterAutospacing="1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semiHidden/>
    <w:rsid w:val="00cd6e45"/>
    <w:pPr>
      <w:ind w:left="196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semiHidden/>
    <w:rsid w:val="00cd6e45"/>
    <w:pPr>
      <w:ind w:left="84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cd6e45"/>
    <w:pPr>
      <w:ind w:left="560"/>
    </w:pPr>
    <w:rPr>
      <w:rFonts w:eastAsia="Times New Roman" w:cs="Calibri" w:cstheme="minorHAns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rsid w:val="00cd6e45"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30" w:customStyle="1">
    <w:name w:val="Знак Знак Знак Знак Знак Знак Знак Знак Знак"/>
    <w:basedOn w:val="Normal"/>
    <w:qFormat/>
    <w:rsid w:val="004900e5"/>
    <w:pPr>
      <w:spacing w:lineRule="exact" w:line="240" w:before="0" w:after="160"/>
      <w:jc w:val="both"/>
    </w:pPr>
    <w:rPr>
      <w:rFonts w:ascii="Verdana" w:hAnsi="Verdana" w:eastAsia="Times New Roman" w:cs="Times New Roman"/>
      <w:sz w:val="22"/>
      <w:szCs w:val="20"/>
      <w:lang w:val="en-US"/>
    </w:rPr>
  </w:style>
  <w:style w:type="paragraph" w:styleId="NoSpacing">
    <w:name w:val="No Spacing"/>
    <w:basedOn w:val="Normal"/>
    <w:uiPriority w:val="1"/>
    <w:qFormat/>
    <w:rsid w:val="00cd6e45"/>
    <w:pPr>
      <w:spacing w:lineRule="auto" w:line="360"/>
    </w:pPr>
    <w:rPr>
      <w:rFonts w:eastAsia="Calibri"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uiPriority w:val="11"/>
    <w:qFormat/>
    <w:rsid w:val="00cd6e45"/>
    <w:pPr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uiPriority w:val="99"/>
    <w:qFormat/>
    <w:rsid w:val="00cd6e45"/>
    <w:pPr>
      <w:spacing w:before="0" w:after="0"/>
      <w:ind w:left="720"/>
      <w:contextualSpacing/>
    </w:pPr>
    <w:rPr>
      <w:rFonts w:eastAsia="Calibri" w:cs="Times New Roman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cd6e45"/>
    <w:pPr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uiPriority w:val="30"/>
    <w:qFormat/>
    <w:rsid w:val="00cd6e45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0"/>
    <w:pPr/>
    <w:rPr/>
  </w:style>
  <w:style w:type="paragraph" w:styleId="TOCHeading">
    <w:name w:val="TOC Heading"/>
    <w:basedOn w:val="Heading1"/>
    <w:next w:val="Normal"/>
    <w:uiPriority w:val="39"/>
    <w:qFormat/>
    <w:rsid w:val="00cd6e45"/>
    <w:pPr>
      <w:keepLines/>
      <w:tabs>
        <w:tab w:val="clear" w:pos="0"/>
        <w:tab w:val="left" w:pos="709" w:leader="none"/>
      </w:tabs>
      <w:spacing w:before="480" w:after="0"/>
      <w:ind w:hanging="360" w:left="3196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uiPriority w:val="99"/>
    <w:unhideWhenUsed/>
    <w:qFormat/>
    <w:rsid w:val="00cd6e45"/>
    <w:pPr/>
    <w:rPr>
      <w:rFonts w:eastAsia="Calibri" w:cs="Times New Roman"/>
      <w:szCs w:val="24"/>
      <w:lang w:val="x-none" w:eastAsia="x-none"/>
    </w:rPr>
  </w:style>
  <w:style w:type="paragraph" w:styleId="Style31" w:customStyle="1">
    <w:name w:val="Знак"/>
    <w:basedOn w:val="Normal"/>
    <w:qFormat/>
    <w:rsid w:val="00cd6e45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cd6e45"/>
    <w:pPr>
      <w:numPr>
        <w:ilvl w:val="2"/>
        <w:numId w:val="3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rsid w:val="00cd6e45"/>
    <w:pPr>
      <w:numPr>
        <w:ilvl w:val="0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rsid w:val="00cd6e45"/>
    <w:pPr>
      <w:numPr>
        <w:ilvl w:val="1"/>
        <w:numId w:val="3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uiPriority w:val="99"/>
    <w:semiHidden/>
    <w:qFormat/>
    <w:rsid w:val="00cd6e45"/>
    <w:pPr>
      <w:widowControl/>
      <w:suppressAutoHyphens w:val="true"/>
      <w:bidi w:val="0"/>
      <w:spacing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4"/>
      <w:szCs w:val="24"/>
      <w:lang w:eastAsia="ru-RU" w:val="ru-RU" w:bidi="ar-SA"/>
    </w:rPr>
  </w:style>
  <w:style w:type="paragraph" w:styleId="ConsPlusNormal" w:customStyle="1">
    <w:name w:val="ConsPlusNormal"/>
    <w:qFormat/>
    <w:rsid w:val="00cd6e45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36" w:customStyle="1">
    <w:name w:val="Знак Знак3 Знак Знак"/>
    <w:basedOn w:val="Normal"/>
    <w:qFormat/>
    <w:rsid w:val="00cd6e45"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2" w:customStyle="1">
    <w:name w:val="Пункт"/>
    <w:basedOn w:val="Normal"/>
    <w:qFormat/>
    <w:rsid w:val="00cd6e45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9" w:customStyle="1">
    <w:name w:val="Абзац списка1"/>
    <w:basedOn w:val="Normal"/>
    <w:qFormat/>
    <w:rsid w:val="00cd6e45"/>
    <w:pPr>
      <w:spacing w:lineRule="auto" w:line="276" w:before="0" w:after="200"/>
      <w:ind w:left="720"/>
      <w:contextualSpacing/>
    </w:pPr>
    <w:rPr>
      <w:rFonts w:ascii="Calibri" w:hAnsi="Calibri" w:eastAsia="Times New Roman" w:cs="Times New Roman"/>
      <w:sz w:val="22"/>
    </w:rPr>
  </w:style>
  <w:style w:type="paragraph" w:styleId="Style33" w:customStyle="1">
    <w:name w:val="Таблица"/>
    <w:basedOn w:val="Normal"/>
    <w:qFormat/>
    <w:rsid w:val="00cd6e45"/>
    <w:pPr>
      <w:keepNext w:val="true"/>
      <w:spacing w:before="60" w:after="60"/>
      <w:jc w:val="center"/>
    </w:pPr>
    <w:rPr>
      <w:rFonts w:eastAsia="Calibri" w:cs="Times New Roman"/>
      <w:b/>
      <w:szCs w:val="24"/>
      <w:lang w:val="x-none" w:eastAsia="x-none"/>
    </w:rPr>
  </w:style>
  <w:style w:type="paragraph" w:styleId="Style34" w:customStyle="1">
    <w:name w:val="Подподпункт"/>
    <w:basedOn w:val="Style27"/>
    <w:link w:val="Style15"/>
    <w:qFormat/>
    <w:rsid w:val="00cd6e45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5" w:customStyle="1">
    <w:name w:val="УРОВЕНЬ_(а)"/>
    <w:basedOn w:val="ListParagraph"/>
    <w:qFormat/>
    <w:rsid w:val="00cd6e45"/>
    <w:pPr>
      <w:numPr>
        <w:ilvl w:val="3"/>
        <w:numId w:val="4"/>
      </w:numPr>
      <w:spacing w:lineRule="exact" w:line="360" w:before="120" w:after="0"/>
      <w:ind w:hanging="648" w:left="1728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cd6e45"/>
    <w:pPr>
      <w:numPr>
        <w:ilvl w:val="4"/>
        <w:numId w:val="4"/>
      </w:numPr>
      <w:spacing w:lineRule="exact" w:line="360" w:before="120" w:after="0"/>
      <w:ind w:hanging="792" w:left="2232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cd6e45"/>
    <w:pPr>
      <w:numPr>
        <w:ilvl w:val="6"/>
        <w:numId w:val="4"/>
      </w:numPr>
      <w:spacing w:lineRule="exact" w:line="360" w:before="120" w:after="0"/>
      <w:ind w:hanging="1080" w:left="324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cd6e45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6" w:customStyle="1">
    <w:name w:val="УРОВЕНЬ_Подпись"/>
    <w:basedOn w:val="ListParagraph"/>
    <w:qFormat/>
    <w:rsid w:val="00cd6e45"/>
    <w:pPr>
      <w:keepNext w:val="true"/>
      <w:numPr>
        <w:ilvl w:val="5"/>
        <w:numId w:val="4"/>
      </w:numPr>
      <w:spacing w:lineRule="exact" w:line="360" w:before="120" w:after="120"/>
      <w:ind w:hanging="936" w:left="2736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Heading1"/>
    <w:qFormat/>
    <w:rsid w:val="00cd6e45"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cd6e45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rsid w:val="00cd6e45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7" w:customStyle="1">
    <w:name w:val="Таблица текст"/>
    <w:basedOn w:val="Normal"/>
    <w:qFormat/>
    <w:rsid w:val="00cd6e45"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cd6e45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111" w:customStyle="1">
    <w:name w:val="УРОВЕНЬ_1."/>
    <w:basedOn w:val="ListParagraph"/>
    <w:link w:val="13"/>
    <w:qFormat/>
    <w:rsid w:val="00cd6e45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cd6e45"/>
    <w:pPr>
      <w:ind w:left="112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unhideWhenUsed/>
    <w:rsid w:val="00cd6e45"/>
    <w:pPr>
      <w:ind w:left="140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unhideWhenUsed/>
    <w:rsid w:val="00cd6e45"/>
    <w:pPr>
      <w:ind w:left="1680"/>
    </w:pPr>
    <w:rPr>
      <w:rFonts w:ascii="Calibri" w:hAnsi="Calibri" w:eastAsia="Times New Roman" w:cs="Calibri" w:asciiTheme="minorHAnsi" w:cstheme="minorHAnsi" w:hAnsiTheme="minorHAnsi"/>
      <w:sz w:val="20"/>
      <w:szCs w:val="20"/>
      <w:lang w:eastAsia="ru-RU"/>
    </w:rPr>
  </w:style>
  <w:style w:type="paragraph" w:styleId="Style38" w:customStyle="1">
    <w:name w:val="Знак Знак Знак Знак"/>
    <w:basedOn w:val="Normal"/>
    <w:qFormat/>
    <w:rsid w:val="00e82248"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rsid w:val="00cd6e45"/>
    <w:pPr>
      <w:keepNext w:val="true"/>
      <w:keepLines/>
      <w:tabs>
        <w:tab w:val="clear" w:pos="708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rsid w:val="00cd6e45"/>
    <w:pPr>
      <w:tabs>
        <w:tab w:val="clear" w:pos="708"/>
        <w:tab w:val="left" w:pos="1391" w:leader="none"/>
      </w:tabs>
      <w:ind w:hanging="851" w:left="1391"/>
    </w:pPr>
    <w:rPr>
      <w:rFonts w:eastAsia="Times New Roman" w:cs="Times New Roman"/>
      <w:szCs w:val="28"/>
      <w:lang w:eastAsia="ru-RU"/>
    </w:rPr>
  </w:style>
  <w:style w:type="paragraph" w:styleId="112" w:customStyle="1">
    <w:name w:val="Обычный1"/>
    <w:qFormat/>
    <w:rsid w:val="00cd6e45"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tyle39" w:customStyle="1">
    <w:name w:val="Пункт договора"/>
    <w:basedOn w:val="Normal"/>
    <w:qFormat/>
    <w:rsid w:val="00cd6e45"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40" w:customStyle="1">
    <w:name w:val="Подпункт договора"/>
    <w:basedOn w:val="Normal"/>
    <w:qFormat/>
    <w:rsid w:val="00cd6e45"/>
    <w:pPr>
      <w:tabs>
        <w:tab w:val="clear" w:pos="708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rsid w:val="00cd6e45"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1" w:customStyle="1">
    <w:name w:val="Обычный+ без отступа"/>
    <w:basedOn w:val="Normal"/>
    <w:uiPriority w:val="99"/>
    <w:qFormat/>
    <w:rsid w:val="00cd6e45"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211" w:customStyle="1">
    <w:name w:val="Обычный2"/>
    <w:qFormat/>
    <w:rsid w:val="00003389"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PlainText">
    <w:name w:val="Plain Text"/>
    <w:basedOn w:val="Normal"/>
    <w:link w:val="Style18"/>
    <w:uiPriority w:val="99"/>
    <w:unhideWhenUsed/>
    <w:qFormat/>
    <w:rsid w:val="00003389"/>
    <w:pPr/>
    <w:rPr>
      <w:rFonts w:ascii="Calibri" w:hAnsi="Calibri" w:eastAsia="Calibri" w:cs="Times New Roman"/>
      <w:sz w:val="22"/>
      <w:szCs w:val="21"/>
      <w:lang w:val="x-none"/>
    </w:rPr>
  </w:style>
  <w:style w:type="paragraph" w:styleId="Txt1" w:customStyle="1">
    <w:name w:val="txt1"/>
    <w:basedOn w:val="Normal"/>
    <w:qFormat/>
    <w:rsid w:val="00003389"/>
    <w:pPr/>
    <w:rPr>
      <w:rFonts w:ascii="Calibri" w:hAnsi="Calibri" w:eastAsia="Times New Roman" w:cs="Times New Roman"/>
      <w:szCs w:val="24"/>
      <w:lang w:eastAsia="ru-RU"/>
    </w:rPr>
  </w:style>
  <w:style w:type="paragraph" w:styleId="Formattext" w:customStyle="1">
    <w:name w:val="formattext"/>
    <w:basedOn w:val="Normal"/>
    <w:qFormat/>
    <w:rsid w:val="00003389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38" w:customStyle="1">
    <w:name w:val="Обычный3"/>
    <w:qFormat/>
    <w:rsid w:val="004900e5"/>
    <w:pPr>
      <w:widowControl w:val="false"/>
      <w:suppressAutoHyphens w:val="true"/>
      <w:bidi w:val="0"/>
      <w:spacing w:lineRule="auto" w:line="300" w:before="0" w:after="0"/>
      <w:ind w:left="60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tyle42" w:customStyle="1">
    <w:name w:val="Содержимое таблицы"/>
    <w:basedOn w:val="Normal"/>
    <w:uiPriority w:val="1"/>
    <w:qFormat/>
    <w:pPr>
      <w:widowControl w:val="false"/>
      <w:suppressLineNumbers/>
    </w:pPr>
    <w:rPr/>
  </w:style>
  <w:style w:type="paragraph" w:styleId="Style43" w:customStyle="1">
    <w:name w:val="Заголовок таблицы"/>
    <w:basedOn w:val="Style42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paragraph" w:styleId="41" w:customStyle="1">
    <w:name w:val="Обычный4"/>
    <w:qFormat/>
    <w:rsid w:val="00947615"/>
    <w:pPr>
      <w:widowControl/>
      <w:pBdr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2"/>
      <w:lang w:val="ru-RU" w:eastAsia="en-US" w:bidi="ar-SA"/>
    </w:rPr>
  </w:style>
  <w:style w:type="paragraph" w:styleId="1706" w:customStyle="1">
    <w:name w:val="1706"/>
    <w:basedOn w:val="Normal"/>
    <w:qFormat/>
    <w:rsid w:val="00b14d2a"/>
    <w:pPr>
      <w:suppressAutoHyphens w:val="false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1246" w:customStyle="1">
    <w:name w:val="1246"/>
    <w:basedOn w:val="Normal"/>
    <w:qFormat/>
    <w:rsid w:val="00b14d2a"/>
    <w:pPr>
      <w:suppressAutoHyphens w:val="false"/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Style4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cd6e45"/>
  </w:style>
  <w:style w:type="numbering" w:styleId="212" w:customStyle="1">
    <w:name w:val="Стиль2"/>
    <w:uiPriority w:val="99"/>
    <w:qFormat/>
    <w:rsid w:val="00cd6e45"/>
  </w:style>
  <w:style w:type="numbering" w:styleId="114" w:customStyle="1">
    <w:name w:val="Нет списка1"/>
    <w:semiHidden/>
    <w:qFormat/>
    <w:rsid w:val="00cd6e45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">
    <w:name w:val="Table Grid"/>
    <w:basedOn w:val="a5"/>
    <w:rsid w:val="009c3b1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0">
    <w:name w:val="Сетка таблицы1"/>
    <w:basedOn w:val="a5"/>
    <w:uiPriority w:val="39"/>
    <w:rsid w:val="00cd6e45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635BA5F-E209-4579-A096-A9E76DAD7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AlterOffice/2026.2.0.0$Linux_X86_64 LibreOffice_project/bc4ef1adf80b36c7a6365f8ed6cbf29021361edd</Application>
  <AppVersion>15.0000</AppVersion>
  <Pages>10</Pages>
  <Words>1528</Words>
  <Characters>10176</Characters>
  <CharactersWithSpaces>11299</CharactersWithSpaces>
  <Paragraphs>403</Paragraphs>
  <Company>RusHydro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2026-09-25T08:32:00Z</dcterms:created>
  <dc:creator>Кочетов Сергей Владимирович</dc:creator>
  <dc:description/>
  <dc:language>ru-RU</dc:language>
  <cp:lastModifiedBy>duguzhevem@corp.gidroogk.com</cp:lastModifiedBy>
  <cp:lastPrinted>2023-05-16T09:29:00Z</cp:lastPrinted>
  <dcterms:modified xsi:type="dcterms:W3CDTF">2026-09-25T11:36:42Z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