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ind w:hanging="0" w:left="0"/>
        <w:outlineLvl w:val="0"/>
        <w:rPr>
          <w:sz w:val="22"/>
          <w:szCs w:val="22"/>
        </w:rPr>
      </w:pPr>
      <w:r>
        <w:rPr>
          <w:sz w:val="22"/>
          <w:szCs w:val="22"/>
        </w:rPr>
        <w:t>Договор поставки № _________________</w:t>
      </w:r>
    </w:p>
    <w:p>
      <w:pPr>
        <w:pStyle w:val="Title"/>
        <w:numPr>
          <w:ilvl w:val="0"/>
          <w:numId w:val="0"/>
        </w:numPr>
        <w:ind w:firstLine="567" w:left="0"/>
        <w:outlineLvl w:val="0"/>
        <w:rPr>
          <w:sz w:val="22"/>
          <w:szCs w:val="22"/>
        </w:rPr>
      </w:pPr>
      <w:r>
        <w:rPr>
          <w:sz w:val="22"/>
          <w:szCs w:val="22"/>
        </w:rPr>
      </w:r>
    </w:p>
    <w:p>
      <w:pPr>
        <w:pStyle w:val="Normal"/>
        <w:shd w:val="clear" w:color="auto" w:fill="FFFFFF"/>
        <w:rPr>
          <w:sz w:val="22"/>
          <w:szCs w:val="22"/>
        </w:rPr>
      </w:pPr>
      <w:r>
        <w:rPr>
          <w:sz w:val="22"/>
          <w:szCs w:val="22"/>
        </w:rPr>
        <w:t>г. Волжский</w:t>
        <w:tab/>
        <w:tab/>
        <w:tab/>
        <w:tab/>
        <w:tab/>
        <w:tab/>
        <w:t xml:space="preserve">                            «____» ________________ 2026 г.</w:t>
      </w:r>
    </w:p>
    <w:p>
      <w:pPr>
        <w:pStyle w:val="Normal"/>
        <w:shd w:val="clear" w:color="auto" w:fill="FFFFFF"/>
        <w:ind w:firstLine="567"/>
        <w:jc w:val="both"/>
        <w:rPr>
          <w:sz w:val="22"/>
          <w:szCs w:val="22"/>
        </w:rPr>
      </w:pPr>
      <w:r>
        <w:rPr>
          <w:sz w:val="22"/>
          <w:szCs w:val="22"/>
        </w:rPr>
      </w:r>
    </w:p>
    <w:p>
      <w:pPr>
        <w:pStyle w:val="Normal"/>
        <w:ind w:firstLine="567"/>
        <w:jc w:val="both"/>
        <w:rPr>
          <w:sz w:val="22"/>
          <w:szCs w:val="22"/>
        </w:rPr>
      </w:pPr>
      <w:r>
        <w:rPr>
          <w:b/>
          <w:sz w:val="22"/>
          <w:szCs w:val="22"/>
        </w:rPr>
        <w:t xml:space="preserve">Акционерное общество «Гидроремонт-ВКК» (АО «Гидроремонт-ВКК»), </w:t>
      </w:r>
      <w:r>
        <w:rPr>
          <w:sz w:val="22"/>
          <w:szCs w:val="22"/>
        </w:rPr>
        <w:t>именуемое в дальнейшем «</w:t>
      </w:r>
      <w:r>
        <w:rPr>
          <w:b/>
          <w:sz w:val="22"/>
          <w:szCs w:val="22"/>
        </w:rPr>
        <w:t>Покупатель</w:t>
      </w:r>
      <w:r>
        <w:rPr>
          <w:sz w:val="22"/>
          <w:szCs w:val="22"/>
        </w:rPr>
        <w:t>», в лице ____________________________________, действующего на основании ____________________, с одной стороны, и</w:t>
      </w:r>
    </w:p>
    <w:p>
      <w:pPr>
        <w:pStyle w:val="Normal"/>
        <w:tabs>
          <w:tab w:val="clear" w:pos="720"/>
          <w:tab w:val="left" w:pos="993" w:leader="none"/>
        </w:tabs>
        <w:spacing w:before="0" w:after="0"/>
        <w:ind w:firstLine="567"/>
        <w:contextualSpacing/>
        <w:jc w:val="both"/>
        <w:rPr>
          <w:sz w:val="22"/>
          <w:szCs w:val="22"/>
        </w:rPr>
      </w:pPr>
      <w:r>
        <w:rPr>
          <w:b/>
          <w:sz w:val="22"/>
          <w:szCs w:val="22"/>
        </w:rPr>
        <w:t xml:space="preserve">__________________________, </w:t>
      </w:r>
      <w:r>
        <w:rPr>
          <w:sz w:val="22"/>
          <w:szCs w:val="22"/>
        </w:rPr>
        <w:t>именуемое в дальнейшем</w:t>
      </w:r>
      <w:r>
        <w:rPr>
          <w:b/>
          <w:sz w:val="22"/>
          <w:szCs w:val="22"/>
        </w:rPr>
        <w:t xml:space="preserve"> «Поставщик», </w:t>
      </w:r>
      <w:r>
        <w:rPr>
          <w:sz w:val="22"/>
          <w:szCs w:val="22"/>
        </w:rPr>
        <w:t xml:space="preserve">в лице __________________, действующего на основании ______________,  </w:t>
      </w:r>
    </w:p>
    <w:p>
      <w:pPr>
        <w:pStyle w:val="Normal"/>
        <w:tabs>
          <w:tab w:val="clear" w:pos="720"/>
          <w:tab w:val="left" w:pos="567" w:leader="none"/>
        </w:tabs>
        <w:ind w:firstLine="567"/>
        <w:jc w:val="both"/>
        <w:rPr>
          <w:sz w:val="22"/>
          <w:szCs w:val="22"/>
        </w:rPr>
      </w:pPr>
      <w:r>
        <w:rPr>
          <w:sz w:val="22"/>
          <w:szCs w:val="22"/>
        </w:rPr>
        <w:t xml:space="preserve">совместно в дальнейшем именуемые «Стороны», а по отдельности – «Сторона», по результатам проведенной закупочной процедуры способом </w:t>
      </w:r>
      <w:r>
        <w:rPr>
          <w:sz w:val="22"/>
          <w:szCs w:val="22"/>
        </w:rPr>
        <w:t>____________________</w:t>
      </w:r>
      <w:r>
        <w:rPr>
          <w:sz w:val="22"/>
          <w:szCs w:val="22"/>
        </w:rPr>
        <w:t>, по лоту № 001</w:t>
      </w:r>
      <w:r>
        <w:rPr>
          <w:sz w:val="22"/>
          <w:szCs w:val="22"/>
        </w:rPr>
        <w:t>3</w:t>
      </w:r>
      <w:r>
        <w:rPr>
          <w:sz w:val="22"/>
          <w:szCs w:val="22"/>
        </w:rPr>
        <w:t>-ЭКСП ДОХ-2026-ГРВКК-ВолФ, на основании ____________, заключили настоящий договор (далее – «Договор») о нижеследующем:</w:t>
      </w:r>
    </w:p>
    <w:p>
      <w:pPr>
        <w:pStyle w:val="Normal"/>
        <w:ind w:firstLine="567"/>
        <w:jc w:val="both"/>
        <w:rPr>
          <w:sz w:val="22"/>
          <w:szCs w:val="22"/>
        </w:rPr>
      </w:pPr>
      <w:r>
        <w:rPr>
          <w:sz w:val="22"/>
          <w:szCs w:val="22"/>
        </w:rPr>
      </w:r>
    </w:p>
    <w:p>
      <w:pPr>
        <w:pStyle w:val="Normal"/>
        <w:widowControl w:val="false"/>
        <w:numPr>
          <w:ilvl w:val="0"/>
          <w:numId w:val="6"/>
        </w:numPr>
        <w:shd w:val="clear" w:color="auto" w:fill="FFFFFF"/>
        <w:tabs>
          <w:tab w:val="clear" w:pos="720"/>
          <w:tab w:val="left" w:pos="426" w:leader="none"/>
        </w:tabs>
        <w:ind w:hanging="0" w:left="0"/>
        <w:jc w:val="center"/>
        <w:rPr>
          <w:b/>
          <w:bCs/>
          <w:sz w:val="22"/>
          <w:szCs w:val="22"/>
        </w:rPr>
      </w:pPr>
      <w:r>
        <w:rPr>
          <w:b/>
          <w:bCs/>
          <w:sz w:val="22"/>
          <w:szCs w:val="22"/>
        </w:rPr>
        <w:t>Предмет Договора</w:t>
      </w:r>
    </w:p>
    <w:p>
      <w:pPr>
        <w:pStyle w:val="Normal"/>
        <w:widowControl w:val="false"/>
        <w:shd w:val="clear" w:color="auto" w:fill="FFFFFF"/>
        <w:ind w:hanging="0" w:left="567"/>
        <w:rPr>
          <w:b/>
          <w:bCs/>
          <w:sz w:val="22"/>
          <w:szCs w:val="22"/>
        </w:rPr>
      </w:pPr>
      <w:r>
        <w:rPr>
          <w:b/>
          <w:bCs/>
          <w:sz w:val="22"/>
          <w:szCs w:val="22"/>
        </w:rPr>
      </w:r>
    </w:p>
    <w:p>
      <w:pPr>
        <w:pStyle w:val="Title"/>
        <w:numPr>
          <w:ilvl w:val="1"/>
          <w:numId w:val="6"/>
        </w:numPr>
        <w:tabs>
          <w:tab w:val="clear" w:pos="720"/>
          <w:tab w:val="left" w:pos="993" w:leader="none"/>
        </w:tabs>
        <w:spacing w:before="0" w:after="0"/>
        <w:ind w:firstLine="567" w:left="0"/>
        <w:contextualSpacing/>
        <w:jc w:val="both"/>
        <w:rPr>
          <w:b w:val="false"/>
          <w:sz w:val="22"/>
          <w:szCs w:val="22"/>
        </w:rPr>
      </w:pPr>
      <w:r>
        <w:rPr>
          <w:b w:val="false"/>
          <w:sz w:val="22"/>
          <w:szCs w:val="22"/>
        </w:rPr>
        <w:t xml:space="preserve">Поставщик обязуется передать Покупателю </w:t>
      </w:r>
      <w:r>
        <w:rPr>
          <w:b/>
          <w:bCs/>
          <w:sz w:val="22"/>
          <w:szCs w:val="22"/>
        </w:rPr>
        <w:t>канат стальной 28-Г-В-Н-Р-1670</w:t>
      </w:r>
      <w:r>
        <w:rPr>
          <w:sz w:val="22"/>
          <w:szCs w:val="22"/>
        </w:rPr>
        <w:t xml:space="preserve"> </w:t>
      </w:r>
      <w:r>
        <w:rPr>
          <w:b w:val="false"/>
          <w:sz w:val="22"/>
          <w:szCs w:val="22"/>
        </w:rPr>
        <w:t>(далее – «Продукция») на условиях, согласованных Сторонами в Договоре, в соответствии со Спецификацией № 1 (</w:t>
      </w:r>
      <w:r>
        <w:rPr>
          <w:sz w:val="22"/>
          <w:szCs w:val="22"/>
        </w:rPr>
        <w:t>Приложение № 1</w:t>
      </w:r>
      <w:r>
        <w:rPr>
          <w:b w:val="false"/>
          <w:sz w:val="22"/>
          <w:szCs w:val="22"/>
        </w:rPr>
        <w:t>), и техническими требованиями (</w:t>
      </w:r>
      <w:r>
        <w:rPr>
          <w:sz w:val="22"/>
          <w:szCs w:val="22"/>
        </w:rPr>
        <w:t>Приложение №2</w:t>
      </w:r>
      <w:r>
        <w:rPr>
          <w:b w:val="false"/>
          <w:sz w:val="22"/>
          <w:szCs w:val="22"/>
        </w:rPr>
        <w:t>), а Покупатель обязуется принять и оплатить Продукцию в установленном Договором порядке.</w:t>
      </w:r>
    </w:p>
    <w:p>
      <w:pPr>
        <w:pStyle w:val="ListParagraph"/>
        <w:numPr>
          <w:ilvl w:val="1"/>
          <w:numId w:val="6"/>
        </w:numPr>
        <w:shd w:val="clear" w:color="auto" w:fill="FFFFFF"/>
        <w:tabs>
          <w:tab w:val="clear" w:pos="720"/>
          <w:tab w:val="left" w:pos="540" w:leader="none"/>
          <w:tab w:val="left" w:pos="851" w:leader="none"/>
          <w:tab w:val="left" w:pos="993" w:leader="none"/>
        </w:tabs>
        <w:suppressAutoHyphens w:val="false"/>
        <w:spacing w:before="0" w:after="0"/>
        <w:ind w:firstLine="567" w:left="0"/>
        <w:contextualSpacing w:val="false"/>
        <w:jc w:val="both"/>
        <w:rPr>
          <w:shd w:fill="FFFFFF" w:val="clear"/>
        </w:rPr>
      </w:pPr>
      <w:r>
        <w:rPr>
          <w:sz w:val="22"/>
          <w:szCs w:val="22"/>
          <w:shd w:fill="FFFFFF" w:val="clear"/>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Поставка по Договору выполняется для нужд Волжского филиала АО «Гидроремонт-ВКК» в г. Волжский.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Место поставки: РФ, Волгоградская обл., г. Волжский, пр-т Ленина, д. 1А (далее – «Место поставки»).</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 xml:space="preserve">Срок поставки Продукции по Договору: </w:t>
      </w:r>
      <w:r>
        <w:rPr>
          <w:sz w:val="22"/>
          <w:szCs w:val="22"/>
        </w:rPr>
        <w:t>не позднее 25.12.2026г.,</w:t>
      </w:r>
      <w:r>
        <w:rPr>
          <w:sz w:val="22"/>
          <w:szCs w:val="22"/>
        </w:rPr>
        <w:t xml:space="preserve"> с даты подписания договора сторонами.</w:t>
      </w:r>
    </w:p>
    <w:p>
      <w:pPr>
        <w:pStyle w:val="ListParagraph"/>
        <w:shd w:val="clear" w:color="auto" w:fill="FFFFFF"/>
        <w:tabs>
          <w:tab w:val="clear" w:pos="720"/>
          <w:tab w:val="left" w:pos="540" w:leader="none"/>
          <w:tab w:val="left" w:pos="1425" w:leader="none"/>
        </w:tabs>
        <w:spacing w:before="0" w:after="0"/>
        <w:ind w:firstLine="567" w:left="0"/>
        <w:contextualSpacing w:val="false"/>
        <w:jc w:val="both"/>
        <w:rPr>
          <w:sz w:val="22"/>
          <w:szCs w:val="22"/>
        </w:rPr>
      </w:pPr>
      <w:r>
        <w:rPr>
          <w:sz w:val="22"/>
          <w:szCs w:val="22"/>
        </w:rPr>
      </w:r>
      <w:bookmarkStart w:id="0" w:name="_GoBack"/>
      <w:bookmarkStart w:id="1" w:name="_GoBack"/>
      <w:bookmarkEnd w:id="1"/>
    </w:p>
    <w:p>
      <w:pPr>
        <w:pStyle w:val="Normal"/>
        <w:widowControl w:val="false"/>
        <w:numPr>
          <w:ilvl w:val="0"/>
          <w:numId w:val="6"/>
        </w:numPr>
        <w:shd w:val="clear" w:color="auto" w:fill="FFFFFF"/>
        <w:tabs>
          <w:tab w:val="clear" w:pos="720"/>
          <w:tab w:val="left" w:pos="426" w:leader="none"/>
        </w:tabs>
        <w:ind w:hanging="0" w:left="0"/>
        <w:jc w:val="center"/>
        <w:rPr>
          <w:b/>
          <w:sz w:val="22"/>
          <w:szCs w:val="22"/>
        </w:rPr>
      </w:pPr>
      <w:r>
        <w:rPr>
          <w:b/>
          <w:sz w:val="22"/>
          <w:szCs w:val="22"/>
        </w:rPr>
        <w:t>Цена Договора и порядок оплаты</w:t>
      </w:r>
    </w:p>
    <w:p>
      <w:pPr>
        <w:pStyle w:val="Normal"/>
        <w:widowControl w:val="false"/>
        <w:shd w:val="clear" w:color="auto" w:fill="FFFFFF"/>
        <w:rPr>
          <w:b/>
          <w:sz w:val="22"/>
          <w:szCs w:val="22"/>
        </w:rPr>
      </w:pPr>
      <w:r>
        <w:rPr>
          <w:b/>
          <w:sz w:val="22"/>
          <w:szCs w:val="22"/>
        </w:rPr>
      </w:r>
    </w:p>
    <w:p>
      <w:pPr>
        <w:pStyle w:val="ListParagraph"/>
        <w:numPr>
          <w:ilvl w:val="1"/>
          <w:numId w:val="6"/>
        </w:numPr>
        <w:shd w:val="clear" w:color="auto" w:fill="FFFFFF"/>
        <w:tabs>
          <w:tab w:val="clear" w:pos="720"/>
          <w:tab w:val="left" w:pos="851" w:leader="none"/>
          <w:tab w:val="left" w:pos="993" w:leader="none"/>
        </w:tabs>
        <w:spacing w:before="0" w:after="0"/>
        <w:ind w:firstLine="567" w:left="0"/>
        <w:contextualSpacing w:val="false"/>
        <w:jc w:val="both"/>
        <w:rPr>
          <w:sz w:val="22"/>
          <w:szCs w:val="22"/>
        </w:rPr>
      </w:pPr>
      <w:r>
        <w:rPr>
          <w:sz w:val="22"/>
          <w:szCs w:val="22"/>
        </w:rPr>
        <w:t xml:space="preserve">Общая стоимость Продукции (далее – «Цена Договора») составляет </w:t>
      </w:r>
      <w:r>
        <w:rPr>
          <w:b/>
          <w:bCs/>
          <w:sz w:val="22"/>
          <w:szCs w:val="22"/>
        </w:rPr>
        <w:t xml:space="preserve">_________ (__________) рублей ___ копеек без НДС, </w:t>
      </w:r>
      <w:r>
        <w:rPr>
          <w:b w:val="false"/>
          <w:bCs w:val="false"/>
          <w:sz w:val="22"/>
          <w:szCs w:val="22"/>
        </w:rPr>
        <w:t>при этом НДС исчисляется дополнительно по ставке, установленной ст. 164 Налогового кодекса РФ.</w:t>
      </w:r>
    </w:p>
    <w:p>
      <w:pPr>
        <w:pStyle w:val="ListParagraph"/>
        <w:numPr>
          <w:ilvl w:val="1"/>
          <w:numId w:val="6"/>
        </w:numPr>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 xml:space="preserve">Цена Договора включает в себя </w:t>
      </w:r>
      <w:r>
        <w:rPr>
          <w:bCs/>
          <w:sz w:val="22"/>
          <w:szCs w:val="22"/>
        </w:rPr>
        <w:t xml:space="preserve">прибыль Поставщика, а также расходы Поставщика на производство или приобретение, транспортировку Продукции до Места поставки, погрузку,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2"/>
          <w:szCs w:val="22"/>
        </w:rPr>
        <w:t xml:space="preserve">подлежащие уплате налоги, сборы и пошлины (в т.ч. по таможенному оформлению, если применимо), </w:t>
      </w:r>
      <w:r>
        <w:rPr>
          <w:bCs/>
          <w:sz w:val="22"/>
          <w:szCs w:val="22"/>
        </w:rPr>
        <w:t xml:space="preserve">а также </w:t>
      </w:r>
      <w:r>
        <w:rPr>
          <w:sz w:val="22"/>
          <w:szCs w:val="22"/>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Цена единицы Продукции определена в Спецификации, является фиксированной и не подлежит изменению в одностороннем порядке.</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Стоимость единицы Продукции определяется в Спецификации (Приложение № 1).</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Оплата в соответствии с Договором осуществляется следующим образом:</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2.5.1. Платеж в размере 100% (сто процентов) стоимости поставленной Продукции производится Покупателем в срок, не превышающий 7 (семь) рабочих дней с даты подписания Товарной накладной по форме ТОРГ-12 или Универсального передаточного документа (УПД) на соответствующую Продукцию, при условии получения счета, выставленного Поставщиком с учетом п. 2.6. Договора.</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2.5.2.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pPr>
        <w:pStyle w:val="ListParagraph"/>
        <w:numPr>
          <w:ilvl w:val="1"/>
          <w:numId w:val="13"/>
        </w:numPr>
        <w:shd w:val="clear" w:color="auto" w:fill="FFFFFF"/>
        <w:tabs>
          <w:tab w:val="clear" w:pos="720"/>
          <w:tab w:val="left" w:pos="480" w:leader="none"/>
          <w:tab w:val="left" w:pos="851" w:leader="none"/>
          <w:tab w:val="left" w:pos="993" w:leader="none"/>
        </w:tabs>
        <w:spacing w:before="0" w:after="0"/>
        <w:ind w:firstLine="567" w:left="0"/>
        <w:contextualSpacing w:val="false"/>
        <w:jc w:val="both"/>
        <w:rPr>
          <w:sz w:val="22"/>
          <w:szCs w:val="22"/>
        </w:rPr>
      </w:pPr>
      <w:r>
        <w:rPr>
          <w:sz w:val="22"/>
          <w:szCs w:val="22"/>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15"/>
        </w:numPr>
        <w:shd w:val="clear" w:color="auto" w:fill="FFFFFF"/>
        <w:tabs>
          <w:tab w:val="clear" w:pos="720"/>
          <w:tab w:val="left" w:pos="1134" w:leader="none"/>
        </w:tabs>
        <w:spacing w:before="0" w:after="0"/>
        <w:ind w:firstLine="567" w:left="0"/>
        <w:contextualSpacing/>
        <w:jc w:val="both"/>
        <w:rPr>
          <w:sz w:val="22"/>
          <w:szCs w:val="22"/>
        </w:rPr>
      </w:pPr>
      <w:r>
        <w:rPr>
          <w:sz w:val="22"/>
          <w:szCs w:val="22"/>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15"/>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5"/>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5"/>
        </w:numPr>
        <w:tabs>
          <w:tab w:val="clear" w:pos="720"/>
          <w:tab w:val="left" w:pos="851" w:leader="none"/>
          <w:tab w:val="left" w:pos="1134" w:leader="none"/>
        </w:tabs>
        <w:ind w:firstLine="567" w:left="0"/>
        <w:jc w:val="both"/>
        <w:rPr>
          <w:sz w:val="22"/>
          <w:szCs w:val="22"/>
        </w:rPr>
      </w:pPr>
      <w:r>
        <w:rPr>
          <w:sz w:val="22"/>
          <w:szCs w:val="22"/>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5"/>
        </w:numPr>
        <w:tabs>
          <w:tab w:val="clear" w:pos="720"/>
          <w:tab w:val="left" w:pos="851" w:leader="none"/>
          <w:tab w:val="left" w:pos="1134" w:leader="none"/>
        </w:tabs>
        <w:ind w:firstLine="567" w:left="0"/>
        <w:jc w:val="both"/>
        <w:rPr>
          <w:sz w:val="22"/>
          <w:szCs w:val="22"/>
        </w:rPr>
      </w:pPr>
      <w:r>
        <w:rPr>
          <w:sz w:val="22"/>
          <w:szCs w:val="22"/>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 w:val="left" w:pos="1134" w:leader="none"/>
        </w:tabs>
        <w:spacing w:before="0" w:after="0"/>
        <w:ind w:firstLine="567"/>
        <w:contextualSpacing/>
        <w:jc w:val="both"/>
        <w:rPr>
          <w:sz w:val="22"/>
          <w:szCs w:val="22"/>
        </w:rPr>
      </w:pPr>
      <w:r>
        <w:rPr>
          <w:sz w:val="22"/>
          <w:szCs w:val="22"/>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обязательство Покупателя, по которому произошла задержка, не является денежным.</w:t>
      </w:r>
    </w:p>
    <w:p>
      <w:pPr>
        <w:pStyle w:val="ListParagraph"/>
        <w:numPr>
          <w:ilvl w:val="1"/>
          <w:numId w:val="15"/>
        </w:numPr>
        <w:tabs>
          <w:tab w:val="clear" w:pos="720"/>
          <w:tab w:val="left" w:pos="851" w:leader="none"/>
          <w:tab w:val="left" w:pos="993" w:leader="none"/>
          <w:tab w:val="left" w:pos="1134" w:leader="none"/>
        </w:tabs>
        <w:ind w:firstLine="567" w:left="0"/>
        <w:jc w:val="both"/>
        <w:rPr>
          <w:sz w:val="22"/>
          <w:szCs w:val="22"/>
        </w:rPr>
      </w:pPr>
      <w:r>
        <w:rPr>
          <w:sz w:val="22"/>
          <w:szCs w:val="22"/>
        </w:rPr>
        <w:t>Изменение стоимости Продукции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5"/>
        </w:numPr>
        <w:tabs>
          <w:tab w:val="clear" w:pos="720"/>
          <w:tab w:val="left" w:pos="851" w:leader="none"/>
          <w:tab w:val="left" w:pos="1134" w:leader="none"/>
        </w:tabs>
        <w:ind w:firstLine="567" w:left="0"/>
        <w:jc w:val="both"/>
        <w:rPr>
          <w:sz w:val="22"/>
          <w:szCs w:val="22"/>
        </w:rPr>
      </w:pPr>
      <w:r>
        <w:rPr>
          <w:sz w:val="22"/>
          <w:szCs w:val="22"/>
        </w:rPr>
        <w:t>Индексация Цены Договора не допускается.</w:t>
      </w:r>
    </w:p>
    <w:p>
      <w:pPr>
        <w:pStyle w:val="ListParagraph"/>
        <w:tabs>
          <w:tab w:val="clear" w:pos="720"/>
          <w:tab w:val="left" w:pos="851" w:leader="none"/>
          <w:tab w:val="left" w:pos="1425" w:leader="none"/>
        </w:tabs>
        <w:spacing w:before="0" w:after="0"/>
        <w:ind w:hanging="0" w:left="567"/>
        <w:contextualSpacing w:val="false"/>
        <w:jc w:val="both"/>
        <w:rPr>
          <w:sz w:val="22"/>
          <w:szCs w:val="22"/>
        </w:rPr>
      </w:pPr>
      <w:r>
        <w:rPr>
          <w:sz w:val="22"/>
          <w:szCs w:val="22"/>
        </w:rPr>
      </w:r>
    </w:p>
    <w:p>
      <w:pPr>
        <w:pStyle w:val="Normal"/>
        <w:widowControl w:val="false"/>
        <w:numPr>
          <w:ilvl w:val="0"/>
          <w:numId w:val="13"/>
        </w:numPr>
        <w:shd w:val="clear" w:color="auto" w:fill="FFFFFF"/>
        <w:ind w:hanging="0" w:left="0"/>
        <w:jc w:val="center"/>
        <w:rPr>
          <w:b/>
          <w:sz w:val="22"/>
          <w:szCs w:val="22"/>
        </w:rPr>
      </w:pPr>
      <w:r>
        <w:rPr>
          <w:b/>
          <w:sz w:val="22"/>
          <w:szCs w:val="22"/>
        </w:rPr>
        <w:t>Качество, количество и комплектность</w:t>
      </w:r>
    </w:p>
    <w:p>
      <w:pPr>
        <w:pStyle w:val="Normal"/>
        <w:widowControl w:val="false"/>
        <w:shd w:val="clear" w:color="auto" w:fill="FFFFFF"/>
        <w:ind w:hanging="0" w:left="567"/>
        <w:rPr>
          <w:b/>
          <w:sz w:val="22"/>
          <w:szCs w:val="22"/>
        </w:rPr>
      </w:pPr>
      <w:r>
        <w:rPr>
          <w:b/>
          <w:sz w:val="22"/>
          <w:szCs w:val="22"/>
        </w:rPr>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Сертификат качества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Технический паспорт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Инструкция по эксплуатации (монтажу и т.п.)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Упаковочный лист на Продукцию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2"/>
          <w:szCs w:val="22"/>
        </w:rPr>
        <w:t>товарно-транспортную накладную формы № 1-Т или Железнодорожную накладную (форма № ГУ-27).</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Поставщик обязан обеспечить присутствие во время приемки Продукцию и в месте поставки своего представителя, уполномоченного надлежащим образом оформленной доверенностью на передачу Продукции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Продукцию,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Оригинал доверенности представителя Поставщика подлежит передаче Покупателю.</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неявки представителя Поставщика и / или его отказа от подписания Акта рекламации при приемке Продукции,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2"/>
          <w:szCs w:val="22"/>
        </w:rPr>
        <w:t>товарно-транспортной накладной по форме № 1-Т) или Железнодорожной накладной (форма № ГУ-27)</w:t>
      </w:r>
      <w:r>
        <w:rPr>
          <w:sz w:val="22"/>
          <w:szCs w:val="22"/>
        </w:rPr>
        <w:t xml:space="preserve">. В случае отсутствия замечаний Покупатель подписывает </w:t>
      </w:r>
      <w:r>
        <w:rPr>
          <w:color w:val="000000"/>
          <w:sz w:val="22"/>
          <w:szCs w:val="22"/>
        </w:rPr>
        <w:t>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невыполнении Поставщиком требований п. 3.11.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когда Продукция, комплектующие, принадлежности или документы, относящиеся к Продукции, не переданы Поставщиком в сроки, указанные в п. 3.4, 3.9 Договора, Покупатель вправе отказаться от Продукции, а Поставщик обязан не позднее 10 (Десяти) рабочих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rFonts w:eastAsia="Calibri"/>
          <w:sz w:val="22"/>
          <w:szCs w:val="22"/>
          <w:lang w:eastAsia="en-US"/>
        </w:rPr>
        <w:t>Поставщик обязан установить на продукцию</w:t>
      </w:r>
      <w:r>
        <w:rPr>
          <w:rFonts w:eastAsia="Calibri"/>
          <w:sz w:val="22"/>
          <w:szCs w:val="22"/>
          <w:shd w:fill="auto" w:val="clear"/>
          <w:lang w:eastAsia="en-US"/>
        </w:rPr>
        <w:t xml:space="preserve"> гарантийный срок 12 (Двенадцать) месяцев с даты подписания Сторонами соответствующей товарной накладной по форме ТОРГ-12 или Универса</w:t>
      </w:r>
      <w:r>
        <w:rPr>
          <w:rFonts w:eastAsia="Calibri"/>
          <w:sz w:val="22"/>
          <w:szCs w:val="22"/>
          <w:lang w:eastAsia="en-US"/>
        </w:rPr>
        <w:t>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r>
        <w:rPr>
          <w:sz w:val="22"/>
          <w:szCs w:val="22"/>
        </w:rPr>
        <w:t>.</w:t>
      </w:r>
    </w:p>
    <w:p>
      <w:pPr>
        <w:pStyle w:val="Normal"/>
        <w:tabs>
          <w:tab w:val="clear" w:pos="720"/>
          <w:tab w:val="left" w:pos="1134" w:leader="none"/>
          <w:tab w:val="left" w:pos="1276" w:leader="none"/>
        </w:tabs>
        <w:spacing w:before="0" w:after="0"/>
        <w:ind w:firstLine="567"/>
        <w:contextualSpacing/>
        <w:jc w:val="both"/>
        <w:rPr>
          <w:sz w:val="22"/>
          <w:szCs w:val="22"/>
        </w:rPr>
      </w:pPr>
      <w:r>
        <w:rPr>
          <w:sz w:val="22"/>
          <w:szCs w:val="22"/>
        </w:rPr>
        <w:t>Установленный в отношении Продукции Гарантийный срок распространяется на все составные части и комплектующие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Устранение недостатков осуществляется Поставщиком своими силами, за свой счет и в срок, указанный </w:t>
      </w:r>
      <w:bookmarkStart w:id="2" w:name="OLE_LINK5"/>
      <w:bookmarkStart w:id="3" w:name="OLE_LINK6"/>
      <w:r>
        <w:rPr>
          <w:sz w:val="22"/>
          <w:szCs w:val="22"/>
        </w:rPr>
        <w:t>Покупателем в соответствии с п. 3.17. Договора</w:t>
      </w:r>
      <w:bookmarkEnd w:id="2"/>
      <w:bookmarkEnd w:id="3"/>
      <w:r>
        <w:rPr>
          <w:sz w:val="22"/>
          <w:szCs w:val="22"/>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Если Поставщик не устранит недостатки в срок, установленный согласно п. 3.17.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3.15.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Устранение недостатков Продукции или возврат ее стоимости, в том числе в рамках срока, установленного в соответствии с п. 3.13.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shd w:val="clear" w:color="auto" w:fill="FFFFFF"/>
        <w:tabs>
          <w:tab w:val="clear" w:pos="720"/>
          <w:tab w:val="left" w:pos="1134" w:leader="none"/>
          <w:tab w:val="left" w:pos="1276" w:leader="none"/>
        </w:tabs>
        <w:ind w:hanging="0" w:left="567"/>
        <w:jc w:val="both"/>
        <w:rPr>
          <w:sz w:val="22"/>
          <w:szCs w:val="22"/>
        </w:rPr>
      </w:pPr>
      <w:r>
        <w:rPr>
          <w:sz w:val="22"/>
          <w:szCs w:val="22"/>
        </w:rPr>
      </w:r>
    </w:p>
    <w:p>
      <w:pPr>
        <w:pStyle w:val="Normal"/>
        <w:widowControl w:val="false"/>
        <w:numPr>
          <w:ilvl w:val="0"/>
          <w:numId w:val="13"/>
        </w:numPr>
        <w:shd w:val="clear" w:color="auto" w:fill="FFFFFF"/>
        <w:ind w:hanging="0" w:left="0"/>
        <w:jc w:val="center"/>
        <w:rPr>
          <w:b/>
          <w:sz w:val="22"/>
          <w:szCs w:val="22"/>
        </w:rPr>
      </w:pPr>
      <w:r>
        <w:rPr>
          <w:b/>
          <w:sz w:val="22"/>
          <w:szCs w:val="22"/>
        </w:rPr>
        <w:t>Тара, упаковка, маркировка</w:t>
      </w:r>
    </w:p>
    <w:p>
      <w:pPr>
        <w:pStyle w:val="Normal"/>
        <w:widowControl w:val="false"/>
        <w:shd w:val="clear" w:color="auto" w:fill="FFFFFF"/>
        <w:rPr>
          <w:b/>
          <w:sz w:val="22"/>
          <w:szCs w:val="22"/>
        </w:rPr>
      </w:pPr>
      <w:r>
        <w:rPr>
          <w:b/>
          <w:sz w:val="22"/>
          <w:szCs w:val="22"/>
        </w:rPr>
      </w:r>
    </w:p>
    <w:p>
      <w:pPr>
        <w:pStyle w:val="ListParagraph"/>
        <w:numPr>
          <w:ilvl w:val="0"/>
          <w:numId w:val="4"/>
        </w:numPr>
        <w:shd w:val="clear" w:color="auto" w:fill="FFFFFF"/>
        <w:tabs>
          <w:tab w:val="clear" w:pos="720"/>
          <w:tab w:val="left" w:pos="993" w:leader="none"/>
          <w:tab w:val="left" w:pos="1418" w:leader="none"/>
        </w:tabs>
        <w:jc w:val="both"/>
        <w:rPr>
          <w:vanish/>
          <w:sz w:val="22"/>
          <w:szCs w:val="22"/>
        </w:rPr>
      </w:pPr>
      <w:r>
        <w:rPr>
          <w:vanish/>
          <w:sz w:val="22"/>
          <w:szCs w:val="22"/>
        </w:rPr>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4.1 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4.2 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4.3 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 брутто/нетто каждого места;</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Продукции;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номера мест и их общее количество;</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весогабаритные характеристики мест;</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центр тяжести;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условия хранения;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обозначения типа «не бросать» и другие обычно используемые обозначения.</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4.4 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ind w:firstLine="567"/>
        <w:jc w:val="both"/>
        <w:rPr>
          <w:sz w:val="22"/>
          <w:szCs w:val="22"/>
        </w:rPr>
      </w:pPr>
      <w:r>
        <w:rPr>
          <w:sz w:val="22"/>
          <w:szCs w:val="22"/>
        </w:rPr>
      </w:r>
    </w:p>
    <w:p>
      <w:pPr>
        <w:pStyle w:val="Normal"/>
        <w:widowControl w:val="false"/>
        <w:numPr>
          <w:ilvl w:val="0"/>
          <w:numId w:val="14"/>
        </w:numPr>
        <w:shd w:val="clear" w:color="auto" w:fill="FFFFFF"/>
        <w:jc w:val="center"/>
        <w:rPr>
          <w:b/>
          <w:sz w:val="22"/>
          <w:szCs w:val="22"/>
        </w:rPr>
      </w:pPr>
      <w:r>
        <w:rPr>
          <w:b/>
          <w:sz w:val="22"/>
          <w:szCs w:val="22"/>
        </w:rPr>
        <w:t>Сроки, порядок и условия поставки, переход права собственности</w:t>
      </w:r>
    </w:p>
    <w:p>
      <w:pPr>
        <w:pStyle w:val="Normal"/>
        <w:widowControl w:val="false"/>
        <w:shd w:val="clear" w:color="auto" w:fill="FFFFFF"/>
        <w:ind w:hanging="0" w:left="567"/>
        <w:rPr>
          <w:b/>
          <w:sz w:val="22"/>
          <w:szCs w:val="22"/>
        </w:rPr>
      </w:pPr>
      <w:r>
        <w:rPr>
          <w:b/>
          <w:sz w:val="22"/>
          <w:szCs w:val="22"/>
        </w:rPr>
      </w:r>
    </w:p>
    <w:p>
      <w:pPr>
        <w:pStyle w:val="ListParagraph"/>
        <w:numPr>
          <w:ilvl w:val="1"/>
          <w:numId w:val="14"/>
        </w:numPr>
        <w:tabs>
          <w:tab w:val="clear" w:pos="720"/>
          <w:tab w:val="left" w:pos="993" w:leader="none"/>
        </w:tabs>
        <w:spacing w:before="0" w:after="0"/>
        <w:ind w:firstLine="567" w:left="0"/>
        <w:contextualSpacing w:val="false"/>
        <w:jc w:val="both"/>
        <w:rPr>
          <w:shd w:fill="FFFFFF" w:val="clear"/>
        </w:rPr>
      </w:pPr>
      <w:r>
        <w:rPr>
          <w:sz w:val="22"/>
          <w:szCs w:val="22"/>
          <w:shd w:fill="FFFFFF" w:val="clear"/>
        </w:rPr>
        <w:t>Поставка Продукции по Договору осуществляется Поставщиком, согласно п. 1.2 Договора, в Место поставки согласно п. 1.4. Договора. Доставка Продукции осуществляется Поставщиком.</w:t>
      </w:r>
    </w:p>
    <w:p>
      <w:pPr>
        <w:pStyle w:val="Normal"/>
        <w:widowControl w:val="false"/>
        <w:numPr>
          <w:ilvl w:val="1"/>
          <w:numId w:val="14"/>
        </w:numPr>
        <w:shd w:val="clear" w:color="auto" w:fill="FFFFFF"/>
        <w:tabs>
          <w:tab w:val="clear" w:pos="720"/>
          <w:tab w:val="left" w:pos="993" w:leader="none"/>
        </w:tabs>
        <w:ind w:firstLine="567" w:left="0"/>
        <w:jc w:val="both"/>
        <w:rPr>
          <w:shd w:fill="FFFFFF" w:val="clear"/>
        </w:rPr>
      </w:pPr>
      <w:r>
        <w:rPr>
          <w:sz w:val="22"/>
          <w:szCs w:val="22"/>
          <w:shd w:fill="FFFFFF" w:val="clear"/>
        </w:rPr>
        <w:t>Поставщик обязан уведомить Покупателя о дате поставки Продукции не позднее, чем за 2 (Два) календарных дня до даты поставки.</w:t>
      </w:r>
    </w:p>
    <w:p>
      <w:pPr>
        <w:pStyle w:val="Normal"/>
        <w:widowControl w:val="false"/>
        <w:numPr>
          <w:ilvl w:val="1"/>
          <w:numId w:val="14"/>
        </w:numPr>
        <w:shd w:val="clear" w:color="auto" w:fill="FFFFFF"/>
        <w:tabs>
          <w:tab w:val="clear" w:pos="720"/>
          <w:tab w:val="left" w:pos="993" w:leader="none"/>
        </w:tabs>
        <w:ind w:firstLine="567" w:left="0"/>
        <w:jc w:val="both"/>
        <w:rPr>
          <w:shd w:fill="FFFFFF" w:val="clear"/>
        </w:rPr>
      </w:pPr>
      <w:r>
        <w:rPr>
          <w:sz w:val="22"/>
          <w:szCs w:val="22"/>
          <w:shd w:fill="FFFFFF" w:val="clear"/>
        </w:rPr>
        <w:t xml:space="preserve">Право собственности на Продукцию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и датой перехода риска случайной гибели или повреждения Продукции считается дата подписания Покупателем Товарной накладной по форме ТОРГ-12 или УПД. </w:t>
      </w:r>
    </w:p>
    <w:p>
      <w:pPr>
        <w:pStyle w:val="Normal"/>
        <w:widowControl w:val="false"/>
        <w:numPr>
          <w:ilvl w:val="1"/>
          <w:numId w:val="14"/>
        </w:numPr>
        <w:shd w:val="clear" w:color="auto" w:fill="FFFFFF"/>
        <w:tabs>
          <w:tab w:val="clear" w:pos="720"/>
          <w:tab w:val="left" w:pos="993" w:leader="none"/>
        </w:tabs>
        <w:ind w:firstLine="567" w:left="0"/>
        <w:jc w:val="both"/>
        <w:rPr>
          <w:sz w:val="22"/>
          <w:szCs w:val="22"/>
        </w:rPr>
      </w:pPr>
      <w:r>
        <w:rPr>
          <w:sz w:val="22"/>
          <w:szCs w:val="22"/>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4"/>
        </w:numPr>
        <w:shd w:val="clear" w:color="auto" w:fill="FFFFFF"/>
        <w:tabs>
          <w:tab w:val="clear" w:pos="720"/>
          <w:tab w:val="left" w:pos="993" w:leader="none"/>
        </w:tabs>
        <w:ind w:firstLine="567" w:left="0"/>
        <w:jc w:val="both"/>
        <w:rPr>
          <w:sz w:val="22"/>
          <w:szCs w:val="22"/>
        </w:rPr>
      </w:pPr>
      <w:r>
        <w:rPr>
          <w:sz w:val="22"/>
          <w:szCs w:val="22"/>
        </w:rPr>
        <w:t xml:space="preserve">Поставщик несет ответственность за получение (если это необходимо) разрешений и лицензий властей на транспортировку Продукции в Место поставки и иных необходимых документов. </w:t>
      </w:r>
    </w:p>
    <w:p>
      <w:pPr>
        <w:pStyle w:val="Normal"/>
        <w:widowControl w:val="false"/>
        <w:shd w:val="clear" w:color="auto" w:fill="FFFFFF"/>
        <w:tabs>
          <w:tab w:val="clear" w:pos="720"/>
          <w:tab w:val="left" w:pos="1276" w:leader="none"/>
        </w:tabs>
        <w:ind w:firstLine="567"/>
        <w:jc w:val="both"/>
        <w:rPr>
          <w:sz w:val="22"/>
          <w:szCs w:val="22"/>
        </w:rPr>
      </w:pPr>
      <w:r>
        <w:rPr>
          <w:sz w:val="22"/>
          <w:szCs w:val="22"/>
        </w:rPr>
      </w:r>
    </w:p>
    <w:p>
      <w:pPr>
        <w:pStyle w:val="Normal"/>
        <w:widowControl w:val="false"/>
        <w:numPr>
          <w:ilvl w:val="0"/>
          <w:numId w:val="17"/>
        </w:numPr>
        <w:shd w:val="clear" w:color="auto" w:fill="FFFFFF"/>
        <w:tabs>
          <w:tab w:val="clear" w:pos="720"/>
          <w:tab w:val="left" w:pos="5321" w:leader="none"/>
        </w:tabs>
        <w:spacing w:before="0" w:after="0"/>
        <w:contextualSpacing/>
        <w:jc w:val="center"/>
        <w:rPr>
          <w:b/>
          <w:sz w:val="22"/>
          <w:szCs w:val="22"/>
        </w:rPr>
      </w:pPr>
      <w:r>
        <w:rPr>
          <w:b/>
          <w:sz w:val="22"/>
          <w:szCs w:val="22"/>
        </w:rPr>
        <w:t>Ответственность по Договору</w:t>
      </w:r>
    </w:p>
    <w:p>
      <w:pPr>
        <w:pStyle w:val="Normal"/>
        <w:widowControl w:val="false"/>
        <w:shd w:val="clear" w:color="auto" w:fill="FFFFFF"/>
        <w:tabs>
          <w:tab w:val="clear" w:pos="720"/>
          <w:tab w:val="left" w:pos="5321" w:leader="none"/>
        </w:tabs>
        <w:spacing w:before="0" w:after="0"/>
        <w:ind w:hanging="0" w:left="360"/>
        <w:contextualSpacing/>
        <w:rPr>
          <w:b/>
          <w:sz w:val="22"/>
          <w:szCs w:val="22"/>
        </w:rPr>
      </w:pPr>
      <w:r>
        <w:rPr>
          <w:b/>
          <w:sz w:val="22"/>
          <w:szCs w:val="22"/>
        </w:rPr>
      </w:r>
    </w:p>
    <w:p>
      <w:pPr>
        <w:pStyle w:val="Normal"/>
        <w:widowControl w:val="false"/>
        <w:numPr>
          <w:ilvl w:val="1"/>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ListParagraph"/>
        <w:numPr>
          <w:ilvl w:val="1"/>
          <w:numId w:val="17"/>
        </w:numPr>
        <w:shd w:val="clear" w:color="auto" w:fill="FFFFFF"/>
        <w:tabs>
          <w:tab w:val="clear" w:pos="720"/>
          <w:tab w:val="left" w:pos="1276" w:leader="none"/>
        </w:tabs>
        <w:ind w:firstLine="567" w:left="0"/>
        <w:jc w:val="both"/>
        <w:rPr>
          <w:sz w:val="22"/>
          <w:szCs w:val="22"/>
        </w:rPr>
      </w:pPr>
      <w:r>
        <w:rPr>
          <w:sz w:val="22"/>
          <w:szCs w:val="22"/>
        </w:rPr>
        <w:t>В          случае нарушения Поставщиком обязательств по поставке Продукции (нарушение срока поставки, недопоставка), а также несвоевременного устранения выявленных недостатков Продукции, Покупатель вправе потребовать уплаты Поставщиком:</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w:t>
      </w:r>
      <w:r>
        <w:rPr>
          <w:sz w:val="22"/>
          <w:szCs w:val="22"/>
        </w:rPr>
        <w:tab/>
        <w:t>неустойки в размере 0,1 (ноль целых и одна десятая) процента от цены Договора за каждый день просрочки поставки Продукции;</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w:t>
      </w:r>
      <w:r>
        <w:rPr>
          <w:sz w:val="22"/>
          <w:szCs w:val="22"/>
        </w:rPr>
        <w:tab/>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Продукции; </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w:t>
      </w:r>
      <w:r>
        <w:rPr>
          <w:sz w:val="22"/>
          <w:szCs w:val="22"/>
        </w:rPr>
        <w:tab/>
        <w:t>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недостатков, не влияющих на возможность эксплуатации (использования) Продукции.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pPr>
        <w:pStyle w:val="ListParagraph"/>
        <w:numPr>
          <w:ilvl w:val="1"/>
          <w:numId w:val="17"/>
        </w:numPr>
        <w:shd w:val="clear" w:color="auto" w:fill="FFFFFF"/>
        <w:tabs>
          <w:tab w:val="clear" w:pos="720"/>
          <w:tab w:val="left" w:pos="993" w:leader="none"/>
        </w:tabs>
        <w:ind w:firstLine="567" w:left="0"/>
        <w:jc w:val="both"/>
        <w:rPr>
          <w:sz w:val="22"/>
          <w:szCs w:val="22"/>
        </w:rPr>
      </w:pPr>
      <w:r>
        <w:rPr>
          <w:sz w:val="22"/>
          <w:szCs w:val="22"/>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pPr>
        <w:pStyle w:val="ListParagraph"/>
        <w:numPr>
          <w:ilvl w:val="1"/>
          <w:numId w:val="17"/>
        </w:numPr>
        <w:shd w:val="clear" w:color="auto" w:fill="FFFFFF"/>
        <w:ind w:firstLine="567" w:left="0"/>
        <w:jc w:val="both"/>
        <w:rPr>
          <w:sz w:val="22"/>
          <w:szCs w:val="22"/>
        </w:rPr>
      </w:pPr>
      <w:r>
        <w:rPr>
          <w:sz w:val="22"/>
          <w:szCs w:val="22"/>
        </w:rPr>
        <w:t>Предусмотренная Договором неустойка является штрафной. Убытки подлежат возмещению в полной сумме сверх неустойки.</w:t>
      </w:r>
    </w:p>
    <w:p>
      <w:pPr>
        <w:pStyle w:val="Normal"/>
        <w:widowControl w:val="false"/>
        <w:numPr>
          <w:ilvl w:val="1"/>
          <w:numId w:val="17"/>
        </w:numPr>
        <w:shd w:val="clear" w:color="auto" w:fill="FFFFFF"/>
        <w:tabs>
          <w:tab w:val="clear" w:pos="720"/>
          <w:tab w:val="left" w:pos="567" w:leader="none"/>
        </w:tabs>
        <w:spacing w:before="0" w:after="0"/>
        <w:ind w:firstLine="560" w:left="0"/>
        <w:contextualSpacing/>
        <w:jc w:val="both"/>
        <w:rPr>
          <w:sz w:val="22"/>
          <w:szCs w:val="22"/>
        </w:rPr>
      </w:pPr>
      <w:r>
        <w:rPr>
          <w:sz w:val="22"/>
          <w:szCs w:val="22"/>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7"/>
        </w:numPr>
        <w:shd w:val="clear" w:color="auto" w:fill="FFFFFF"/>
        <w:tabs>
          <w:tab w:val="clear" w:pos="720"/>
          <w:tab w:val="left" w:pos="851" w:leader="none"/>
        </w:tabs>
        <w:spacing w:before="0" w:after="0"/>
        <w:ind w:firstLine="567" w:left="0"/>
        <w:contextualSpacing/>
        <w:jc w:val="both"/>
        <w:rPr>
          <w:sz w:val="22"/>
          <w:szCs w:val="22"/>
        </w:rPr>
      </w:pPr>
      <w:r>
        <w:rPr>
          <w:sz w:val="22"/>
          <w:szCs w:val="22"/>
        </w:rPr>
        <w:t>В случае, 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п.14.8 Договора, представив заверенные копии документов, подтверждающие такие изменения, а именно:</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 w:val="left" w:pos="1276" w:leader="none"/>
        </w:tabs>
        <w:spacing w:before="0" w:after="0"/>
        <w:ind w:firstLine="567" w:left="0"/>
        <w:contextualSpacing/>
        <w:jc w:val="both"/>
        <w:outlineLvl w:val="0"/>
        <w:rPr>
          <w:sz w:val="22"/>
          <w:szCs w:val="22"/>
        </w:rPr>
      </w:pPr>
      <w:r>
        <w:rPr>
          <w:sz w:val="22"/>
          <w:szCs w:val="22"/>
        </w:rPr>
        <w:t>выписка из Единого государственного реестра юридических лиц, после изменений, указанных в п. 6.13 Договора, а также:</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для юридических лиц, зарегистрированных в форме акционерных обществ:</w:t>
      </w:r>
    </w:p>
    <w:p>
      <w:pPr>
        <w:pStyle w:val="Normal"/>
        <w:numPr>
          <w:ilvl w:val="0"/>
          <w:numId w:val="9"/>
        </w:numPr>
        <w:tabs>
          <w:tab w:val="clear" w:pos="720"/>
          <w:tab w:val="left" w:pos="567" w:leader="none"/>
          <w:tab w:val="left" w:pos="1276" w:leader="none"/>
        </w:tabs>
        <w:spacing w:before="0" w:after="0"/>
        <w:ind w:firstLine="567" w:left="0"/>
        <w:contextualSpacing/>
        <w:outlineLvl w:val="0"/>
        <w:rPr>
          <w:sz w:val="22"/>
          <w:szCs w:val="22"/>
        </w:rPr>
      </w:pPr>
      <w:r>
        <w:rPr>
          <w:sz w:val="22"/>
          <w:szCs w:val="22"/>
        </w:rPr>
        <w:t>список владельцев ценных бумаг;</w:t>
      </w:r>
    </w:p>
    <w:p>
      <w:pPr>
        <w:pStyle w:val="Normal"/>
        <w:numPr>
          <w:ilvl w:val="0"/>
          <w:numId w:val="9"/>
        </w:numPr>
        <w:tabs>
          <w:tab w:val="clear" w:pos="720"/>
          <w:tab w:val="left" w:pos="567" w:leader="none"/>
          <w:tab w:val="left" w:pos="1276" w:leader="none"/>
        </w:tabs>
        <w:spacing w:before="0" w:after="0"/>
        <w:ind w:firstLine="567" w:left="0"/>
        <w:contextualSpacing/>
        <w:outlineLvl w:val="0"/>
        <w:rPr>
          <w:sz w:val="22"/>
          <w:szCs w:val="22"/>
        </w:rPr>
      </w:pPr>
      <w:r>
        <w:rPr>
          <w:sz w:val="22"/>
          <w:szCs w:val="22"/>
        </w:rPr>
        <w:t>список аффилированных лиц на последнюю отчетную дату;</w:t>
      </w:r>
    </w:p>
    <w:p>
      <w:pPr>
        <w:pStyle w:val="Normal"/>
        <w:numPr>
          <w:ilvl w:val="0"/>
          <w:numId w:val="9"/>
        </w:numPr>
        <w:tabs>
          <w:tab w:val="clear" w:pos="720"/>
          <w:tab w:val="left" w:pos="567" w:leader="none"/>
          <w:tab w:val="left" w:pos="1276" w:leader="none"/>
        </w:tabs>
        <w:spacing w:before="0" w:after="0"/>
        <w:ind w:firstLine="567" w:left="0"/>
        <w:contextualSpacing/>
        <w:outlineLvl w:val="0"/>
        <w:rPr>
          <w:sz w:val="22"/>
          <w:szCs w:val="22"/>
        </w:rPr>
      </w:pPr>
      <w:r>
        <w:rPr>
          <w:sz w:val="22"/>
          <w:szCs w:val="22"/>
        </w:rPr>
        <w:t>ежеквартальный отчет на последнюю отчетную дату.</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 w:val="left" w:pos="1276" w:leader="none"/>
        </w:tabs>
        <w:spacing w:before="0" w:after="0"/>
        <w:ind w:firstLine="567" w:left="0"/>
        <w:contextualSpacing/>
        <w:jc w:val="both"/>
        <w:outlineLvl w:val="0"/>
        <w:rPr>
          <w:sz w:val="22"/>
          <w:szCs w:val="22"/>
        </w:rPr>
      </w:pPr>
      <w:r>
        <w:rPr>
          <w:sz w:val="22"/>
          <w:szCs w:val="22"/>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 w:val="left" w:pos="1276" w:leader="none"/>
        </w:tabs>
        <w:spacing w:before="0" w:after="0"/>
        <w:ind w:firstLine="567" w:left="0"/>
        <w:contextualSpacing/>
        <w:jc w:val="both"/>
        <w:outlineLvl w:val="0"/>
        <w:rPr>
          <w:sz w:val="22"/>
          <w:szCs w:val="22"/>
        </w:rPr>
      </w:pPr>
      <w:r>
        <w:rPr>
          <w:sz w:val="22"/>
          <w:szCs w:val="22"/>
        </w:rPr>
        <w:t>решение (протокол) о приеме новых участников;</w:t>
      </w:r>
    </w:p>
    <w:p>
      <w:pPr>
        <w:pStyle w:val="Normal"/>
        <w:numPr>
          <w:ilvl w:val="0"/>
          <w:numId w:val="9"/>
        </w:numPr>
        <w:tabs>
          <w:tab w:val="clear" w:pos="720"/>
          <w:tab w:val="left" w:pos="567" w:leader="none"/>
          <w:tab w:val="left" w:pos="1276" w:leader="none"/>
        </w:tabs>
        <w:spacing w:before="0" w:after="0"/>
        <w:ind w:firstLine="567" w:left="0"/>
        <w:contextualSpacing/>
        <w:jc w:val="both"/>
        <w:outlineLvl w:val="0"/>
        <w:rPr>
          <w:sz w:val="22"/>
          <w:szCs w:val="22"/>
        </w:rPr>
      </w:pPr>
      <w:r>
        <w:rPr>
          <w:sz w:val="22"/>
          <w:szCs w:val="22"/>
        </w:rPr>
        <w:t>устав.</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 w:val="left" w:pos="1276" w:leader="none"/>
        </w:tabs>
        <w:spacing w:before="0" w:after="0"/>
        <w:ind w:firstLine="567" w:left="0"/>
        <w:contextualSpacing/>
        <w:jc w:val="both"/>
        <w:outlineLvl w:val="0"/>
        <w:rPr>
          <w:sz w:val="22"/>
          <w:szCs w:val="22"/>
        </w:rPr>
      </w:pPr>
      <w:r>
        <w:rPr>
          <w:sz w:val="22"/>
          <w:szCs w:val="22"/>
        </w:rPr>
        <w:t>учредительный договор или положение;</w:t>
      </w:r>
    </w:p>
    <w:p>
      <w:pPr>
        <w:pStyle w:val="Normal"/>
        <w:numPr>
          <w:ilvl w:val="0"/>
          <w:numId w:val="9"/>
        </w:numPr>
        <w:tabs>
          <w:tab w:val="clear" w:pos="720"/>
          <w:tab w:val="left" w:pos="567" w:leader="none"/>
          <w:tab w:val="left" w:pos="1276" w:leader="none"/>
        </w:tabs>
        <w:spacing w:before="0" w:after="0"/>
        <w:ind w:firstLine="567" w:left="0"/>
        <w:contextualSpacing/>
        <w:jc w:val="both"/>
        <w:outlineLvl w:val="0"/>
        <w:rPr>
          <w:sz w:val="22"/>
          <w:szCs w:val="22"/>
        </w:rPr>
      </w:pPr>
      <w:r>
        <w:rPr>
          <w:sz w:val="22"/>
          <w:szCs w:val="22"/>
        </w:rPr>
        <w:t>решение о создании.</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 xml:space="preserve">для юридических лиц, зарегистрированных в форме фонда: </w:t>
      </w:r>
    </w:p>
    <w:p>
      <w:pPr>
        <w:pStyle w:val="Normal"/>
        <w:numPr>
          <w:ilvl w:val="0"/>
          <w:numId w:val="9"/>
        </w:numPr>
        <w:tabs>
          <w:tab w:val="clear" w:pos="720"/>
          <w:tab w:val="left" w:pos="567" w:leader="none"/>
          <w:tab w:val="left" w:pos="1276" w:leader="none"/>
        </w:tabs>
        <w:spacing w:before="0" w:after="0"/>
        <w:ind w:firstLine="567" w:left="0"/>
        <w:contextualSpacing/>
        <w:jc w:val="both"/>
        <w:outlineLvl w:val="0"/>
        <w:rPr>
          <w:sz w:val="22"/>
          <w:szCs w:val="22"/>
        </w:rPr>
      </w:pPr>
      <w:r>
        <w:rPr>
          <w:sz w:val="22"/>
          <w:szCs w:val="22"/>
        </w:rPr>
        <w:t xml:space="preserve">документ о выборе (назначении) попечительского совета фонда; </w:t>
      </w:r>
    </w:p>
    <w:p>
      <w:pPr>
        <w:pStyle w:val="Normal"/>
        <w:numPr>
          <w:ilvl w:val="0"/>
          <w:numId w:val="9"/>
        </w:numPr>
        <w:tabs>
          <w:tab w:val="clear" w:pos="720"/>
          <w:tab w:val="left" w:pos="567" w:leader="none"/>
          <w:tab w:val="left" w:pos="1276" w:leader="none"/>
        </w:tabs>
        <w:spacing w:before="0" w:after="0"/>
        <w:ind w:firstLine="567" w:left="0"/>
        <w:contextualSpacing/>
        <w:jc w:val="both"/>
        <w:outlineLvl w:val="0"/>
        <w:rPr>
          <w:sz w:val="22"/>
          <w:szCs w:val="22"/>
        </w:rPr>
      </w:pPr>
      <w:r>
        <w:rPr>
          <w:sz w:val="22"/>
          <w:szCs w:val="22"/>
        </w:rPr>
        <w:t>решение о создании.</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 w:val="left" w:pos="1276" w:leader="none"/>
        </w:tabs>
        <w:spacing w:before="0" w:after="0"/>
        <w:ind w:firstLine="567" w:left="0"/>
        <w:contextualSpacing/>
        <w:outlineLvl w:val="0"/>
        <w:rPr>
          <w:sz w:val="22"/>
          <w:szCs w:val="22"/>
        </w:rPr>
      </w:pPr>
      <w:r>
        <w:rPr>
          <w:sz w:val="22"/>
          <w:szCs w:val="22"/>
        </w:rPr>
        <w:t xml:space="preserve">решение и договор о создании. </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Для всех организаций, созданных и действующих в соответствии с законодательством иностранных государств:</w:t>
      </w:r>
    </w:p>
    <w:p>
      <w:pPr>
        <w:pStyle w:val="Normal"/>
        <w:numPr>
          <w:ilvl w:val="0"/>
          <w:numId w:val="9"/>
        </w:numPr>
        <w:tabs>
          <w:tab w:val="clear" w:pos="720"/>
          <w:tab w:val="left" w:pos="1276" w:leader="none"/>
        </w:tabs>
        <w:spacing w:before="0" w:after="0"/>
        <w:ind w:hanging="283" w:left="709"/>
        <w:contextualSpacing/>
        <w:outlineLvl w:val="0"/>
        <w:rPr>
          <w:sz w:val="22"/>
          <w:szCs w:val="22"/>
        </w:rPr>
      </w:pPr>
      <w:r>
        <w:rPr>
          <w:sz w:val="22"/>
          <w:szCs w:val="22"/>
        </w:rPr>
        <w:t>выписка из торгового реестра страны инкорпорации;</w:t>
      </w:r>
    </w:p>
    <w:p>
      <w:pPr>
        <w:pStyle w:val="Normal"/>
        <w:numPr>
          <w:ilvl w:val="0"/>
          <w:numId w:val="9"/>
        </w:numPr>
        <w:tabs>
          <w:tab w:val="clear" w:pos="720"/>
          <w:tab w:val="left" w:pos="1276" w:leader="none"/>
        </w:tabs>
        <w:spacing w:before="0" w:after="0"/>
        <w:ind w:hanging="283" w:left="709"/>
        <w:contextualSpacing/>
        <w:outlineLvl w:val="0"/>
        <w:rPr>
          <w:sz w:val="22"/>
          <w:szCs w:val="22"/>
        </w:rPr>
      </w:pPr>
      <w:r>
        <w:rPr>
          <w:sz w:val="22"/>
          <w:szCs w:val="22"/>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17"/>
        </w:numPr>
        <w:tabs>
          <w:tab w:val="clear" w:pos="720"/>
          <w:tab w:val="left" w:pos="567" w:leader="none"/>
        </w:tabs>
        <w:ind w:firstLine="567" w:left="0"/>
        <w:jc w:val="both"/>
        <w:outlineLvl w:val="0"/>
        <w:rPr>
          <w:sz w:val="22"/>
          <w:szCs w:val="22"/>
        </w:rPr>
      </w:pPr>
      <w:r>
        <w:rPr>
          <w:sz w:val="22"/>
          <w:szCs w:val="22"/>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widowControl w:val="false"/>
        <w:numPr>
          <w:ilvl w:val="1"/>
          <w:numId w:val="17"/>
        </w:numPr>
        <w:shd w:val="clear" w:color="auto" w:fill="FFFFFF"/>
        <w:tabs>
          <w:tab w:val="clear" w:pos="720"/>
          <w:tab w:val="left" w:pos="2276" w:leader="none"/>
        </w:tabs>
        <w:spacing w:before="0" w:after="0"/>
        <w:ind w:firstLine="567" w:left="0"/>
        <w:contextualSpacing/>
        <w:jc w:val="both"/>
        <w:rPr>
          <w:sz w:val="22"/>
          <w:szCs w:val="22"/>
        </w:rPr>
      </w:pPr>
      <w:r>
        <w:rPr>
          <w:sz w:val="22"/>
          <w:szCs w:val="22"/>
        </w:rPr>
        <w:t>Независимо от любых других положений Договора в случае не предоставления в установленный срок Поставщиком документов, указанных в п. 6.13 Договора Покупатель имеет право расторгнуть Договор в одностороннем внесудебном порядке, путем направления другой Стороне соответствующего уведомления. При этом Договор будет считаться расторгнутым с даты получения Поставщиком уведомления о расторжении Договора, но в любом случае – не позднее 10 (Десяти) рабочих дней с даты его отправки Покупателем.</w:t>
      </w:r>
    </w:p>
    <w:p>
      <w:pPr>
        <w:pStyle w:val="Normal"/>
        <w:widowControl w:val="false"/>
        <w:numPr>
          <w:ilvl w:val="1"/>
          <w:numId w:val="17"/>
        </w:numPr>
        <w:shd w:val="clear" w:color="auto" w:fill="FFFFFF"/>
        <w:tabs>
          <w:tab w:val="clear" w:pos="720"/>
          <w:tab w:val="left" w:pos="2276" w:leader="none"/>
        </w:tabs>
        <w:spacing w:before="0" w:after="0"/>
        <w:ind w:firstLine="567" w:left="0"/>
        <w:contextualSpacing/>
        <w:jc w:val="both"/>
        <w:rPr>
          <w:sz w:val="22"/>
          <w:szCs w:val="22"/>
        </w:rPr>
      </w:pPr>
      <w:r>
        <w:rPr>
          <w:sz w:val="22"/>
          <w:szCs w:val="22"/>
        </w:rPr>
        <w:t>Во избежание сомнений и независимо от иных положений Договора Поставщик настоящим также отказывается от любых прав требования возмещения убытков или ущерба, возникшего у Поставщика в связи с расторжением Договора по основаниям, указанным в п. 6.14 Договора выше.</w:t>
      </w:r>
    </w:p>
    <w:p>
      <w:pPr>
        <w:pStyle w:val="ListParagraph"/>
        <w:widowControl/>
        <w:numPr>
          <w:ilvl w:val="1"/>
          <w:numId w:val="17"/>
        </w:numPr>
        <w:shd w:val="clear" w:color="auto" w:fill="FFFFFF"/>
        <w:tabs>
          <w:tab w:val="clear" w:pos="720"/>
          <w:tab w:val="left" w:pos="1134" w:leader="none"/>
        </w:tabs>
        <w:ind w:firstLine="567" w:left="0"/>
        <w:jc w:val="both"/>
        <w:rPr>
          <w:bCs/>
          <w:color w:val="000000"/>
          <w:sz w:val="22"/>
          <w:szCs w:val="22"/>
        </w:rPr>
      </w:pPr>
      <w:r>
        <w:rPr>
          <w:color w:val="000000"/>
          <w:sz w:val="22"/>
          <w:szCs w:val="22"/>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2"/>
          <w:szCs w:val="22"/>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20"/>
          <w:tab w:val="left" w:pos="567" w:leader="none"/>
          <w:tab w:val="left" w:pos="1134" w:leader="none"/>
        </w:tabs>
        <w:spacing w:before="0" w:after="0"/>
        <w:ind w:firstLine="567"/>
        <w:contextualSpacing/>
        <w:jc w:val="both"/>
        <w:rPr>
          <w:color w:val="000000"/>
          <w:sz w:val="22"/>
          <w:szCs w:val="22"/>
        </w:rPr>
      </w:pPr>
      <w:r>
        <w:rPr>
          <w:color w:val="000000"/>
          <w:sz w:val="22"/>
          <w:szCs w:val="22"/>
        </w:rPr>
        <w:t xml:space="preserve">Каналы связи Линия доверия Группы РусГидро: </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-Электронная почта: ld@rushydro.ru.</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1"/>
          <w:numId w:val="17"/>
        </w:numPr>
        <w:tabs>
          <w:tab w:val="clear" w:pos="720"/>
          <w:tab w:val="left" w:pos="1276" w:leader="none"/>
        </w:tabs>
        <w:ind w:firstLine="567" w:left="0"/>
        <w:jc w:val="both"/>
        <w:rPr>
          <w:bCs/>
          <w:sz w:val="22"/>
          <w:szCs w:val="22"/>
        </w:rPr>
      </w:pPr>
      <w:r>
        <w:rPr>
          <w:bCs/>
          <w:sz w:val="22"/>
          <w:szCs w:val="22"/>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bCs/>
          <w:sz w:val="22"/>
          <w:szCs w:val="22"/>
        </w:rPr>
      </w:pPr>
      <w:r>
        <w:rPr>
          <w:bCs/>
          <w:sz w:val="22"/>
          <w:szCs w:val="22"/>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2"/>
          <w:szCs w:val="22"/>
        </w:rPr>
        <w:t xml:space="preserve"> </w:t>
      </w:r>
      <w:r>
        <w:rPr>
          <w:bCs/>
          <w:sz w:val="22"/>
          <w:szCs w:val="22"/>
        </w:rPr>
        <w:t>сумма неустойки, подлежащая уплате виновной Стороной, определяется на основании решения суда.</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r>
    </w:p>
    <w:p>
      <w:pPr>
        <w:pStyle w:val="Normal"/>
        <w:widowControl w:val="false"/>
        <w:numPr>
          <w:ilvl w:val="0"/>
          <w:numId w:val="17"/>
        </w:numPr>
        <w:shd w:val="clear" w:color="auto" w:fill="FFFFFF"/>
        <w:tabs>
          <w:tab w:val="clear" w:pos="720"/>
          <w:tab w:val="left" w:pos="1276" w:leader="none"/>
          <w:tab w:val="left" w:pos="5321" w:leader="none"/>
        </w:tabs>
        <w:spacing w:before="0" w:after="0"/>
        <w:ind w:hanging="0" w:left="0"/>
        <w:contextualSpacing/>
        <w:jc w:val="center"/>
        <w:rPr>
          <w:b/>
          <w:bCs/>
          <w:sz w:val="22"/>
          <w:szCs w:val="22"/>
        </w:rPr>
      </w:pPr>
      <w:r>
        <w:rPr>
          <w:b/>
          <w:bCs/>
          <w:sz w:val="22"/>
          <w:szCs w:val="22"/>
        </w:rPr>
        <w:t>Особые положения</w:t>
      </w:r>
    </w:p>
    <w:p>
      <w:pPr>
        <w:pStyle w:val="Normal"/>
        <w:widowControl w:val="false"/>
        <w:shd w:val="clear" w:color="auto" w:fill="FFFFFF"/>
        <w:tabs>
          <w:tab w:val="clear" w:pos="720"/>
          <w:tab w:val="left" w:pos="1276" w:leader="none"/>
          <w:tab w:val="left" w:pos="5321" w:leader="none"/>
        </w:tabs>
        <w:spacing w:before="0" w:after="0"/>
        <w:contextualSpacing/>
        <w:rPr>
          <w:b/>
          <w:bCs/>
          <w:sz w:val="22"/>
          <w:szCs w:val="22"/>
        </w:rPr>
      </w:pPr>
      <w:r>
        <w:rPr>
          <w:b/>
          <w:bCs/>
          <w:sz w:val="22"/>
          <w:szCs w:val="22"/>
        </w:rPr>
      </w:r>
    </w:p>
    <w:p>
      <w:pPr>
        <w:pStyle w:val="Normal"/>
        <w:widowControl w:val="false"/>
        <w:numPr>
          <w:ilvl w:val="1"/>
          <w:numId w:val="17"/>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2"/>
            <w:szCs w:val="22"/>
          </w:rPr>
          <w:t>№ 18162/09</w:t>
        </w:r>
      </w:hyperlink>
      <w:r>
        <w:rPr>
          <w:sz w:val="22"/>
          <w:szCs w:val="22"/>
        </w:rPr>
        <w:t xml:space="preserve"> и от 25.05.2010 </w:t>
      </w:r>
      <w:hyperlink r:id="rId3">
        <w:r>
          <w:rPr>
            <w:sz w:val="22"/>
            <w:szCs w:val="22"/>
          </w:rPr>
          <w:t>№ 15658/09</w:t>
        </w:r>
      </w:hyperlink>
      <w:r>
        <w:rPr>
          <w:sz w:val="22"/>
          <w:szCs w:val="22"/>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2"/>
            <w:szCs w:val="22"/>
          </w:rPr>
          <w:t>Критери</w:t>
        </w:r>
      </w:hyperlink>
      <w:r>
        <w:rPr>
          <w:sz w:val="22"/>
          <w:szCs w:val="22"/>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7"/>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7"/>
        </w:numPr>
        <w:shd w:val="clear" w:color="auto" w:fill="FFFFFF"/>
        <w:tabs>
          <w:tab w:val="clear" w:pos="720"/>
          <w:tab w:val="left" w:pos="993" w:leader="none"/>
        </w:tabs>
        <w:spacing w:before="0" w:after="0"/>
        <w:ind w:firstLine="567" w:left="0"/>
        <w:contextualSpacing/>
        <w:jc w:val="both"/>
        <w:rPr>
          <w:sz w:val="22"/>
          <w:szCs w:val="22"/>
        </w:rPr>
      </w:pPr>
      <w:r>
        <w:rPr>
          <w:sz w:val="22"/>
          <w:szCs w:val="22"/>
        </w:rPr>
        <w:t>В случае нарушения Поставщиком обязательств, установленных в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7"/>
        </w:numPr>
        <w:shd w:val="clear" w:color="auto" w:fill="FFFFFF"/>
        <w:tabs>
          <w:tab w:val="clear" w:pos="720"/>
          <w:tab w:val="left" w:pos="993" w:leader="none"/>
        </w:tabs>
        <w:spacing w:before="0" w:after="0"/>
        <w:ind w:firstLine="567" w:left="0"/>
        <w:contextualSpacing/>
        <w:jc w:val="both"/>
        <w:rPr>
          <w:sz w:val="22"/>
          <w:szCs w:val="22"/>
        </w:rPr>
      </w:pPr>
      <w:r>
        <w:rPr>
          <w:sz w:val="22"/>
          <w:szCs w:val="22"/>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7.2 Договора, сверх суммы штрафа.</w:t>
      </w:r>
    </w:p>
    <w:p>
      <w:pPr>
        <w:pStyle w:val="Normal"/>
        <w:widowControl w:val="false"/>
        <w:numPr>
          <w:ilvl w:val="1"/>
          <w:numId w:val="17"/>
        </w:numPr>
        <w:shd w:val="clear" w:color="auto" w:fill="FFFFFF"/>
        <w:tabs>
          <w:tab w:val="clear" w:pos="720"/>
          <w:tab w:val="left" w:pos="993" w:leader="none"/>
        </w:tabs>
        <w:spacing w:before="0" w:after="0"/>
        <w:ind w:firstLine="567" w:left="0"/>
        <w:contextualSpacing/>
        <w:jc w:val="both"/>
        <w:rPr>
          <w:sz w:val="22"/>
          <w:szCs w:val="22"/>
        </w:rPr>
      </w:pPr>
      <w:r>
        <w:rPr>
          <w:sz w:val="22"/>
          <w:szCs w:val="22"/>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7"/>
        </w:numPr>
        <w:shd w:val="clear" w:color="auto" w:fill="FFFFFF"/>
        <w:tabs>
          <w:tab w:val="clear" w:pos="720"/>
          <w:tab w:val="left" w:pos="993" w:leader="none"/>
        </w:tabs>
        <w:spacing w:before="0" w:after="0"/>
        <w:ind w:firstLine="567" w:left="0"/>
        <w:contextualSpacing/>
        <w:jc w:val="both"/>
        <w:rPr>
          <w:sz w:val="22"/>
          <w:szCs w:val="22"/>
        </w:rPr>
      </w:pPr>
      <w:r>
        <w:rPr>
          <w:sz w:val="22"/>
          <w:szCs w:val="22"/>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Независимо от других положений Договора, обязательства Поставщика по п. 7.3-7.5 Договора продолжают действовать в течение 4 (четырех) лет после окончания срока действия Договора.</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 xml:space="preserve"> </w:t>
      </w:r>
    </w:p>
    <w:p>
      <w:pPr>
        <w:pStyle w:val="ListParagraph"/>
        <w:numPr>
          <w:ilvl w:val="0"/>
          <w:numId w:val="17"/>
        </w:numPr>
        <w:shd w:val="clear" w:color="auto" w:fill="FFFFFF"/>
        <w:tabs>
          <w:tab w:val="clear" w:pos="720"/>
          <w:tab w:val="left" w:pos="1276" w:leader="none"/>
        </w:tabs>
        <w:jc w:val="center"/>
        <w:rPr>
          <w:b/>
          <w:bCs/>
          <w:sz w:val="22"/>
          <w:szCs w:val="22"/>
        </w:rPr>
      </w:pPr>
      <w:r>
        <w:rPr>
          <w:b/>
          <w:sz w:val="22"/>
          <w:szCs w:val="22"/>
        </w:rPr>
        <w:t>Форс</w:t>
      </w:r>
      <w:r>
        <w:rPr>
          <w:b/>
          <w:bCs/>
          <w:sz w:val="22"/>
          <w:szCs w:val="22"/>
        </w:rPr>
        <w:t>-мажор</w:t>
      </w:r>
    </w:p>
    <w:p>
      <w:pPr>
        <w:pStyle w:val="ListParagraph"/>
        <w:shd w:val="clear" w:color="auto" w:fill="FFFFFF"/>
        <w:tabs>
          <w:tab w:val="clear" w:pos="720"/>
          <w:tab w:val="left" w:pos="1276" w:leader="none"/>
        </w:tabs>
        <w:ind w:hanging="0" w:left="360"/>
        <w:rPr>
          <w:b/>
          <w:bCs/>
          <w:sz w:val="22"/>
          <w:szCs w:val="22"/>
        </w:rPr>
      </w:pPr>
      <w:r>
        <w:rPr>
          <w:b/>
          <w:bCs/>
          <w:sz w:val="22"/>
          <w:szCs w:val="22"/>
        </w:rPr>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r>
    </w:p>
    <w:p>
      <w:pPr>
        <w:pStyle w:val="Normal"/>
        <w:widowControl w:val="false"/>
        <w:numPr>
          <w:ilvl w:val="0"/>
          <w:numId w:val="17"/>
        </w:numPr>
        <w:shd w:val="clear" w:color="auto" w:fill="FFFFFF"/>
        <w:tabs>
          <w:tab w:val="clear" w:pos="720"/>
          <w:tab w:val="left" w:pos="5321" w:leader="none"/>
        </w:tabs>
        <w:spacing w:before="0" w:after="0"/>
        <w:ind w:hanging="0" w:left="0"/>
        <w:contextualSpacing/>
        <w:jc w:val="center"/>
        <w:rPr>
          <w:b/>
          <w:bCs/>
          <w:sz w:val="22"/>
          <w:szCs w:val="22"/>
        </w:rPr>
      </w:pPr>
      <w:r>
        <w:rPr>
          <w:b/>
          <w:sz w:val="22"/>
          <w:szCs w:val="22"/>
        </w:rPr>
        <w:t>Конфиденциальность</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финансовую отчетность;</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учетные регистры бухгалтерского учета;</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бизнес-планы;</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 xml:space="preserve">использовать Информацию исключительно для целей, для которых она была предоставлена; </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7"/>
        </w:numPr>
        <w:shd w:val="clear" w:color="auto" w:fill="FFFFFF"/>
        <w:spacing w:before="0" w:after="0"/>
        <w:ind w:firstLine="567" w:left="0"/>
        <w:contextualSpacing/>
        <w:jc w:val="both"/>
        <w:rPr>
          <w:sz w:val="22"/>
          <w:szCs w:val="22"/>
        </w:rPr>
      </w:pPr>
      <w:r>
        <w:rPr>
          <w:sz w:val="22"/>
          <w:szCs w:val="22"/>
        </w:rPr>
        <w:t>не разглашать третьим лицам факта передачи или получения Информации.</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t xml:space="preserve"> </w:t>
      </w:r>
    </w:p>
    <w:p>
      <w:pPr>
        <w:pStyle w:val="Normal"/>
        <w:widowControl w:val="false"/>
        <w:numPr>
          <w:ilvl w:val="0"/>
          <w:numId w:val="17"/>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Инсайдерская оговорка</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7"/>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также обязуется:</w:t>
      </w:r>
    </w:p>
    <w:p>
      <w:pPr>
        <w:pStyle w:val="ListParagraph"/>
        <w:numPr>
          <w:ilvl w:val="2"/>
          <w:numId w:val="17"/>
        </w:numPr>
        <w:shd w:val="clear" w:color="auto" w:fill="FFFFFF"/>
        <w:ind w:firstLine="567" w:left="0"/>
        <w:jc w:val="both"/>
        <w:rPr>
          <w:sz w:val="22"/>
          <w:szCs w:val="22"/>
        </w:rPr>
      </w:pPr>
      <w:r>
        <w:rPr>
          <w:sz w:val="22"/>
          <w:szCs w:val="22"/>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17"/>
        </w:numPr>
        <w:shd w:val="clear" w:color="auto" w:fill="FFFFFF"/>
        <w:ind w:firstLine="567" w:left="0"/>
        <w:jc w:val="both"/>
        <w:rPr>
          <w:sz w:val="22"/>
          <w:szCs w:val="22"/>
        </w:rPr>
      </w:pPr>
      <w:r>
        <w:rPr>
          <w:sz w:val="22"/>
          <w:szCs w:val="22"/>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ListParagraph"/>
        <w:shd w:val="clear" w:color="auto" w:fill="FFFFFF"/>
        <w:tabs>
          <w:tab w:val="clear" w:pos="720"/>
          <w:tab w:val="left" w:pos="2160" w:leader="none"/>
        </w:tabs>
        <w:ind w:hanging="0" w:left="567"/>
        <w:jc w:val="both"/>
        <w:rPr>
          <w:sz w:val="22"/>
          <w:szCs w:val="22"/>
        </w:rPr>
      </w:pPr>
      <w:r>
        <w:rPr>
          <w:sz w:val="22"/>
          <w:szCs w:val="22"/>
        </w:rPr>
      </w:r>
    </w:p>
    <w:p>
      <w:pPr>
        <w:pStyle w:val="Normal"/>
        <w:widowControl w:val="false"/>
        <w:numPr>
          <w:ilvl w:val="0"/>
          <w:numId w:val="17"/>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Разрешение споров</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7"/>
        </w:numPr>
        <w:shd w:val="clear" w:color="auto" w:fill="FFFFFF"/>
        <w:tabs>
          <w:tab w:val="left" w:pos="720" w:leader="none"/>
        </w:tabs>
        <w:spacing w:before="0" w:after="0"/>
        <w:ind w:firstLine="567" w:left="0"/>
        <w:contextualSpacing/>
        <w:jc w:val="both"/>
        <w:rPr>
          <w:sz w:val="22"/>
          <w:szCs w:val="22"/>
        </w:rPr>
      </w:pPr>
      <w:r>
        <w:rPr>
          <w:sz w:val="22"/>
          <w:szCs w:val="22"/>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7"/>
        </w:numPr>
        <w:shd w:val="clear" w:color="auto" w:fill="FFFFFF"/>
        <w:tabs>
          <w:tab w:val="left" w:pos="720" w:leader="none"/>
        </w:tabs>
        <w:spacing w:before="0" w:after="0"/>
        <w:ind w:firstLine="567" w:left="0"/>
        <w:contextualSpacing/>
        <w:jc w:val="both"/>
        <w:rPr>
          <w:sz w:val="22"/>
          <w:szCs w:val="22"/>
        </w:rPr>
      </w:pPr>
      <w:r>
        <w:rPr>
          <w:sz w:val="22"/>
          <w:szCs w:val="22"/>
        </w:rPr>
        <w:t>В случае не достижения соглашения в ходе переговоров, указанных в п. 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7"/>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4" w:name="Par2"/>
      <w:bookmarkEnd w:id="4"/>
    </w:p>
    <w:p>
      <w:pPr>
        <w:pStyle w:val="Normal"/>
        <w:widowControl w:val="false"/>
        <w:numPr>
          <w:ilvl w:val="1"/>
          <w:numId w:val="17"/>
        </w:numPr>
        <w:shd w:val="clear" w:color="auto" w:fill="FFFFFF"/>
        <w:tabs>
          <w:tab w:val="left" w:pos="720" w:leader="none"/>
        </w:tabs>
        <w:spacing w:before="0" w:after="0"/>
        <w:ind w:firstLine="567" w:left="0"/>
        <w:contextualSpacing/>
        <w:jc w:val="both"/>
        <w:rPr>
          <w:sz w:val="22"/>
          <w:szCs w:val="22"/>
        </w:rPr>
      </w:pPr>
      <w:r>
        <w:rPr>
          <w:sz w:val="22"/>
          <w:szCs w:val="22"/>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7"/>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г.Москвы.</w:t>
      </w:r>
    </w:p>
    <w:p>
      <w:pPr>
        <w:pStyle w:val="Normal"/>
        <w:widowControl w:val="false"/>
        <w:shd w:val="clear" w:color="auto" w:fill="FFFFFF"/>
        <w:tabs>
          <w:tab w:val="left" w:pos="720" w:leader="none"/>
        </w:tabs>
        <w:spacing w:before="0" w:after="0"/>
        <w:ind w:hanging="0" w:left="567"/>
        <w:contextualSpacing/>
        <w:jc w:val="both"/>
        <w:rPr>
          <w:sz w:val="22"/>
          <w:szCs w:val="22"/>
        </w:rPr>
      </w:pPr>
      <w:r>
        <w:rPr>
          <w:sz w:val="22"/>
          <w:szCs w:val="22"/>
        </w:rPr>
      </w:r>
    </w:p>
    <w:p>
      <w:pPr>
        <w:pStyle w:val="Normal"/>
        <w:widowControl w:val="false"/>
        <w:numPr>
          <w:ilvl w:val="0"/>
          <w:numId w:val="17"/>
        </w:numPr>
        <w:shd w:val="clear" w:color="auto" w:fill="FFFFFF"/>
        <w:tabs>
          <w:tab w:val="clear" w:pos="720"/>
          <w:tab w:val="left" w:pos="5321" w:leader="none"/>
        </w:tabs>
        <w:spacing w:before="0" w:after="0"/>
        <w:ind w:hanging="0" w:left="0"/>
        <w:contextualSpacing/>
        <w:jc w:val="center"/>
        <w:rPr>
          <w:b/>
          <w:bCs/>
          <w:sz w:val="22"/>
          <w:szCs w:val="22"/>
        </w:rPr>
      </w:pPr>
      <w:r>
        <w:rPr>
          <w:b/>
          <w:bCs/>
          <w:sz w:val="22"/>
          <w:szCs w:val="22"/>
        </w:rPr>
        <w:t>Прекращение (расторжение) Договора</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tabs>
          <w:tab w:val="clear" w:pos="720"/>
          <w:tab w:val="left" w:pos="1134" w:leader="none"/>
        </w:tabs>
        <w:spacing w:before="0" w:after="0"/>
        <w:ind w:firstLine="567"/>
        <w:contextualSpacing/>
        <w:jc w:val="both"/>
        <w:rPr>
          <w:sz w:val="22"/>
          <w:szCs w:val="22"/>
        </w:rPr>
      </w:pPr>
      <w:r>
        <w:rPr>
          <w:sz w:val="22"/>
          <w:szCs w:val="22"/>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Стороны установили, что существенным нарушением Договора Поставщиком является:</w:t>
      </w:r>
    </w:p>
    <w:p>
      <w:pPr>
        <w:pStyle w:val="Normal"/>
        <w:widowControl w:val="false"/>
        <w:numPr>
          <w:ilvl w:val="2"/>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7"/>
        </w:numPr>
        <w:shd w:val="clear" w:color="auto" w:fill="FFFFFF"/>
        <w:tabs>
          <w:tab w:val="clear" w:pos="720"/>
          <w:tab w:val="left" w:pos="1276" w:leader="none"/>
        </w:tabs>
        <w:spacing w:before="0" w:after="0"/>
        <w:ind w:firstLine="567" w:left="0"/>
        <w:contextualSpacing/>
        <w:jc w:val="both"/>
        <w:rPr>
          <w:sz w:val="22"/>
          <w:szCs w:val="22"/>
        </w:rPr>
      </w:pPr>
      <w:r>
        <w:rPr>
          <w:sz w:val="22"/>
          <w:szCs w:val="22"/>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В случае отказа Покупателя от Договора в случаях, предусмотренных пунктами 12.2., 12.3., 12.4 Договора,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в том числе направленного по электронной почте.</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Договор считается расторгнутым по основаниям, предусмотренным пунктом 12.1, с даты, указанной в уведомлении о расторжении Договора.</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С даты прекращения (расторжения) Договора Поставщик обязан прекратить поставку Продукции.</w:t>
      </w:r>
    </w:p>
    <w:p>
      <w:pPr>
        <w:pStyle w:val="Normal"/>
        <w:widowControl w:val="false"/>
        <w:numPr>
          <w:ilvl w:val="1"/>
          <w:numId w:val="17"/>
        </w:numPr>
        <w:shd w:val="clear" w:color="auto" w:fill="FFFFFF"/>
        <w:spacing w:before="0" w:after="0"/>
        <w:ind w:firstLine="567" w:left="0"/>
        <w:contextualSpacing/>
        <w:jc w:val="both"/>
        <w:rPr>
          <w:sz w:val="22"/>
          <w:szCs w:val="22"/>
        </w:rPr>
      </w:pPr>
      <w:r>
        <w:rPr>
          <w:sz w:val="22"/>
          <w:szCs w:val="22"/>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3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widowControl w:val="false"/>
        <w:shd w:val="clear" w:color="auto" w:fill="FFFFFF"/>
        <w:tabs>
          <w:tab w:val="clear" w:pos="720"/>
          <w:tab w:val="left" w:pos="1636" w:leader="none"/>
        </w:tabs>
        <w:spacing w:before="0" w:after="0"/>
        <w:ind w:hanging="0" w:left="567"/>
        <w:contextualSpacing/>
        <w:jc w:val="both"/>
        <w:rPr>
          <w:sz w:val="22"/>
          <w:szCs w:val="22"/>
        </w:rPr>
      </w:pPr>
      <w:r>
        <w:rPr>
          <w:sz w:val="22"/>
          <w:szCs w:val="22"/>
        </w:rPr>
      </w:r>
    </w:p>
    <w:p>
      <w:pPr>
        <w:pStyle w:val="ListParagraph"/>
        <w:shd w:val="clear" w:color="auto" w:fill="FFFFFF"/>
        <w:ind w:hanging="0" w:left="360"/>
        <w:jc w:val="center"/>
        <w:rPr>
          <w:b/>
          <w:sz w:val="22"/>
          <w:szCs w:val="22"/>
        </w:rPr>
      </w:pPr>
      <w:r>
        <w:rPr>
          <w:b/>
          <w:bCs/>
          <w:sz w:val="22"/>
          <w:szCs w:val="22"/>
        </w:rPr>
        <w:t>13. Заверения</w:t>
      </w:r>
      <w:r>
        <w:rPr>
          <w:b/>
          <w:sz w:val="22"/>
          <w:szCs w:val="22"/>
        </w:rPr>
        <w:t xml:space="preserve"> Сторон</w:t>
      </w:r>
    </w:p>
    <w:p>
      <w:pPr>
        <w:pStyle w:val="ListParagraph"/>
        <w:shd w:val="clear" w:color="auto" w:fill="FFFFFF"/>
        <w:ind w:hanging="0" w:left="360"/>
        <w:jc w:val="center"/>
        <w:rPr>
          <w:b/>
          <w:sz w:val="22"/>
          <w:szCs w:val="22"/>
        </w:rPr>
      </w:pPr>
      <w:r>
        <w:rPr>
          <w:b/>
          <w:sz w:val="22"/>
          <w:szCs w:val="22"/>
        </w:rPr>
      </w:r>
    </w:p>
    <w:p>
      <w:pPr>
        <w:pStyle w:val="Normal"/>
        <w:shd w:val="clear" w:color="auto" w:fill="FFFFFF"/>
        <w:tabs>
          <w:tab w:val="clear" w:pos="720"/>
          <w:tab w:val="left" w:pos="1134" w:leader="none"/>
        </w:tabs>
        <w:ind w:firstLine="567"/>
        <w:jc w:val="both"/>
        <w:rPr>
          <w:sz w:val="22"/>
          <w:szCs w:val="22"/>
        </w:rPr>
      </w:pPr>
      <w:r>
        <w:rPr>
          <w:bCs/>
          <w:sz w:val="22"/>
          <w:szCs w:val="22"/>
        </w:rPr>
        <w:t>13.1.  Каждая</w:t>
      </w:r>
      <w:r>
        <w:rPr>
          <w:sz w:val="22"/>
          <w:szCs w:val="22"/>
        </w:rPr>
        <w:t xml:space="preserve"> из Сторон заявляет и подтверждает другой Стороне, что: </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Normal"/>
        <w:shd w:val="clear" w:color="auto" w:fill="FFFFFF"/>
        <w:tabs>
          <w:tab w:val="clear" w:pos="720"/>
          <w:tab w:val="left" w:pos="1134" w:leader="none"/>
        </w:tabs>
        <w:ind w:firstLine="567"/>
        <w:jc w:val="both"/>
        <w:rPr>
          <w:sz w:val="22"/>
          <w:szCs w:val="22"/>
        </w:rPr>
      </w:pPr>
      <w:r>
        <w:rPr>
          <w:sz w:val="22"/>
          <w:szCs w:val="22"/>
        </w:rPr>
        <w:t>13.2. 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руководителем Поставщика является лицо, не являющееся массовым руководителем;</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1"/>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1"/>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1"/>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Normal"/>
        <w:shd w:val="clear" w:color="auto" w:fill="FFFFFF"/>
        <w:tabs>
          <w:tab w:val="clear" w:pos="720"/>
          <w:tab w:val="left" w:pos="1134" w:leader="none"/>
        </w:tabs>
        <w:ind w:firstLine="567"/>
        <w:jc w:val="both"/>
        <w:rPr>
          <w:sz w:val="22"/>
          <w:szCs w:val="22"/>
        </w:rPr>
      </w:pPr>
      <w:r>
        <w:rPr>
          <w:sz w:val="22"/>
          <w:szCs w:val="22"/>
        </w:rPr>
        <w:t xml:space="preserve">13.3. 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Normal"/>
        <w:shd w:val="clear" w:color="auto" w:fill="FFFFFF"/>
        <w:tabs>
          <w:tab w:val="clear" w:pos="720"/>
          <w:tab w:val="left" w:pos="1134" w:leader="none"/>
        </w:tabs>
        <w:ind w:firstLine="567"/>
        <w:jc w:val="both"/>
        <w:rPr>
          <w:sz w:val="22"/>
          <w:szCs w:val="22"/>
        </w:rPr>
      </w:pPr>
      <w:r>
        <w:rPr>
          <w:sz w:val="22"/>
          <w:szCs w:val="22"/>
        </w:rPr>
        <w:t xml:space="preserve">13.4. В случае, если при заключении Договора Поставщик предоставил </w:t>
      </w:r>
      <w:r>
        <w:rPr>
          <w:bCs/>
          <w:sz w:val="22"/>
          <w:szCs w:val="22"/>
        </w:rPr>
        <w:t>Покупателю</w:t>
      </w:r>
      <w:r>
        <w:rPr>
          <w:sz w:val="22"/>
          <w:szCs w:val="22"/>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2"/>
          <w:szCs w:val="22"/>
        </w:rPr>
        <w:t xml:space="preserve">Поставщик </w:t>
      </w:r>
      <w:r>
        <w:rPr>
          <w:sz w:val="22"/>
          <w:szCs w:val="22"/>
        </w:rPr>
        <w:t xml:space="preserve">обязан по требованию </w:t>
      </w:r>
      <w:r>
        <w:rPr>
          <w:bCs/>
          <w:sz w:val="22"/>
          <w:szCs w:val="22"/>
        </w:rPr>
        <w:t>Покупателя</w:t>
      </w:r>
      <w:r>
        <w:rPr>
          <w:sz w:val="22"/>
          <w:szCs w:val="22"/>
        </w:rPr>
        <w:t xml:space="preserve"> уплатить последнему неустойку в размере 5 (пять) % от Цены Договора, указанной в пункте 2.1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r>
    </w:p>
    <w:p>
      <w:pPr>
        <w:pStyle w:val="ListParagraph"/>
        <w:numPr>
          <w:ilvl w:val="0"/>
          <w:numId w:val="16"/>
        </w:numPr>
        <w:shd w:val="clear" w:color="auto" w:fill="FFFFFF"/>
        <w:jc w:val="center"/>
        <w:rPr>
          <w:b/>
          <w:sz w:val="22"/>
          <w:szCs w:val="22"/>
        </w:rPr>
      </w:pPr>
      <w:r>
        <w:rPr>
          <w:b/>
          <w:sz w:val="22"/>
          <w:szCs w:val="22"/>
        </w:rPr>
        <w:t>Заключительные положения</w:t>
      </w:r>
    </w:p>
    <w:p>
      <w:pPr>
        <w:pStyle w:val="ListParagraph"/>
        <w:shd w:val="clear" w:color="auto" w:fill="FFFFFF"/>
        <w:ind w:hanging="0" w:left="480"/>
        <w:rPr>
          <w:b/>
          <w:sz w:val="22"/>
          <w:szCs w:val="22"/>
        </w:rPr>
      </w:pPr>
      <w:r>
        <w:rPr>
          <w:b/>
          <w:sz w:val="22"/>
          <w:szCs w:val="22"/>
        </w:rPr>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bCs/>
          <w:sz w:val="22"/>
          <w:szCs w:val="22"/>
        </w:rPr>
      </w:pPr>
      <w:r>
        <w:rPr>
          <w:sz w:val="22"/>
          <w:szCs w:val="22"/>
        </w:rPr>
        <w:t>Документ</w:t>
      </w:r>
      <w:r>
        <w:rPr>
          <w:bCs/>
          <w:sz w:val="22"/>
          <w:szCs w:val="22"/>
        </w:rPr>
        <w:t xml:space="preserve"> будет считаться полученным:</w:t>
      </w:r>
    </w:p>
    <w:p>
      <w:pPr>
        <w:pStyle w:val="ListParagraph"/>
        <w:widowControl/>
        <w:numPr>
          <w:ilvl w:val="2"/>
          <w:numId w:val="16"/>
        </w:numPr>
        <w:shd w:val="clear" w:color="auto" w:fill="FFFFFF"/>
        <w:tabs>
          <w:tab w:val="clear" w:pos="720"/>
          <w:tab w:val="left" w:pos="1134" w:leader="none"/>
        </w:tabs>
        <w:ind w:firstLine="567" w:left="0"/>
        <w:jc w:val="both"/>
        <w:rPr>
          <w:bCs/>
          <w:sz w:val="22"/>
          <w:szCs w:val="22"/>
        </w:rPr>
      </w:pPr>
      <w:r>
        <w:rPr>
          <w:bCs/>
          <w:sz w:val="22"/>
          <w:szCs w:val="22"/>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6"/>
        </w:numPr>
        <w:shd w:val="clear" w:color="auto" w:fill="FFFFFF"/>
        <w:tabs>
          <w:tab w:val="clear" w:pos="720"/>
          <w:tab w:val="left" w:pos="1134" w:leader="none"/>
        </w:tabs>
        <w:ind w:firstLine="567" w:left="0"/>
        <w:jc w:val="both"/>
        <w:rPr>
          <w:bCs/>
          <w:sz w:val="22"/>
          <w:szCs w:val="22"/>
        </w:rPr>
      </w:pPr>
      <w:r>
        <w:rPr>
          <w:bCs/>
          <w:sz w:val="22"/>
          <w:szCs w:val="22"/>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sz w:val="22"/>
          <w:szCs w:val="22"/>
        </w:rPr>
      </w:pPr>
      <w:r>
        <w:rPr>
          <w:sz w:val="22"/>
          <w:szCs w:val="22"/>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6"/>
        </w:numPr>
        <w:shd w:val="clear" w:color="auto" w:fill="FFFFFF"/>
        <w:tabs>
          <w:tab w:val="left" w:pos="720" w:leader="none"/>
          <w:tab w:val="left" w:pos="1134" w:leader="none"/>
        </w:tabs>
        <w:spacing w:before="0" w:after="0"/>
        <w:ind w:firstLine="567" w:left="0"/>
        <w:contextualSpacing/>
        <w:jc w:val="both"/>
        <w:rPr>
          <w:bCs/>
          <w:sz w:val="22"/>
          <w:szCs w:val="22"/>
        </w:rPr>
      </w:pPr>
      <w:r>
        <w:rPr>
          <w:sz w:val="22"/>
          <w:szCs w:val="22"/>
        </w:rPr>
        <w:t xml:space="preserve"> </w:t>
      </w:r>
      <w:r>
        <w:rPr>
          <w:sz w:val="22"/>
          <w:szCs w:val="22"/>
        </w:rPr>
        <w:t>Договор</w:t>
      </w:r>
      <w:r>
        <w:rPr>
          <w:bCs/>
          <w:sz w:val="22"/>
          <w:szCs w:val="22"/>
        </w:rPr>
        <w:t xml:space="preserve"> составлен в двух оригинальных экземплярах, по одному для каждой из Сторон.</w:t>
      </w:r>
    </w:p>
    <w:p>
      <w:pPr>
        <w:pStyle w:val="Normal"/>
        <w:widowControl w:val="false"/>
        <w:shd w:val="clear" w:color="auto" w:fill="FFFFFF"/>
        <w:tabs>
          <w:tab w:val="left" w:pos="720" w:leader="none"/>
        </w:tabs>
        <w:ind w:hanging="0" w:left="567"/>
        <w:jc w:val="both"/>
        <w:rPr>
          <w:bCs/>
          <w:sz w:val="22"/>
          <w:szCs w:val="22"/>
        </w:rPr>
      </w:pPr>
      <w:r>
        <w:rPr>
          <w:bCs/>
          <w:sz w:val="22"/>
          <w:szCs w:val="22"/>
        </w:rPr>
      </w:r>
    </w:p>
    <w:p>
      <w:pPr>
        <w:pStyle w:val="Normal"/>
        <w:widowControl w:val="false"/>
        <w:numPr>
          <w:ilvl w:val="0"/>
          <w:numId w:val="18"/>
        </w:numPr>
        <w:shd w:val="clear" w:color="auto" w:fill="FFFFFF"/>
        <w:jc w:val="center"/>
        <w:rPr>
          <w:b/>
          <w:sz w:val="22"/>
          <w:szCs w:val="22"/>
        </w:rPr>
      </w:pPr>
      <w:r>
        <w:rPr>
          <w:b/>
          <w:sz w:val="22"/>
          <w:szCs w:val="22"/>
        </w:rPr>
        <w:t>Приложения к Договору</w:t>
      </w:r>
    </w:p>
    <w:p>
      <w:pPr>
        <w:pStyle w:val="Normal"/>
        <w:widowControl w:val="false"/>
        <w:shd w:val="clear" w:color="auto" w:fill="FFFFFF"/>
        <w:ind w:hanging="0" w:left="567"/>
        <w:rPr>
          <w:b/>
          <w:sz w:val="22"/>
          <w:szCs w:val="22"/>
        </w:rPr>
      </w:pPr>
      <w:r>
        <w:rPr>
          <w:b/>
          <w:sz w:val="22"/>
          <w:szCs w:val="22"/>
        </w:rPr>
      </w:r>
    </w:p>
    <w:p>
      <w:pPr>
        <w:pStyle w:val="Heading3"/>
        <w:keepNext w:val="false"/>
        <w:tabs>
          <w:tab w:val="clear" w:pos="0"/>
        </w:tabs>
        <w:ind w:firstLine="567"/>
        <w:jc w:val="both"/>
        <w:textAlignment w:val="baseline"/>
        <w:rPr>
          <w:b w:val="false"/>
          <w:sz w:val="22"/>
          <w:szCs w:val="22"/>
        </w:rPr>
      </w:pPr>
      <w:r>
        <w:rPr>
          <w:b w:val="false"/>
          <w:sz w:val="22"/>
          <w:szCs w:val="22"/>
        </w:rPr>
        <w:t>15.1. Приложение № 1 – Спецификация № 1.</w:t>
      </w:r>
    </w:p>
    <w:p>
      <w:pPr>
        <w:pStyle w:val="Heading3"/>
        <w:keepNext w:val="false"/>
        <w:tabs>
          <w:tab w:val="clear" w:pos="0"/>
        </w:tabs>
        <w:ind w:firstLine="567"/>
        <w:jc w:val="both"/>
        <w:textAlignment w:val="baseline"/>
        <w:rPr>
          <w:b w:val="false"/>
          <w:sz w:val="22"/>
          <w:szCs w:val="22"/>
        </w:rPr>
      </w:pPr>
      <w:r>
        <w:rPr>
          <w:b w:val="false"/>
          <w:sz w:val="22"/>
          <w:szCs w:val="22"/>
        </w:rPr>
        <w:t>15.2.  Приложение № 2 – Технические требования.</w:t>
      </w:r>
    </w:p>
    <w:p>
      <w:pPr>
        <w:pStyle w:val="Normal"/>
        <w:ind w:firstLine="567"/>
        <w:rPr>
          <w:sz w:val="22"/>
          <w:szCs w:val="22"/>
        </w:rPr>
      </w:pPr>
      <w:r>
        <w:rPr>
          <w:sz w:val="22"/>
          <w:szCs w:val="22"/>
        </w:rPr>
      </w:r>
      <w:bookmarkStart w:id="5" w:name="sub_1"/>
      <w:bookmarkStart w:id="6" w:name="sub_1"/>
      <w:bookmarkEnd w:id="6"/>
    </w:p>
    <w:p>
      <w:pPr>
        <w:pStyle w:val="Normal"/>
        <w:widowControl w:val="false"/>
        <w:numPr>
          <w:ilvl w:val="0"/>
          <w:numId w:val="18"/>
        </w:numPr>
        <w:shd w:val="clear" w:color="auto" w:fill="FFFFFF"/>
        <w:ind w:hanging="0" w:left="0"/>
        <w:jc w:val="center"/>
        <w:rPr>
          <w:b/>
          <w:sz w:val="22"/>
          <w:szCs w:val="22"/>
        </w:rPr>
      </w:pPr>
      <w:r>
        <w:rPr>
          <w:b/>
          <w:sz w:val="22"/>
          <w:szCs w:val="22"/>
        </w:rPr>
        <w:t xml:space="preserve">Адреса, реквизиты и подписи Сторон </w:t>
      </w:r>
    </w:p>
    <w:p>
      <w:pPr>
        <w:pStyle w:val="Normal"/>
        <w:widowControl w:val="false"/>
        <w:shd w:val="clear" w:color="auto" w:fill="FFFFFF"/>
        <w:ind w:hanging="0" w:left="567"/>
        <w:rPr>
          <w:b/>
          <w:sz w:val="22"/>
          <w:szCs w:val="22"/>
        </w:rPr>
      </w:pPr>
      <w:r>
        <w:rPr>
          <w:b/>
          <w:sz w:val="22"/>
          <w:szCs w:val="22"/>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78"/>
        <w:gridCol w:w="5102"/>
      </w:tblGrid>
      <w:tr>
        <w:trPr/>
        <w:tc>
          <w:tcPr>
            <w:tcW w:w="4678" w:type="dxa"/>
            <w:tcBorders/>
          </w:tcPr>
          <w:p>
            <w:pPr>
              <w:pStyle w:val="Normal"/>
              <w:widowControl w:val="false"/>
              <w:rPr>
                <w:b/>
                <w:sz w:val="22"/>
                <w:szCs w:val="22"/>
                <w:u w:val="single"/>
              </w:rPr>
            </w:pPr>
            <w:r>
              <w:rPr>
                <w:b/>
                <w:sz w:val="22"/>
                <w:szCs w:val="22"/>
                <w:u w:val="single"/>
              </w:rPr>
              <w:t>Покупатель:</w:t>
            </w:r>
          </w:p>
        </w:tc>
        <w:tc>
          <w:tcPr>
            <w:tcW w:w="5102" w:type="dxa"/>
            <w:tcBorders/>
          </w:tcPr>
          <w:p>
            <w:pPr>
              <w:pStyle w:val="Normal"/>
              <w:widowControl w:val="false"/>
              <w:rPr>
                <w:b/>
                <w:sz w:val="22"/>
                <w:szCs w:val="22"/>
                <w:u w:val="single"/>
              </w:rPr>
            </w:pPr>
            <w:r>
              <w:rPr>
                <w:b/>
                <w:sz w:val="22"/>
                <w:szCs w:val="22"/>
                <w:u w:val="single"/>
              </w:rPr>
              <w:t>Поставщик:</w:t>
            </w:r>
          </w:p>
        </w:tc>
      </w:tr>
      <w:tr>
        <w:trPr/>
        <w:tc>
          <w:tcPr>
            <w:tcW w:w="4678" w:type="dxa"/>
            <w:tcBorders/>
          </w:tcPr>
          <w:p>
            <w:pPr>
              <w:pStyle w:val="Normal"/>
              <w:widowControl w:val="false"/>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ind w:firstLine="567"/>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b/>
                <w:sz w:val="22"/>
                <w:szCs w:val="22"/>
              </w:rPr>
              <w:t>_______________</w:t>
            </w:r>
          </w:p>
        </w:tc>
        <w:tc>
          <w:tcPr>
            <w:tcW w:w="5102" w:type="dxa"/>
            <w:tcBorders/>
          </w:tcPr>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Cs/>
                <w:sz w:val="22"/>
                <w:szCs w:val="22"/>
              </w:rPr>
            </w:pPr>
            <w:r>
              <w:rPr>
                <w:bCs/>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________________ </w:t>
            </w:r>
          </w:p>
          <w:p>
            <w:pPr>
              <w:pStyle w:val="Normal"/>
              <w:widowControl w:val="false"/>
              <w:rPr>
                <w:sz w:val="22"/>
                <w:szCs w:val="22"/>
              </w:rPr>
            </w:pPr>
            <w:r>
              <w:rPr>
                <w:sz w:val="22"/>
                <w:szCs w:val="22"/>
              </w:rPr>
              <w:t xml:space="preserve"> </w:t>
            </w:r>
          </w:p>
        </w:tc>
      </w:tr>
      <w:tr>
        <w:trPr>
          <w:trHeight w:val="80" w:hRule="atLeast"/>
        </w:trPr>
        <w:tc>
          <w:tcPr>
            <w:tcW w:w="4678" w:type="dxa"/>
            <w:tcBorders/>
          </w:tcPr>
          <w:p>
            <w:pPr>
              <w:pStyle w:val="Normal"/>
              <w:widowControl w:val="false"/>
              <w:ind w:firstLine="567"/>
              <w:rPr>
                <w:sz w:val="22"/>
                <w:szCs w:val="22"/>
              </w:rPr>
            </w:pPr>
            <w:r>
              <w:rPr>
                <w:sz w:val="22"/>
                <w:szCs w:val="22"/>
              </w:rPr>
            </w:r>
          </w:p>
        </w:tc>
        <w:tc>
          <w:tcPr>
            <w:tcW w:w="5102" w:type="dxa"/>
            <w:tcBorders/>
          </w:tcPr>
          <w:p>
            <w:pPr>
              <w:pStyle w:val="Normal"/>
              <w:widowControl w:val="false"/>
              <w:ind w:firstLine="567"/>
              <w:rPr>
                <w:sz w:val="22"/>
                <w:szCs w:val="22"/>
              </w:rPr>
            </w:pPr>
            <w:r>
              <w:rPr>
                <w:sz w:val="22"/>
                <w:szCs w:val="22"/>
              </w:rPr>
            </w:r>
          </w:p>
        </w:tc>
      </w:tr>
    </w:tbl>
    <w:tbl>
      <w:tblPr>
        <w:tblpPr w:vertAnchor="text" w:horzAnchor="margin" w:leftFromText="180" w:rightFromText="180" w:tblpX="0" w:tblpY="225"/>
        <w:tblW w:w="98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069"/>
        <w:gridCol w:w="4786"/>
      </w:tblGrid>
      <w:tr>
        <w:trPr/>
        <w:tc>
          <w:tcPr>
            <w:tcW w:w="5069" w:type="dxa"/>
            <w:tcBorders/>
            <w:shd w:color="auto" w:fill="FFFFFF" w:themeFill="background1" w:val="clear"/>
          </w:tcPr>
          <w:p>
            <w:pPr>
              <w:pStyle w:val="Normal"/>
              <w:widowControl w:val="false"/>
              <w:rPr>
                <w:szCs w:val="22"/>
              </w:rPr>
            </w:pPr>
            <w:r>
              <w:rPr>
                <w:szCs w:val="22"/>
              </w:rPr>
            </w:r>
          </w:p>
        </w:tc>
        <w:tc>
          <w:tcPr>
            <w:tcW w:w="4786" w:type="dxa"/>
            <w:tcBorders/>
            <w:shd w:color="auto" w:fill="FFFFFF" w:themeFill="background1" w:val="clear"/>
          </w:tcPr>
          <w:p>
            <w:pPr>
              <w:pStyle w:val="Style17"/>
              <w:widowControl w:val="false"/>
              <w:spacing w:lineRule="auto" w:line="240" w:before="0" w:after="0"/>
              <w:jc w:val="left"/>
              <w:rPr>
                <w:rFonts w:ascii="Times New Roman" w:hAnsi="Times New Roman"/>
                <w:szCs w:val="22"/>
                <w:lang w:val="ru-RU"/>
              </w:rPr>
            </w:pPr>
            <w:r>
              <w:rPr>
                <w:rFonts w:ascii="Times New Roman" w:hAnsi="Times New Roman"/>
                <w:szCs w:val="22"/>
                <w:lang w:val="ru-RU"/>
              </w:rPr>
            </w:r>
          </w:p>
        </w:tc>
      </w:tr>
    </w:tbl>
    <w:p>
      <w:pPr>
        <w:pStyle w:val="BodyText"/>
        <w:numPr>
          <w:ilvl w:val="0"/>
          <w:numId w:val="0"/>
        </w:numPr>
        <w:ind w:firstLine="567" w:left="0"/>
        <w:jc w:val="right"/>
        <w:outlineLvl w:val="0"/>
        <w:rPr>
          <w:bCs/>
          <w:szCs w:val="22"/>
        </w:rPr>
      </w:pPr>
      <w:r/>
      <w:r>
        <w:rPr>
          <w:bCs/>
          <w:szCs w:val="22"/>
        </w:rPr>
        <w:t>Приложение № 1</w:t>
      </w:r>
    </w:p>
    <w:p>
      <w:pPr>
        <w:pStyle w:val="BodyText"/>
        <w:ind w:firstLine="567"/>
        <w:jc w:val="right"/>
        <w:rPr>
          <w:bCs/>
          <w:szCs w:val="22"/>
        </w:rPr>
      </w:pPr>
      <w:r>
        <w:rPr>
          <w:bCs/>
          <w:szCs w:val="22"/>
        </w:rPr>
        <w:t xml:space="preserve">к договору поставки </w:t>
      </w:r>
    </w:p>
    <w:p>
      <w:pPr>
        <w:pStyle w:val="BodyText"/>
        <w:ind w:firstLine="567"/>
        <w:jc w:val="right"/>
        <w:rPr>
          <w:bCs/>
          <w:szCs w:val="22"/>
        </w:rPr>
      </w:pPr>
      <w:r>
        <w:rPr>
          <w:bCs/>
          <w:szCs w:val="22"/>
        </w:rPr>
        <w:t xml:space="preserve">№ </w:t>
      </w:r>
      <w:r>
        <w:rPr>
          <w:bCs/>
          <w:szCs w:val="22"/>
        </w:rPr>
        <w:t>_______________________ от «____» ____________ 2026 г.</w:t>
      </w:r>
    </w:p>
    <w:p>
      <w:pPr>
        <w:pStyle w:val="Normal"/>
        <w:numPr>
          <w:ilvl w:val="0"/>
          <w:numId w:val="0"/>
        </w:numPr>
        <w:ind w:firstLine="567"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bookmarkStart w:id="7" w:name="_GoBack_Копия_1"/>
      <w:bookmarkEnd w:id="7"/>
      <w:r>
        <w:rPr>
          <w:b/>
          <w:sz w:val="22"/>
          <w:szCs w:val="22"/>
        </w:rPr>
        <w:t>Спецификация № 1</w:t>
      </w:r>
    </w:p>
    <w:p>
      <w:pPr>
        <w:pStyle w:val="Normal"/>
        <w:numPr>
          <w:ilvl w:val="0"/>
          <w:numId w:val="0"/>
        </w:numPr>
        <w:ind w:hanging="0" w:left="0"/>
        <w:jc w:val="center"/>
        <w:outlineLvl w:val="0"/>
        <w:rPr>
          <w:b/>
          <w:sz w:val="22"/>
          <w:szCs w:val="22"/>
        </w:rPr>
      </w:pPr>
      <w:r>
        <w:rPr>
          <w:b/>
          <w:sz w:val="22"/>
          <w:szCs w:val="22"/>
        </w:rPr>
      </w:r>
    </w:p>
    <w:tbl>
      <w:tblPr>
        <w:tblW w:w="9901" w:type="dxa"/>
        <w:jc w:val="left"/>
        <w:tblInd w:w="-118" w:type="dxa"/>
        <w:tblLayout w:type="fixed"/>
        <w:tblCellMar>
          <w:top w:w="0" w:type="dxa"/>
          <w:left w:w="108" w:type="dxa"/>
          <w:bottom w:w="0" w:type="dxa"/>
          <w:right w:w="108" w:type="dxa"/>
        </w:tblCellMar>
        <w:tblLook w:val="04a0" w:noHBand="0" w:noVBand="1" w:firstColumn="1" w:lastRow="0" w:lastColumn="0" w:firstRow="1"/>
      </w:tblPr>
      <w:tblGrid>
        <w:gridCol w:w="681"/>
        <w:gridCol w:w="3544"/>
        <w:gridCol w:w="1418"/>
        <w:gridCol w:w="1421"/>
        <w:gridCol w:w="1436"/>
        <w:gridCol w:w="1400"/>
      </w:tblGrid>
      <w:tr>
        <w:trPr/>
        <w:tc>
          <w:tcPr>
            <w:tcW w:w="68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w:t>
            </w:r>
          </w:p>
          <w:p>
            <w:pPr>
              <w:pStyle w:val="Normal"/>
              <w:keepNext w:val="true"/>
              <w:widowControl w:val="false"/>
              <w:jc w:val="center"/>
              <w:rPr>
                <w:sz w:val="22"/>
                <w:szCs w:val="22"/>
              </w:rPr>
            </w:pPr>
            <w:r>
              <w:rPr>
                <w:sz w:val="22"/>
                <w:szCs w:val="22"/>
              </w:rPr>
              <w:t>п/п</w:t>
            </w:r>
          </w:p>
        </w:tc>
        <w:tc>
          <w:tcPr>
            <w:tcW w:w="3544"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Наименование Продукции</w:t>
            </w:r>
          </w:p>
        </w:tc>
        <w:tc>
          <w:tcPr>
            <w:tcW w:w="1418"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Единица измерения</w:t>
            </w:r>
          </w:p>
        </w:tc>
        <w:tc>
          <w:tcPr>
            <w:tcW w:w="142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Количество</w:t>
            </w:r>
          </w:p>
        </w:tc>
        <w:tc>
          <w:tcPr>
            <w:tcW w:w="1436"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Цена одной единицы Продукции, руб., без НДС</w:t>
            </w:r>
          </w:p>
        </w:tc>
        <w:tc>
          <w:tcPr>
            <w:tcW w:w="1400"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Итоговая стоимость позиции Продукции, руб. без НДС</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1</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2</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3</w:t>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4</w:t>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5</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6</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21"/>
              </w:numPr>
              <w:spacing w:before="0" w:after="0"/>
              <w:contextualSpacing/>
              <w:rPr>
                <w:rFonts w:eastAsia="Calibri"/>
                <w:sz w:val="22"/>
                <w:szCs w:val="22"/>
              </w:rPr>
            </w:pPr>
            <w:r>
              <w:rPr>
                <w:rFonts w:eastAsia="Calibri"/>
                <w:sz w:val="22"/>
                <w:szCs w:val="22"/>
              </w:rPr>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850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jc w:val="right"/>
              <w:rPr>
                <w:bCs/>
                <w:color w:val="000000"/>
                <w:sz w:val="22"/>
                <w:szCs w:val="22"/>
              </w:rPr>
            </w:pPr>
            <w:r>
              <w:rPr>
                <w:bCs/>
                <w:color w:val="000000"/>
                <w:sz w:val="22"/>
                <w:szCs w:val="22"/>
              </w:rPr>
              <w:t>Итого без НДС</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bl>
    <w:p>
      <w:pPr>
        <w:pStyle w:val="Normal"/>
        <w:tabs>
          <w:tab w:val="clear" w:pos="720"/>
          <w:tab w:val="left" w:pos="0" w:leader="none"/>
        </w:tabs>
        <w:rPr>
          <w:sz w:val="22"/>
          <w:szCs w:val="22"/>
          <w:lang w:eastAsia="ar-SA"/>
        </w:rPr>
      </w:pPr>
      <w:r>
        <w:rPr>
          <w:sz w:val="22"/>
          <w:szCs w:val="22"/>
          <w:lang w:eastAsia="ar-SA"/>
        </w:rPr>
      </w:r>
    </w:p>
    <w:p>
      <w:pPr>
        <w:pStyle w:val="Normal"/>
        <w:ind w:firstLine="567"/>
        <w:jc w:val="both"/>
        <w:rPr>
          <w:bCs/>
          <w:sz w:val="22"/>
          <w:szCs w:val="22"/>
        </w:rPr>
      </w:pPr>
      <w:r>
        <w:rPr>
          <w:bCs/>
          <w:sz w:val="22"/>
          <w:szCs w:val="22"/>
        </w:rPr>
        <w:t>1. Общая сумма Спецификации № 1 составляет __________</w:t>
      </w:r>
      <w:r>
        <w:rPr>
          <w:sz w:val="22"/>
          <w:szCs w:val="22"/>
        </w:rPr>
        <w:t xml:space="preserve"> (_______________________) рублей 00 копеек </w:t>
      </w:r>
      <w:r>
        <w:rPr>
          <w:bCs/>
          <w:sz w:val="22"/>
          <w:szCs w:val="22"/>
        </w:rPr>
        <w:t>без учета НДС, при этом НДС исчисляется дополнительно по ставке, установленной ст. 164 Налогового кодекса РФ.</w:t>
      </w:r>
    </w:p>
    <w:p>
      <w:pPr>
        <w:pStyle w:val="Normal"/>
        <w:ind w:firstLine="567"/>
        <w:jc w:val="both"/>
        <w:rPr>
          <w:bCs/>
          <w:sz w:val="22"/>
          <w:szCs w:val="22"/>
        </w:rPr>
      </w:pPr>
      <w:r>
        <w:rPr>
          <w:bCs/>
          <w:sz w:val="22"/>
          <w:szCs w:val="22"/>
        </w:rPr>
        <w:t xml:space="preserve">2. Страна производства по ОКСМ: </w:t>
      </w:r>
    </w:p>
    <w:p>
      <w:pPr>
        <w:pStyle w:val="Normal"/>
        <w:rPr>
          <w:sz w:val="22"/>
          <w:szCs w:val="22"/>
        </w:rPr>
      </w:pPr>
      <w:r>
        <w:rPr>
          <w:sz w:val="22"/>
          <w:szCs w:val="22"/>
        </w:rPr>
      </w:r>
    </w:p>
    <w:tbl>
      <w:tblPr>
        <w:tblpPr w:vertAnchor="text" w:horzAnchor="margin" w:leftFromText="180" w:rightFromText="180" w:tblpX="0" w:tblpY="225"/>
        <w:tblW w:w="104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354"/>
        <w:gridCol w:w="5101"/>
      </w:tblGrid>
      <w:tr>
        <w:trPr/>
        <w:tc>
          <w:tcPr>
            <w:tcW w:w="5354" w:type="dxa"/>
            <w:tcBorders/>
            <w:shd w:color="auto" w:fill="FFFFFF" w:themeFill="background1" w:val="clear"/>
          </w:tcPr>
          <w:p>
            <w:pPr>
              <w:pStyle w:val="Normal"/>
              <w:widowControl w:val="false"/>
              <w:rPr>
                <w:b/>
                <w:sz w:val="22"/>
                <w:szCs w:val="22"/>
                <w:u w:val="single"/>
              </w:rPr>
            </w:pPr>
            <w:r>
              <w:rPr>
                <w:b/>
                <w:sz w:val="22"/>
                <w:szCs w:val="22"/>
                <w:u w:val="single"/>
              </w:rPr>
              <w:t>Покупатель:</w:t>
            </w:r>
          </w:p>
          <w:p>
            <w:pPr>
              <w:pStyle w:val="Normal"/>
              <w:widowControl w:val="false"/>
              <w:rPr>
                <w:sz w:val="22"/>
                <w:szCs w:val="22"/>
              </w:rPr>
            </w:pPr>
            <w:r>
              <w:rPr>
                <w:sz w:val="22"/>
                <w:szCs w:val="22"/>
              </w:rPr>
            </w:r>
          </w:p>
          <w:p>
            <w:pPr>
              <w:pStyle w:val="Normal"/>
              <w:widowControl w:val="false"/>
              <w:rPr>
                <w:sz w:val="22"/>
                <w:szCs w:val="22"/>
                <w:u w:val="single"/>
              </w:rPr>
            </w:pPr>
            <w:r>
              <w:rPr>
                <w:sz w:val="22"/>
                <w:szCs w:val="22"/>
                <w:u w:val="single"/>
              </w:rPr>
            </w:r>
          </w:p>
          <w:p>
            <w:pPr>
              <w:pStyle w:val="Normal"/>
              <w:widowControl w:val="false"/>
              <w:rPr>
                <w:sz w:val="22"/>
                <w:szCs w:val="22"/>
                <w:u w:val="single"/>
              </w:rPr>
            </w:pPr>
            <w:r>
              <w:rPr>
                <w:sz w:val="22"/>
                <w:szCs w:val="22"/>
                <w:u w:val="single"/>
              </w:rPr>
            </w:r>
          </w:p>
        </w:tc>
        <w:tc>
          <w:tcPr>
            <w:tcW w:w="5101" w:type="dxa"/>
            <w:tcBorders/>
            <w:shd w:color="auto" w:fill="FFFFFF" w:themeFill="background1" w:val="clear"/>
          </w:tcPr>
          <w:p>
            <w:pPr>
              <w:pStyle w:val="Normal"/>
              <w:widowControl w:val="false"/>
              <w:rPr>
                <w:b/>
                <w:sz w:val="22"/>
                <w:szCs w:val="22"/>
                <w:u w:val="single"/>
              </w:rPr>
            </w:pPr>
            <w:r>
              <w:rPr>
                <w:b/>
                <w:sz w:val="22"/>
                <w:szCs w:val="22"/>
                <w:u w:val="single"/>
              </w:rPr>
              <w:t>Поставщик:</w:t>
            </w:r>
          </w:p>
          <w:p>
            <w:pPr>
              <w:pStyle w:val="Normal"/>
              <w:widowControl w:val="false"/>
              <w:rPr>
                <w:sz w:val="22"/>
                <w:szCs w:val="22"/>
              </w:rPr>
            </w:pPr>
            <w:r>
              <w:rPr>
                <w:sz w:val="22"/>
                <w:szCs w:val="22"/>
              </w:rPr>
            </w:r>
          </w:p>
        </w:tc>
      </w:tr>
      <w:tr>
        <w:trPr/>
        <w:tc>
          <w:tcPr>
            <w:tcW w:w="5354" w:type="dxa"/>
            <w:tcBorders/>
            <w:shd w:color="auto" w:fill="FFFFFF" w:themeFill="background1" w:val="clear"/>
          </w:tcPr>
          <w:p>
            <w:pPr>
              <w:pStyle w:val="Normal"/>
              <w:widowControl w:val="false"/>
              <w:rPr>
                <w:sz w:val="22"/>
                <w:szCs w:val="22"/>
              </w:rPr>
            </w:pPr>
            <w:r>
              <w:rPr>
                <w:sz w:val="22"/>
                <w:szCs w:val="22"/>
              </w:rPr>
              <w:t xml:space="preserve">_______________ </w:t>
            </w:r>
          </w:p>
          <w:p>
            <w:pPr>
              <w:pStyle w:val="Normal"/>
              <w:widowControl w:val="false"/>
              <w:rPr>
                <w:sz w:val="22"/>
                <w:szCs w:val="22"/>
              </w:rPr>
            </w:pPr>
            <w:r>
              <w:rPr>
                <w:sz w:val="22"/>
                <w:szCs w:val="22"/>
              </w:rPr>
              <w:t>м.п.</w:t>
            </w:r>
          </w:p>
        </w:tc>
        <w:tc>
          <w:tcPr>
            <w:tcW w:w="5101" w:type="dxa"/>
            <w:tcBorders/>
            <w:shd w:color="auto" w:fill="FFFFFF" w:themeFill="background1" w:val="clear"/>
          </w:tcPr>
          <w:p>
            <w:pPr>
              <w:pStyle w:val="Normal"/>
              <w:widowControl w:val="false"/>
              <w:rPr>
                <w:sz w:val="22"/>
                <w:szCs w:val="22"/>
              </w:rPr>
            </w:pPr>
            <w:r>
              <w:rPr>
                <w:sz w:val="22"/>
                <w:szCs w:val="22"/>
              </w:rPr>
              <w:t>_______________</w:t>
            </w:r>
          </w:p>
          <w:p>
            <w:pPr>
              <w:pStyle w:val="Normal"/>
              <w:widowControl w:val="false"/>
              <w:rPr>
                <w:sz w:val="22"/>
                <w:szCs w:val="22"/>
              </w:rPr>
            </w:pPr>
            <w:r>
              <w:rPr>
                <w:sz w:val="22"/>
                <w:szCs w:val="22"/>
              </w:rPr>
              <w:t>м.п.</w:t>
            </w:r>
          </w:p>
        </w:tc>
      </w:tr>
    </w:tbl>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t>Приложение № 2</w:t>
      </w:r>
    </w:p>
    <w:p>
      <w:pPr>
        <w:pStyle w:val="Normal"/>
        <w:numPr>
          <w:ilvl w:val="0"/>
          <w:numId w:val="0"/>
        </w:numPr>
        <w:ind w:hanging="0" w:left="0"/>
        <w:jc w:val="right"/>
        <w:outlineLvl w:val="0"/>
        <w:rPr>
          <w:sz w:val="22"/>
          <w:szCs w:val="22"/>
        </w:rPr>
      </w:pPr>
      <w:r>
        <w:rPr>
          <w:sz w:val="22"/>
          <w:szCs w:val="22"/>
        </w:rPr>
        <w:t xml:space="preserve">к договору поставки </w:t>
      </w:r>
    </w:p>
    <w:p>
      <w:pPr>
        <w:pStyle w:val="Normal"/>
        <w:numPr>
          <w:ilvl w:val="0"/>
          <w:numId w:val="0"/>
        </w:numPr>
        <w:ind w:hanging="0" w:left="0"/>
        <w:jc w:val="right"/>
        <w:outlineLvl w:val="0"/>
        <w:rPr>
          <w:sz w:val="22"/>
          <w:szCs w:val="22"/>
        </w:rPr>
      </w:pPr>
      <w:r>
        <w:rPr>
          <w:sz w:val="22"/>
          <w:szCs w:val="22"/>
        </w:rPr>
        <w:t xml:space="preserve">№ </w:t>
      </w:r>
      <w:r>
        <w:rPr>
          <w:sz w:val="22"/>
          <w:szCs w:val="22"/>
        </w:rPr>
        <w:t>_______________________ от «____» ____________ 2026 г.</w:t>
      </w:r>
    </w:p>
    <w:p>
      <w:pPr>
        <w:pStyle w:val="Normal"/>
        <w:widowControl w:val="false"/>
        <w:spacing w:lineRule="auto" w:line="264"/>
        <w:rPr>
          <w:sz w:val="24"/>
          <w:szCs w:val="24"/>
        </w:rPr>
      </w:pPr>
      <w:r>
        <w:rPr>
          <w:sz w:val="24"/>
          <w:szCs w:val="24"/>
        </w:rPr>
      </w:r>
    </w:p>
    <w:p>
      <w:pPr>
        <w:pStyle w:val="Normal"/>
        <w:widowControl w:val="false"/>
        <w:spacing w:lineRule="auto" w:line="264"/>
        <w:jc w:val="center"/>
        <w:rPr>
          <w:sz w:val="24"/>
          <w:szCs w:val="24"/>
        </w:rPr>
      </w:pPr>
      <w:r>
        <w:rPr>
          <w:b/>
          <w:sz w:val="24"/>
          <w:szCs w:val="24"/>
        </w:rPr>
        <w:t>Технические требования</w:t>
      </w:r>
    </w:p>
    <w:p>
      <w:pPr>
        <w:pStyle w:val="Normal"/>
        <w:widowControl w:val="false"/>
        <w:spacing w:lineRule="auto" w:line="264"/>
        <w:rPr>
          <w:sz w:val="24"/>
          <w:szCs w:val="24"/>
        </w:rPr>
      </w:pPr>
      <w:r>
        <w:rPr>
          <w:sz w:val="24"/>
          <w:szCs w:val="24"/>
        </w:rPr>
      </w:r>
    </w:p>
    <w:p>
      <w:pPr>
        <w:pStyle w:val="Heading4"/>
        <w:numPr>
          <w:ilvl w:val="0"/>
          <w:numId w:val="0"/>
        </w:numPr>
        <w:ind w:hanging="0" w:left="2007"/>
        <w:rPr/>
      </w:pPr>
      <w:r>
        <w:rPr/>
      </w:r>
    </w:p>
    <w:sectPr>
      <w:headerReference w:type="default" r:id="rId5"/>
      <w:footerReference w:type="even" r:id="rId6"/>
      <w:footerReference w:type="default" r:id="rId7"/>
      <w:footerReference w:type="first" r:id="rId8"/>
      <w:type w:val="nextPage"/>
      <w:pgSz w:w="11906" w:h="16838"/>
      <w:pgMar w:left="1276" w:right="851" w:gutter="0" w:header="720" w:top="777" w:footer="720" w:bottom="777"/>
      <w:pgNumType w:fmt="decimal"/>
      <w:formProt w:val="false"/>
      <w:textDirection w:val="lrTb"/>
      <w:docGrid w:type="default" w:linePitch="272"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2"/>
      <w:numFmt w:val="decimal"/>
      <w:lvlText w:val="%1."/>
      <w:lvlJc w:val="left"/>
      <w:pPr>
        <w:tabs>
          <w:tab w:val="num" w:pos="360"/>
        </w:tabs>
        <w:ind w:left="360" w:hanging="360"/>
      </w:pPr>
      <w:rPr/>
    </w:lvl>
    <w:lvl w:ilvl="1">
      <w:start w:val="6"/>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4">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5">
    <w:lvl w:ilvl="0">
      <w:start w:val="2"/>
      <w:numFmt w:val="decimal"/>
      <w:lvlText w:val="%1."/>
      <w:lvlJc w:val="left"/>
      <w:pPr>
        <w:tabs>
          <w:tab w:val="num" w:pos="0"/>
        </w:tabs>
        <w:ind w:left="360" w:hanging="360"/>
      </w:pPr>
      <w:rPr/>
    </w:lvl>
    <w:lvl w:ilvl="1">
      <w:start w:val="7"/>
      <w:numFmt w:val="decimal"/>
      <w:lvlText w:val="%1.%2."/>
      <w:lvlJc w:val="left"/>
      <w:pPr>
        <w:tabs>
          <w:tab w:val="num" w:pos="0"/>
        </w:tabs>
        <w:ind w:left="927" w:hanging="360"/>
      </w:pPr>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6">
    <w:lvl w:ilvl="0">
      <w:start w:val="14"/>
      <w:numFmt w:val="decimal"/>
      <w:lvlText w:val="%1."/>
      <w:lvlJc w:val="left"/>
      <w:pPr>
        <w:tabs>
          <w:tab w:val="num" w:pos="0"/>
        </w:tabs>
        <w:ind w:left="480" w:hanging="480"/>
      </w:pPr>
      <w:rPr/>
    </w:lvl>
    <w:lvl w:ilvl="1">
      <w:start w:val="1"/>
      <w:numFmt w:val="decimal"/>
      <w:lvlText w:val="%1.%2."/>
      <w:lvlJc w:val="left"/>
      <w:pPr>
        <w:tabs>
          <w:tab w:val="num" w:pos="0"/>
        </w:tabs>
        <w:ind w:left="1756" w:hanging="480"/>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9096" w:hanging="144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2008" w:hanging="1800"/>
      </w:pPr>
      <w:rPr/>
    </w:lvl>
  </w:abstractNum>
  <w:abstractNum w:abstractNumId="17">
    <w:lvl w:ilvl="0">
      <w:start w:val="6"/>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18">
    <w:lvl w:ilvl="0">
      <w:start w:val="1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9">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14"/>
    <w:lvlOverride w:ilvl="0">
      <w:startOverride w:val="1"/>
    </w:lvlOverride>
  </w:num>
</w:numbering>
</file>

<file path=word/settings.xml><?xml version="1.0" encoding="utf-8"?>
<w:settings xmlns:w="http://schemas.openxmlformats.org/wordprocessingml/2006/main">
  <w:zoom w:percent="99"/>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docVars>
    <w:docVar w:name="OUR_BANK_SNAME_R" w:val="Банка ГПБ (АО)"/>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94793"/>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uiPriority w:val="99"/>
    <w:qFormat/>
    <w:rsid w:val="0066561f"/>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nhideWhenUsed/>
    <w:rsid w:val="002b6da9"/>
    <w:rPr>
      <w:color w:val="0000FF" w:themeColor="hyperlink"/>
      <w:u w:val="single"/>
    </w:rPr>
  </w:style>
  <w:style w:type="character" w:styleId="Style12" w:customStyle="1">
    <w:name w:val="Абзац списка Знак"/>
    <w:link w:val="ListParagraph"/>
    <w:uiPriority w:val="34"/>
    <w:qFormat/>
    <w:locked/>
    <w:rsid w:val="00a560b3"/>
    <w:rPr/>
  </w:style>
  <w:style w:type="paragraph" w:styleId="Style13">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4">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5"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6"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17"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8"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19"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Default" w:customStyle="1">
    <w:name w:val="Default"/>
    <w:qFormat/>
    <w:rsid w:val="007d008c"/>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20" w:customStyle="1">
    <w:name w:val="Содержимое врезки"/>
    <w:basedOn w:val="Normal"/>
    <w:qFormat/>
    <w:pPr/>
    <w:rPr/>
  </w:style>
  <w:style w:type="paragraph" w:styleId="11" w:customStyle="1">
    <w:name w:val="Основной текст1"/>
    <w:basedOn w:val="Normal"/>
    <w:qFormat/>
    <w:pPr>
      <w:widowControl w:val="false"/>
      <w:shd w:val="clear" w:color="auto" w:fill="FFFFFF"/>
      <w:spacing w:lineRule="exact" w:line="302"/>
    </w:pPr>
    <w:rPr>
      <w:sz w:val="28"/>
      <w:szCs w:val="28"/>
    </w:rPr>
  </w:style>
  <w:style w:type="paragraph" w:styleId="Style21" w:customStyle="1">
    <w:name w:val="Содержимое таблицы"/>
    <w:basedOn w:val="Normal"/>
    <w:qFormat/>
    <w:pPr>
      <w:widowControl w:val="false"/>
      <w:suppressLineNumber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a">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99990-333F-4F89-9841-5C5AD9838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Application>AlterOffice/2026.2.0.0$Linux_X86_64 LibreOffice_project/bc4ef1adf80b36c7a6365f8ed6cbf29021361edd</Application>
  <AppVersion>15.0000</AppVersion>
  <Pages>15</Pages>
  <Words>6862</Words>
  <Characters>48638</Characters>
  <CharactersWithSpaces>55158</CharactersWithSpaces>
  <Paragraphs>287</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2023-10-17T12:22:00Z</dcterms:created>
  <dc:creator>Света &amp; Алла (Twix)</dc:creator>
  <dc:description/>
  <dc:language>ru-RU</dc:language>
  <cp:lastModifiedBy>korolevkv@corp.gidroogk.com</cp:lastModifiedBy>
  <cp:lastPrinted>2025-01-24T15:27:00Z</cp:lastPrinted>
  <dcterms:modified xsi:type="dcterms:W3CDTF">2026-09-25T13:00:05Z</dcterms:modified>
  <cp:revision>137</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