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4767" w:left="9020"/>
        <w:rPr>
          <w:rStyle w:val="Style14"/>
          <w:b/>
        </w:rPr>
      </w:pPr>
      <w:r>
        <w:rPr>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t xml:space="preserve">ТЕХНИЧЕСКИЕ ТРЕБОВАНИЯ </w:t>
      </w:r>
    </w:p>
    <w:p>
      <w:pPr>
        <w:pStyle w:val="12"/>
        <w:shd w:val="clear" w:color="auto" w:fill="auto"/>
        <w:spacing w:lineRule="auto" w:line="264"/>
        <w:ind w:firstLine="851"/>
        <w:jc w:val="center"/>
        <w:rPr>
          <w:rFonts w:ascii="Times New Roman" w:hAnsi="Times New Roman"/>
        </w:rPr>
      </w:pPr>
      <w:r>
        <w:rPr>
          <w:rFonts w:ascii="Times New Roman" w:hAnsi="Times New Roman"/>
          <w:color w:val="000000"/>
          <w:shd w:fill="auto" w:val="clear"/>
        </w:rPr>
        <w:t>ОКПД2 25.93.11.120  П</w:t>
      </w:r>
      <w:r>
        <w:rPr>
          <w:rFonts w:ascii="Times New Roman" w:hAnsi="Times New Roman"/>
        </w:rPr>
        <w:t xml:space="preserve">оставка </w:t>
      </w:r>
      <w:r>
        <w:rPr>
          <w:rFonts w:ascii="Times New Roman" w:hAnsi="Times New Roman"/>
          <w:b w:val="false"/>
          <w:bCs w:val="false"/>
          <w:i w:val="false"/>
          <w:strike w:val="false"/>
          <w:dstrike w:val="false"/>
          <w:outline w:val="false"/>
          <w:shadow w:val="false"/>
          <w:color w:val="000000"/>
          <w:sz w:val="28"/>
          <w:szCs w:val="28"/>
          <w:u w:val="none"/>
          <w:em w:val="none"/>
        </w:rPr>
        <w:t xml:space="preserve">каната </w:t>
      </w:r>
      <w:r>
        <w:rPr>
          <w:rFonts w:ascii="Times New Roman" w:hAnsi="Times New Roman"/>
          <w:b w:val="false"/>
          <w:bCs w:val="false"/>
          <w:i w:val="false"/>
          <w:strike w:val="false"/>
          <w:dstrike w:val="false"/>
          <w:outline w:val="false"/>
          <w:shadow w:val="false"/>
          <w:color w:val="000000"/>
          <w:sz w:val="28"/>
          <w:szCs w:val="28"/>
          <w:u w:val="none"/>
          <w:em w:val="none"/>
          <w:lang w:eastAsia="ru-RU"/>
        </w:rPr>
        <w:t xml:space="preserve">28-Г-В-Н-Р-1670 ГОСТ 7669-80 </w:t>
      </w:r>
      <w:r>
        <w:rPr>
          <w:rFonts w:ascii="Times New Roman" w:hAnsi="Times New Roman"/>
        </w:rPr>
        <w:t>для нужд Волжского филиала</w:t>
      </w:r>
    </w:p>
    <w:p>
      <w:pPr>
        <w:pStyle w:val="12"/>
        <w:shd w:val="clear" w:color="auto" w:fill="auto"/>
        <w:spacing w:lineRule="auto" w:line="264"/>
        <w:ind w:firstLine="851"/>
        <w:jc w:val="center"/>
        <w:rPr>
          <w:rFonts w:ascii="Times New Roman" w:hAnsi="Times New Roman"/>
        </w:rPr>
      </w:pPr>
      <w:r>
        <w:rPr>
          <w:rFonts w:ascii="Times New Roman" w:hAnsi="Times New Roman"/>
        </w:rPr>
        <w:t xml:space="preserve">Лот № </w:t>
      </w:r>
      <w:r>
        <w:rPr>
          <w:rFonts w:ascii="Times New Roman" w:hAnsi="Times New Roman"/>
          <w:color w:val="auto"/>
        </w:rPr>
        <w:t xml:space="preserve"> 001</w:t>
      </w:r>
      <w:r>
        <w:rPr>
          <w:rFonts w:ascii="Times New Roman" w:hAnsi="Times New Roman"/>
          <w:color w:val="auto"/>
        </w:rPr>
        <w:t>3</w:t>
      </w:r>
      <w:r>
        <w:rPr>
          <w:rFonts w:ascii="Times New Roman" w:hAnsi="Times New Roman"/>
          <w:color w:val="auto"/>
        </w:rPr>
        <w:t>-ЭКСП ДОХ-2026-ГРВКК-ВолФ</w:t>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Normal"/>
        <w:bidi w:val="0"/>
        <w:jc w:val="left"/>
        <w:rPr>
          <w:rFonts w:ascii="Times New Roman" w:hAnsi="Times New Roman"/>
          <w:b w:val="false"/>
          <w:i w:val="false"/>
          <w:i w:val="false"/>
          <w:strike w:val="false"/>
          <w:dstrike w:val="false"/>
          <w:outline w:val="false"/>
          <w:shadow w:val="false"/>
          <w:color w:val="000000"/>
          <w:sz w:val="21"/>
          <w:u w:val="none"/>
          <w:em w:val="none"/>
        </w:rPr>
      </w:pPr>
      <w:r>
        <w:rPr>
          <w:rFonts w:ascii="Times New Roman" w:hAnsi="Times New Roman"/>
          <w:b w:val="false"/>
          <w:i w:val="false"/>
          <w:strike w:val="false"/>
          <w:dstrike w:val="false"/>
          <w:outline w:val="false"/>
          <w:shadow w:val="false"/>
          <w:color w:val="000000"/>
          <w:sz w:val="21"/>
          <w:u w:val="none"/>
          <w:em w:val="none"/>
        </w:rPr>
      </w:r>
    </w:p>
    <w:p>
      <w:pPr>
        <w:pStyle w:val="Normal"/>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Normal"/>
        <w:widowControl w:val="false"/>
        <w:spacing w:lineRule="auto" w:line="264" w:before="0" w:after="0"/>
        <w:rPr>
          <w:rFonts w:ascii="Times New Roman" w:hAnsi="Times New Roman"/>
          <w:sz w:val="24"/>
          <w:szCs w:val="24"/>
          <w:lang w:eastAsia="ru-RU"/>
        </w:rPr>
      </w:pPr>
      <w:r>
        <w:rPr>
          <w:rFonts w:ascii="Times New Roman" w:hAnsi="Times New Roman"/>
          <w:b/>
          <w:sz w:val="24"/>
          <w:szCs w:val="24"/>
          <w:lang w:eastAsia="ru-RU"/>
        </w:rPr>
        <w:t>1.1</w:t>
      </w:r>
      <w:r>
        <w:rPr>
          <w:rFonts w:ascii="Times New Roman" w:hAnsi="Times New Roman"/>
          <w:sz w:val="24"/>
          <w:szCs w:val="24"/>
          <w:lang w:eastAsia="ru-RU"/>
        </w:rPr>
        <w:t>.</w:t>
      </w:r>
      <w:r>
        <w:rPr>
          <w:rFonts w:ascii="Times New Roman" w:hAnsi="Times New Roman"/>
          <w:b/>
          <w:bCs/>
          <w:sz w:val="24"/>
          <w:szCs w:val="24"/>
          <w:lang w:eastAsia="ru-RU"/>
        </w:rPr>
        <w:tab/>
        <w:t>Наименование закупаемой продукции</w:t>
      </w:r>
    </w:p>
    <w:p>
      <w:pPr>
        <w:pStyle w:val="Normal"/>
        <w:widowControl w:val="false"/>
        <w:spacing w:lineRule="auto" w:line="264" w:before="0" w:after="0"/>
        <w:rPr>
          <w:rFonts w:ascii="Times New Roman" w:hAnsi="Times New Roman"/>
          <w:sz w:val="24"/>
          <w:szCs w:val="24"/>
          <w:lang w:eastAsia="ru-RU"/>
        </w:rPr>
      </w:pPr>
      <w:r>
        <w:rPr>
          <w:rFonts w:ascii="Times New Roman" w:hAnsi="Times New Roman"/>
          <w:sz w:val="24"/>
          <w:szCs w:val="24"/>
          <w:lang w:eastAsia="ru-RU"/>
        </w:rPr>
        <w:t>ОКПД2 25.93.11.120  Поставка каната 28-Г-В-Н-Р-1670 ГОСТ 7669-80 для нужд Волжского филиала (далее – продукция).</w:t>
      </w:r>
    </w:p>
    <w:p>
      <w:pPr>
        <w:pStyle w:val="Normal"/>
        <w:widowControl w:val="false"/>
        <w:shd w:val="clear" w:color="auto" w:fill="FFFFFF"/>
        <w:spacing w:lineRule="auto" w:line="264" w:before="0" w:after="0"/>
        <w:rPr>
          <w:rFonts w:ascii="Times New Roman" w:hAnsi="Times New Roman"/>
          <w:b/>
          <w:bCs/>
          <w:sz w:val="24"/>
          <w:szCs w:val="24"/>
          <w:lang w:val="x-none" w:eastAsia="ru-RU"/>
        </w:rPr>
      </w:pPr>
      <w:r>
        <w:rPr>
          <w:rFonts w:ascii="Times New Roman" w:hAnsi="Times New Roman"/>
          <w:b/>
          <w:sz w:val="24"/>
          <w:szCs w:val="24"/>
          <w:lang w:eastAsia="ru-RU"/>
        </w:rPr>
        <w:t>1.2</w:t>
      </w:r>
      <w:bookmarkStart w:id="0" w:name="_Toc75446569"/>
      <w:bookmarkStart w:id="1" w:name="_Toc46743507"/>
      <w:r>
        <w:rPr>
          <w:rFonts w:ascii="Times New Roman" w:hAnsi="Times New Roman"/>
          <w:b/>
          <w:bCs/>
          <w:i/>
          <w:iCs/>
          <w:sz w:val="24"/>
          <w:szCs w:val="24"/>
          <w:lang w:val="x-none" w:eastAsia="x-none"/>
        </w:rPr>
        <w:t xml:space="preserve"> </w:t>
        <w:tab/>
      </w:r>
      <w:r>
        <w:rPr>
          <w:rFonts w:ascii="Times New Roman" w:hAnsi="Times New Roman"/>
          <w:b/>
          <w:bCs/>
          <w:sz w:val="24"/>
          <w:szCs w:val="24"/>
          <w:lang w:val="x-none" w:eastAsia="ru-RU"/>
        </w:rPr>
        <w:t xml:space="preserve">Цель </w:t>
      </w:r>
      <w:bookmarkEnd w:id="1"/>
      <w:r>
        <w:rPr>
          <w:rFonts w:ascii="Times New Roman" w:hAnsi="Times New Roman"/>
          <w:b/>
          <w:bCs/>
          <w:sz w:val="24"/>
          <w:szCs w:val="24"/>
          <w:lang w:eastAsia="ru-RU"/>
        </w:rPr>
        <w:t xml:space="preserve">использования закупаемой продукции </w:t>
      </w:r>
      <w:bookmarkEnd w:id="0"/>
      <w:r>
        <w:rPr>
          <w:rFonts w:ascii="Times New Roman" w:hAnsi="Times New Roman"/>
          <w:b/>
          <w:bCs/>
          <w:sz w:val="24"/>
          <w:szCs w:val="24"/>
          <w:lang w:val="x-none" w:eastAsia="ru-RU"/>
        </w:rPr>
        <w:t xml:space="preserve"> </w:t>
      </w:r>
    </w:p>
    <w:p>
      <w:pPr>
        <w:pStyle w:val="Normal"/>
        <w:widowControl w:val="false"/>
        <w:shd w:val="clear" w:color="auto" w:fill="FFFFFF"/>
        <w:spacing w:lineRule="exact" w:line="302" w:before="0" w:after="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 xml:space="preserve">Закупаемая продукция предназначена для выполнения работ на Волжской ГЭС для исполнения Договора </w:t>
      </w:r>
      <w:r>
        <w:rPr>
          <w:rFonts w:ascii="Times New Roman" w:hAnsi="Times New Roman"/>
          <w:b w:val="false"/>
          <w:i w:val="false"/>
          <w:caps w:val="false"/>
          <w:smallCaps w:val="false"/>
          <w:strike w:val="false"/>
          <w:dstrike w:val="false"/>
          <w:outline w:val="false"/>
          <w:shadow w:val="false"/>
          <w:color w:val="000000"/>
          <w:spacing w:val="0"/>
          <w:sz w:val="24"/>
          <w:szCs w:val="24"/>
          <w:u w:val="none"/>
          <w:em w:val="none"/>
          <w:lang w:eastAsia="ru-RU"/>
        </w:rPr>
        <w:t>№ 1050-458-2025 от 30.12.2025г «Эксплуатация подъёмных сооружений филиала ПАО «РусГидро»-«Волжская ГЭС им. Ф.Г. Логинова».</w:t>
      </w:r>
    </w:p>
    <w:p>
      <w:pPr>
        <w:pStyle w:val="Normal"/>
        <w:keepNext w:val="true"/>
        <w:keepLines/>
        <w:numPr>
          <w:ilvl w:val="0"/>
          <w:numId w:val="0"/>
        </w:numPr>
        <w:spacing w:lineRule="auto" w:line="240" w:before="120" w:after="60"/>
        <w:ind w:hanging="357" w:left="357"/>
        <w:outlineLvl w:val="0"/>
        <w:rPr>
          <w:rFonts w:ascii="Times New Roman" w:hAnsi="Times New Roman"/>
          <w:b/>
          <w:iCs/>
          <w:caps/>
          <w:sz w:val="24"/>
          <w:szCs w:val="24"/>
          <w:lang w:eastAsia="x-none"/>
        </w:rPr>
      </w:pPr>
      <w:bookmarkStart w:id="2" w:name="_Toc51339693"/>
      <w:bookmarkStart w:id="3" w:name="_Toc75446573"/>
      <w:r>
        <w:rPr>
          <w:rFonts w:ascii="Times New Roman" w:hAnsi="Times New Roman"/>
          <w:b/>
          <w:iCs/>
          <w:sz w:val="24"/>
          <w:szCs w:val="24"/>
          <w:lang w:eastAsia="x-none"/>
        </w:rPr>
        <w:t xml:space="preserve">2. </w:t>
      </w:r>
      <w:r>
        <w:rPr>
          <w:rFonts w:ascii="Times New Roman" w:hAnsi="Times New Roman"/>
          <w:b/>
          <w:iCs/>
          <w:sz w:val="24"/>
          <w:szCs w:val="24"/>
          <w:lang w:val="x-none" w:eastAsia="x-none"/>
        </w:rPr>
        <w:t>Требования к продукции</w:t>
      </w:r>
      <w:bookmarkEnd w:id="2"/>
      <w:bookmarkEnd w:id="3"/>
    </w:p>
    <w:p>
      <w:pPr>
        <w:pStyle w:val="Normal"/>
        <w:keepNext w:val="true"/>
        <w:numPr>
          <w:ilvl w:val="0"/>
          <w:numId w:val="0"/>
        </w:numPr>
        <w:spacing w:lineRule="auto" w:line="240" w:before="120" w:after="60"/>
        <w:ind w:hanging="432" w:left="432"/>
        <w:outlineLvl w:val="3"/>
        <w:rPr>
          <w:rFonts w:ascii="Times New Roman" w:hAnsi="Times New Roman"/>
          <w:b/>
          <w:sz w:val="24"/>
          <w:szCs w:val="24"/>
          <w:lang w:eastAsia="ru-RU"/>
        </w:rPr>
      </w:pPr>
      <w:bookmarkStart w:id="4" w:name="_Toc75446574"/>
      <w:r>
        <w:rPr>
          <w:rFonts w:ascii="Times New Roman" w:hAnsi="Times New Roman"/>
          <w:b/>
          <w:sz w:val="24"/>
          <w:szCs w:val="24"/>
          <w:lang w:eastAsia="ru-RU"/>
        </w:rPr>
        <w:t>2.1 Требования к объемам и срокам поставки</w:t>
      </w:r>
      <w:bookmarkEnd w:id="4"/>
    </w:p>
    <w:p>
      <w:pPr>
        <w:pStyle w:val="Normal"/>
        <w:keepNext w:val="true"/>
        <w:numPr>
          <w:ilvl w:val="0"/>
          <w:numId w:val="0"/>
        </w:numPr>
        <w:spacing w:lineRule="auto" w:line="240" w:before="120" w:after="60"/>
        <w:ind w:hanging="0" w:left="0"/>
        <w:outlineLvl w:val="2"/>
        <w:rPr>
          <w:rFonts w:ascii="Times New Roman" w:hAnsi="Times New Roman"/>
          <w:b/>
          <w:sz w:val="24"/>
          <w:szCs w:val="24"/>
          <w:lang w:eastAsia="ru-RU"/>
        </w:rPr>
      </w:pPr>
      <w:bookmarkStart w:id="5" w:name="_Toc75446575"/>
      <w:r>
        <w:rPr>
          <w:rFonts w:ascii="Times New Roman" w:hAnsi="Times New Roman"/>
          <w:b/>
          <w:sz w:val="24"/>
          <w:szCs w:val="24"/>
          <w:lang w:eastAsia="ru-RU"/>
        </w:rPr>
        <w:t>2.1.1. Перечень и объем закупаемой продукции</w:t>
      </w:r>
      <w:bookmarkEnd w:id="5"/>
    </w:p>
    <w:p>
      <w:pPr>
        <w:pStyle w:val="Normal"/>
        <w:numPr>
          <w:ilvl w:val="0"/>
          <w:numId w:val="0"/>
        </w:numPr>
        <w:spacing w:lineRule="auto" w:line="240" w:before="240" w:after="60"/>
        <w:ind w:hanging="0" w:left="0"/>
        <w:outlineLvl w:val="0"/>
        <w:rPr>
          <w:rFonts w:ascii="Times New Roman" w:hAnsi="Times New Roman"/>
          <w:b/>
          <w:sz w:val="24"/>
          <w:szCs w:val="24"/>
          <w:lang w:eastAsia="ru-RU"/>
        </w:rPr>
      </w:pPr>
      <w:bookmarkStart w:id="6" w:name="_Toc75446576"/>
      <w:bookmarkStart w:id="7" w:name="_Toc51339695"/>
      <w:r>
        <w:rPr>
          <w:rFonts w:ascii="Times New Roman" w:hAnsi="Times New Roman"/>
          <w:b/>
          <w:sz w:val="24"/>
          <w:szCs w:val="24"/>
          <w:lang w:eastAsia="ru-RU"/>
        </w:rPr>
        <w:t xml:space="preserve">Таблица 1.1 Перечень </w:t>
      </w:r>
      <w:bookmarkEnd w:id="7"/>
      <w:r>
        <w:rPr>
          <w:rFonts w:ascii="Times New Roman" w:hAnsi="Times New Roman"/>
          <w:b/>
          <w:sz w:val="24"/>
          <w:szCs w:val="24"/>
          <w:lang w:eastAsia="ru-RU"/>
        </w:rPr>
        <w:t>и объем закупаемой продукции</w:t>
      </w:r>
      <w:bookmarkEnd w:id="6"/>
    </w:p>
    <w:tbl>
      <w:tblPr>
        <w:tblW w:w="10489" w:type="dxa"/>
        <w:jc w:val="left"/>
        <w:tblInd w:w="222" w:type="dxa"/>
        <w:tblLayout w:type="fixed"/>
        <w:tblCellMar>
          <w:top w:w="0" w:type="dxa"/>
          <w:left w:w="108" w:type="dxa"/>
          <w:bottom w:w="0" w:type="dxa"/>
          <w:right w:w="108" w:type="dxa"/>
        </w:tblCellMar>
        <w:tblLook w:val="04a0" w:noHBand="0" w:noVBand="1" w:firstColumn="1" w:lastRow="0" w:lastColumn="0" w:firstRow="1"/>
      </w:tblPr>
      <w:tblGrid>
        <w:gridCol w:w="847"/>
        <w:gridCol w:w="6173"/>
        <w:gridCol w:w="1874"/>
        <w:gridCol w:w="1594"/>
      </w:tblGrid>
      <w:tr>
        <w:trPr>
          <w:trHeight w:val="596" w:hRule="atLeast"/>
        </w:trPr>
        <w:tc>
          <w:tcPr>
            <w:tcW w:w="8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Cs w:val="24"/>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п/п</w:t>
            </w:r>
          </w:p>
        </w:tc>
        <w:tc>
          <w:tcPr>
            <w:tcW w:w="61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Наименование</w:t>
            </w:r>
            <w:r>
              <w:rPr>
                <w:rFonts w:eastAsia="Times New Roman" w:ascii="Times New Roman" w:hAnsi="Times New Roman"/>
                <w:sz w:val="24"/>
                <w:szCs w:val="24"/>
                <w:lang w:eastAsia="ru-RU"/>
              </w:rPr>
              <w:t xml:space="preserve"> продукции</w:t>
            </w:r>
          </w:p>
        </w:tc>
        <w:tc>
          <w:tcPr>
            <w:tcW w:w="1874" w:type="dxa"/>
            <w:tcBorders>
              <w:top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Ед. изм.</w:t>
            </w:r>
          </w:p>
        </w:tc>
        <w:tc>
          <w:tcPr>
            <w:tcW w:w="1594" w:type="dxa"/>
            <w:tcBorders>
              <w:top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Кол-во</w:t>
            </w:r>
          </w:p>
        </w:tc>
      </w:tr>
      <w:tr>
        <w:trPr>
          <w:trHeight w:val="397" w:hRule="atLeast"/>
        </w:trPr>
        <w:tc>
          <w:tcPr>
            <w:tcW w:w="847" w:type="dxa"/>
            <w:tcBorders>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1.</w:t>
            </w:r>
          </w:p>
        </w:tc>
        <w:tc>
          <w:tcPr>
            <w:tcW w:w="6173" w:type="dxa"/>
            <w:tcBorders>
              <w:left w:val="single" w:sz="4" w:space="0" w:color="000000"/>
              <w:bottom w:val="single" w:sz="4" w:space="0" w:color="000000"/>
              <w:right w:val="single" w:sz="4" w:space="0" w:color="000000"/>
            </w:tcBorders>
            <w:shd w:color="auto" w:fill="auto" w:val="clear"/>
          </w:tcPr>
          <w:p>
            <w:pPr>
              <w:pStyle w:val="Normal"/>
              <w:widowControl w:val="false"/>
              <w:bidi w:val="0"/>
              <w:spacing w:before="0" w:after="200"/>
              <w:jc w:val="left"/>
              <w:rPr>
                <w:sz w:val="24"/>
                <w:szCs w:val="24"/>
              </w:rPr>
            </w:pPr>
            <w:r>
              <w:rPr>
                <w:rFonts w:ascii="Times New Roman" w:hAnsi="Times New Roman"/>
                <w:b w:val="false"/>
                <w:bCs w:val="false"/>
                <w:i w:val="false"/>
                <w:strike w:val="false"/>
                <w:dstrike w:val="false"/>
                <w:outline w:val="false"/>
                <w:shadow w:val="false"/>
                <w:color w:val="000000"/>
                <w:sz w:val="24"/>
                <w:szCs w:val="24"/>
                <w:u w:val="none"/>
                <w:em w:val="none"/>
                <w:lang w:eastAsia="ru-RU"/>
              </w:rPr>
              <w:t>Канат 28-Г-В-Н-Р-1670 ГОСТ 7669-80</w:t>
            </w:r>
          </w:p>
        </w:tc>
        <w:tc>
          <w:tcPr>
            <w:tcW w:w="1874" w:type="dxa"/>
            <w:tcBorders>
              <w:bottom w:val="single" w:sz="4" w:space="0" w:color="000000"/>
              <w:right w:val="single" w:sz="4" w:space="0" w:color="000000"/>
            </w:tcBorders>
            <w:shd w:color="auto" w:fill="auto" w:val="clear"/>
          </w:tcPr>
          <w:p>
            <w:pPr>
              <w:pStyle w:val="Style20"/>
              <w:widowControl w:val="false"/>
              <w:spacing w:before="0" w:after="200"/>
              <w:jc w:val="center"/>
              <w:rPr>
                <w:color w:val="000000"/>
              </w:rPr>
            </w:pPr>
            <w:r>
              <w:rPr>
                <w:rFonts w:ascii="Times New Roman" w:hAnsi="Times New Roman"/>
                <w:color w:val="000000"/>
              </w:rPr>
              <w:t>м.</w:t>
            </w:r>
          </w:p>
        </w:tc>
        <w:tc>
          <w:tcPr>
            <w:tcW w:w="1594" w:type="dxa"/>
            <w:tcBorders>
              <w:bottom w:val="single" w:sz="4" w:space="0" w:color="000000"/>
              <w:right w:val="single" w:sz="4" w:space="0" w:color="000000"/>
            </w:tcBorders>
            <w:shd w:color="auto" w:fill="auto" w:val="clear"/>
          </w:tcPr>
          <w:p>
            <w:pPr>
              <w:pStyle w:val="Style20"/>
              <w:widowControl w:val="false"/>
              <w:spacing w:before="0" w:after="200"/>
              <w:jc w:val="center"/>
              <w:rPr>
                <w:color w:val="000000"/>
              </w:rPr>
            </w:pPr>
            <w:r>
              <w:rPr>
                <w:rFonts w:ascii="Times New Roman" w:hAnsi="Times New Roman"/>
                <w:color w:val="000000"/>
              </w:rPr>
              <w:t>1200*</w:t>
            </w:r>
          </w:p>
        </w:tc>
      </w:tr>
      <w:tr>
        <w:trPr>
          <w:trHeight w:val="397" w:hRule="atLeast"/>
        </w:trPr>
        <w:tc>
          <w:tcPr>
            <w:tcW w:w="10488" w:type="dxa"/>
            <w:gridSpan w:val="4"/>
            <w:tcBorders>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*двумя отрезками по 600 метров</w:t>
            </w:r>
          </w:p>
        </w:tc>
      </w:tr>
    </w:tbl>
    <w:p>
      <w:pPr>
        <w:pStyle w:val="Normal"/>
        <w:keepNext w:val="true"/>
        <w:keepLines/>
        <w:numPr>
          <w:ilvl w:val="0"/>
          <w:numId w:val="0"/>
        </w:numPr>
        <w:spacing w:lineRule="auto" w:line="240" w:before="240" w:after="60"/>
        <w:ind w:hanging="0" w:left="0"/>
        <w:outlineLvl w:val="0"/>
        <w:rPr>
          <w:rFonts w:ascii="Times New Roman" w:hAnsi="Times New Roman"/>
          <w:b/>
          <w:sz w:val="24"/>
          <w:szCs w:val="24"/>
          <w:lang w:eastAsia="ru-RU"/>
        </w:rPr>
      </w:pPr>
      <w:r>
        <w:rPr>
          <w:rFonts w:ascii="Times New Roman" w:hAnsi="Times New Roman"/>
          <w:b/>
          <w:sz w:val="24"/>
          <w:szCs w:val="24"/>
          <w:lang w:eastAsia="ru-RU"/>
        </w:rPr>
        <w:t>2.1.2.</w:t>
        <w:tab/>
        <w:t>Требования к срокам поставки продукции</w:t>
      </w:r>
    </w:p>
    <w:p>
      <w:pPr>
        <w:pStyle w:val="Normal"/>
        <w:keepNext w:val="true"/>
        <w:keepLines/>
        <w:numPr>
          <w:ilvl w:val="0"/>
          <w:numId w:val="0"/>
        </w:numPr>
        <w:spacing w:lineRule="auto" w:line="240" w:before="240" w:after="60"/>
        <w:ind w:hanging="0" w:left="0"/>
        <w:outlineLvl w:val="0"/>
        <w:rPr>
          <w:rFonts w:ascii="Times New Roman" w:hAnsi="Times New Roman"/>
          <w:b/>
          <w:sz w:val="24"/>
          <w:szCs w:val="24"/>
          <w:lang w:eastAsia="ru-RU"/>
        </w:rPr>
      </w:pPr>
      <w:r>
        <w:rPr>
          <w:rFonts w:ascii="Times New Roman" w:hAnsi="Times New Roman"/>
          <w:b/>
          <w:sz w:val="24"/>
          <w:szCs w:val="24"/>
          <w:lang w:eastAsia="ru-RU"/>
        </w:rPr>
        <w:t xml:space="preserve">Таблица 2.1 Требования по срокам поставки продукции </w:t>
      </w:r>
    </w:p>
    <w:tbl>
      <w:tblPr>
        <w:tblW w:w="10460" w:type="dxa"/>
        <w:jc w:val="left"/>
        <w:tblInd w:w="256" w:type="dxa"/>
        <w:tblLayout w:type="fixed"/>
        <w:tblCellMar>
          <w:top w:w="0" w:type="dxa"/>
          <w:left w:w="108" w:type="dxa"/>
          <w:bottom w:w="0" w:type="dxa"/>
          <w:right w:w="108" w:type="dxa"/>
        </w:tblCellMar>
        <w:tblLook w:val="04a0" w:noHBand="0" w:noVBand="1" w:firstColumn="1" w:lastRow="0" w:lastColumn="0" w:firstRow="1"/>
      </w:tblPr>
      <w:tblGrid>
        <w:gridCol w:w="685"/>
        <w:gridCol w:w="3727"/>
        <w:gridCol w:w="2618"/>
        <w:gridCol w:w="3429"/>
      </w:tblGrid>
      <w:tr>
        <w:trPr>
          <w:trHeight w:val="825" w:hRule="atLeast"/>
          <w:cantSplit w:val="true"/>
        </w:trPr>
        <w:tc>
          <w:tcPr>
            <w:tcW w:w="6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п/п</w:t>
            </w:r>
          </w:p>
        </w:tc>
        <w:tc>
          <w:tcPr>
            <w:tcW w:w="3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Наименование продукции / партии продукции</w:t>
            </w:r>
          </w:p>
        </w:tc>
        <w:tc>
          <w:tcPr>
            <w:tcW w:w="26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началу срока поставки продукции</w:t>
            </w:r>
          </w:p>
        </w:tc>
        <w:tc>
          <w:tcPr>
            <w:tcW w:w="34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окончанию срока поставки продукции</w:t>
            </w:r>
          </w:p>
        </w:tc>
      </w:tr>
      <w:tr>
        <w:trPr>
          <w:trHeight w:val="825" w:hRule="atLeast"/>
          <w:cantSplit w:val="true"/>
        </w:trPr>
        <w:tc>
          <w:tcPr>
            <w:tcW w:w="6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1.</w:t>
            </w:r>
          </w:p>
        </w:tc>
        <w:tc>
          <w:tcPr>
            <w:tcW w:w="37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spacing w:before="0" w:after="200"/>
              <w:jc w:val="left"/>
              <w:rPr>
                <w:sz w:val="24"/>
                <w:szCs w:val="24"/>
              </w:rPr>
            </w:pPr>
            <w:r>
              <w:rPr>
                <w:rFonts w:ascii="Times New Roman" w:hAnsi="Times New Roman"/>
                <w:b w:val="false"/>
                <w:bCs w:val="false"/>
                <w:i w:val="false"/>
                <w:strike w:val="false"/>
                <w:dstrike w:val="false"/>
                <w:outline w:val="false"/>
                <w:shadow w:val="false"/>
                <w:color w:val="000000"/>
                <w:sz w:val="24"/>
                <w:szCs w:val="24"/>
                <w:u w:val="none"/>
                <w:em w:val="none"/>
                <w:lang w:eastAsia="ru-RU"/>
              </w:rPr>
              <w:t>Канат 28-Г-В-Н-Р-1670 ГОСТ 7669-80</w:t>
            </w:r>
          </w:p>
        </w:tc>
        <w:tc>
          <w:tcPr>
            <w:tcW w:w="26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hanging="0" w:left="57" w:right="57"/>
              <w:jc w:val="center"/>
              <w:rPr/>
            </w:pPr>
            <w:r>
              <w:rPr>
                <w:rFonts w:eastAsia="Times New Roman" w:ascii="Times New Roman" w:hAnsi="Times New Roman"/>
                <w:sz w:val="24"/>
                <w:szCs w:val="24"/>
                <w:lang w:eastAsia="ru-RU"/>
              </w:rPr>
              <w:t>С даты заключения договора</w:t>
            </w:r>
          </w:p>
        </w:tc>
        <w:tc>
          <w:tcPr>
            <w:tcW w:w="34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pPr>
            <w:r>
              <w:rPr>
                <w:rFonts w:ascii="Times New Roman" w:hAnsi="Times New Roman"/>
                <w:color w:val="000000"/>
                <w:sz w:val="24"/>
                <w:szCs w:val="24"/>
              </w:rPr>
              <w:t>Не позднее 25.12.2026г. с даты заключения договора*</w:t>
            </w:r>
          </w:p>
        </w:tc>
      </w:tr>
      <w:tr>
        <w:trPr>
          <w:trHeight w:val="825" w:hRule="atLeast"/>
          <w:cantSplit w:val="true"/>
        </w:trPr>
        <w:tc>
          <w:tcPr>
            <w:tcW w:w="10459" w:type="dxa"/>
            <w:gridSpan w:val="4"/>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*срок установлен в соответствии с условиями договора, указанного в п.1.2. Технических требований</w:t>
            </w:r>
          </w:p>
        </w:tc>
      </w:tr>
    </w:tbl>
    <w:p>
      <w:pPr>
        <w:pStyle w:val="Normal"/>
        <w:keepNext w:val="true"/>
        <w:numPr>
          <w:ilvl w:val="0"/>
          <w:numId w:val="0"/>
        </w:numPr>
        <w:spacing w:lineRule="auto" w:line="240" w:before="120" w:after="60"/>
        <w:ind w:hanging="432" w:left="432"/>
        <w:outlineLvl w:val="3"/>
        <w:rPr>
          <w:rFonts w:ascii="Times New Roman" w:hAnsi="Times New Roman"/>
          <w:sz w:val="24"/>
          <w:szCs w:val="24"/>
          <w:lang w:eastAsia="x-none"/>
        </w:rPr>
      </w:pPr>
      <w:r>
        <w:rPr>
          <w:rFonts w:ascii="Times New Roman" w:hAnsi="Times New Roman"/>
          <w:sz w:val="24"/>
          <w:szCs w:val="24"/>
          <w:lang w:eastAsia="x-none"/>
        </w:rPr>
      </w:r>
    </w:p>
    <w:p>
      <w:pPr>
        <w:pStyle w:val="Normal"/>
        <w:spacing w:before="0" w:after="0"/>
        <w:jc w:val="both"/>
        <w:rPr>
          <w:rFonts w:ascii="Times New Roman" w:hAnsi="Times New Roman"/>
          <w:b/>
          <w:bCs/>
          <w:sz w:val="24"/>
          <w:szCs w:val="24"/>
        </w:rPr>
      </w:pPr>
      <w:bookmarkStart w:id="8" w:name="_Toc51339698"/>
      <w:bookmarkStart w:id="9" w:name="_Toc50125131"/>
      <w:bookmarkEnd w:id="8"/>
      <w:bookmarkEnd w:id="9"/>
      <w:r>
        <w:rPr>
          <w:rFonts w:ascii="Times New Roman" w:hAnsi="Times New Roman"/>
          <w:b/>
          <w:bCs/>
          <w:sz w:val="24"/>
          <w:szCs w:val="24"/>
        </w:rPr>
        <w:t>2.2. Требования к качеству продукции</w:t>
      </w:r>
    </w:p>
    <w:p>
      <w:pPr>
        <w:pStyle w:val="Normal"/>
        <w:spacing w:before="0" w:after="0"/>
        <w:jc w:val="both"/>
        <w:rPr>
          <w:rFonts w:ascii="Times New Roman" w:hAnsi="Times New Roman"/>
          <w:b/>
          <w:bCs/>
          <w:sz w:val="24"/>
          <w:szCs w:val="24"/>
        </w:rPr>
      </w:pPr>
      <w:r>
        <w:rPr>
          <w:rFonts w:ascii="Times New Roman" w:hAnsi="Times New Roman"/>
          <w:b/>
          <w:bCs/>
          <w:sz w:val="24"/>
          <w:szCs w:val="24"/>
        </w:rPr>
        <w:t>Таблица 3. Требования к продукции</w:t>
      </w:r>
    </w:p>
    <w:p>
      <w:pPr>
        <w:pStyle w:val="Normal"/>
        <w:jc w:val="both"/>
        <w:rPr/>
      </w:pPr>
      <w:r>
        <w:rPr>
          <w:rFonts w:ascii="Times New Roman" w:hAnsi="Times New Roman"/>
          <w:b/>
          <w:bCs/>
          <w:sz w:val="24"/>
          <w:szCs w:val="24"/>
        </w:rPr>
        <w:t xml:space="preserve">Наименование продукции (позиция № 1 Таблицы 1.1): </w:t>
      </w:r>
    </w:p>
    <w:p>
      <w:pPr>
        <w:pStyle w:val="Normal"/>
        <w:jc w:val="both"/>
        <w:rPr/>
      </w:pPr>
      <w:r>
        <w:rPr>
          <w:rFonts w:ascii="Times New Roman" w:hAnsi="Times New Roman"/>
          <w:b w:val="false"/>
          <w:bCs w:val="false"/>
          <w:sz w:val="24"/>
          <w:szCs w:val="24"/>
        </w:rPr>
        <w:t>ОКПД2 25.93.11.120  Поставка каната 28-Г-В-Н-Р-1670 ГОСТ 7669-80 для нужд Волжского филиала</w:t>
      </w:r>
    </w:p>
    <w:tbl>
      <w:tblPr>
        <w:tblStyle w:val="aff5"/>
        <w:tblW w:w="10891" w:type="dxa"/>
        <w:jc w:val="left"/>
        <w:tblInd w:w="226" w:type="dxa"/>
        <w:tblLayout w:type="fixed"/>
        <w:tblCellMar>
          <w:top w:w="0" w:type="dxa"/>
          <w:left w:w="108" w:type="dxa"/>
          <w:bottom w:w="0" w:type="dxa"/>
          <w:right w:w="108" w:type="dxa"/>
        </w:tblCellMar>
        <w:tblLook w:val="04a0" w:noHBand="0" w:noVBand="1" w:firstColumn="1" w:lastRow="0" w:lastColumn="0" w:firstRow="1"/>
      </w:tblPr>
      <w:tblGrid>
        <w:gridCol w:w="728"/>
        <w:gridCol w:w="3067"/>
        <w:gridCol w:w="2941"/>
        <w:gridCol w:w="2001"/>
        <w:gridCol w:w="1917"/>
        <w:gridCol w:w="236"/>
      </w:tblGrid>
      <w:tr>
        <w:trPr>
          <w:trHeight w:val="235" w:hRule="atLeast"/>
        </w:trPr>
        <w:tc>
          <w:tcPr>
            <w:tcW w:w="728" w:type="dxa"/>
            <w:vMerge w:val="restart"/>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bCs/>
                <w:kern w:val="0"/>
                <w:sz w:val="20"/>
                <w:lang w:val="ru-RU" w:bidi="ar-SA"/>
              </w:rPr>
              <w:t xml:space="preserve">№ </w:t>
            </w:r>
            <w:r>
              <w:rPr>
                <w:rFonts w:eastAsia="Calibri" w:cs="Times New Roman" w:ascii="Times New Roman" w:hAnsi="Times New Roman"/>
                <w:b/>
                <w:bCs/>
                <w:kern w:val="0"/>
                <w:sz w:val="20"/>
                <w:lang w:val="ru-RU" w:bidi="ar-SA"/>
              </w:rPr>
              <w:t>п/п</w:t>
            </w:r>
          </w:p>
        </w:tc>
        <w:tc>
          <w:tcPr>
            <w:tcW w:w="3067" w:type="dxa"/>
            <w:vMerge w:val="restart"/>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kern w:val="0"/>
                <w:sz w:val="20"/>
                <w:lang w:val="ru-RU" w:bidi="ar-SA"/>
              </w:rPr>
              <w:t>Наименование параметра</w:t>
            </w:r>
          </w:p>
        </w:tc>
        <w:tc>
          <w:tcPr>
            <w:tcW w:w="2941" w:type="dxa"/>
            <w:vMerge w:val="restart"/>
            <w:tcBorders>
              <w:right w:val="nil"/>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kern w:val="0"/>
                <w:sz w:val="20"/>
                <w:lang w:val="ru-RU" w:bidi="ar-SA"/>
              </w:rPr>
              <w:t>Требование заказчика</w:t>
            </w:r>
          </w:p>
        </w:tc>
        <w:tc>
          <w:tcPr>
            <w:tcW w:w="3918" w:type="dxa"/>
            <w:gridSpan w:val="2"/>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kern w:val="0"/>
                <w:sz w:val="20"/>
                <w:lang w:val="ru-RU" w:bidi="ar-SA"/>
              </w:rPr>
              <w:t>Способ подтверждения участником соответствия требованиям</w:t>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235" w:hRule="atLeast"/>
        </w:trPr>
        <w:tc>
          <w:tcPr>
            <w:tcW w:w="728" w:type="dxa"/>
            <w:vMerge w:val="continue"/>
            <w:tcBorders>
              <w:top w:val="nil"/>
            </w:tcBorders>
            <w:vAlign w:val="center"/>
          </w:tcPr>
          <w:p>
            <w:pPr>
              <w:pStyle w:val="Normal"/>
              <w:widowControl w:val="false"/>
              <w:suppressAutoHyphens w:val="true"/>
              <w:spacing w:lineRule="auto" w:line="240" w:before="0" w:after="0"/>
              <w:jc w:val="both"/>
              <w:rPr>
                <w:rFonts w:ascii="Times New Roman" w:hAnsi="Times New Roman"/>
                <w:b/>
              </w:rPr>
            </w:pPr>
            <w:r>
              <w:rPr>
                <w:rFonts w:ascii="Times New Roman" w:hAnsi="Times New Roman"/>
                <w:b/>
                <w:sz w:val="20"/>
              </w:rPr>
            </w:r>
          </w:p>
        </w:tc>
        <w:tc>
          <w:tcPr>
            <w:tcW w:w="3067" w:type="dxa"/>
            <w:vMerge w:val="continue"/>
            <w:tcBorders>
              <w:top w:val="nil"/>
            </w:tcBorders>
            <w:vAlign w:val="center"/>
          </w:tcPr>
          <w:p>
            <w:pPr>
              <w:pStyle w:val="Normal"/>
              <w:widowControl w:val="false"/>
              <w:suppressAutoHyphens w:val="true"/>
              <w:spacing w:lineRule="auto" w:line="240" w:before="0" w:after="0"/>
              <w:jc w:val="both"/>
              <w:rPr>
                <w:rFonts w:ascii="Times New Roman" w:hAnsi="Times New Roman"/>
                <w:b/>
              </w:rPr>
            </w:pPr>
            <w:r>
              <w:rPr>
                <w:rFonts w:ascii="Times New Roman" w:hAnsi="Times New Roman"/>
                <w:b/>
                <w:sz w:val="20"/>
              </w:rPr>
            </w:r>
          </w:p>
        </w:tc>
        <w:tc>
          <w:tcPr>
            <w:tcW w:w="2941" w:type="dxa"/>
            <w:vMerge w:val="continue"/>
            <w:tcBorders>
              <w:top w:val="nil"/>
              <w:right w:val="nil"/>
            </w:tcBorders>
            <w:vAlign w:val="center"/>
          </w:tcPr>
          <w:p>
            <w:pPr>
              <w:pStyle w:val="Normal"/>
              <w:widowControl w:val="false"/>
              <w:suppressAutoHyphens w:val="true"/>
              <w:spacing w:lineRule="auto" w:line="240" w:before="0" w:after="0"/>
              <w:jc w:val="both"/>
              <w:rPr>
                <w:rFonts w:ascii="Times New Roman" w:hAnsi="Times New Roman"/>
                <w:b/>
              </w:rPr>
            </w:pPr>
            <w:r>
              <w:rPr>
                <w:rFonts w:ascii="Times New Roman" w:hAnsi="Times New Roman"/>
                <w:b/>
                <w:sz w:val="20"/>
              </w:rPr>
            </w:r>
          </w:p>
        </w:tc>
        <w:tc>
          <w:tcPr>
            <w:tcW w:w="2001" w:type="dxa"/>
            <w:tcBorders/>
            <w:vAlign w:val="center"/>
          </w:tcPr>
          <w:p>
            <w:pPr>
              <w:pStyle w:val="Normal"/>
              <w:widowControl w:val="false"/>
              <w:suppressAutoHyphens w:val="true"/>
              <w:spacing w:before="0" w:after="200"/>
              <w:jc w:val="both"/>
              <w:rPr>
                <w:rFonts w:ascii="Times New Roman" w:hAnsi="Times New Roman"/>
                <w:b/>
                <w:bCs/>
              </w:rPr>
            </w:pPr>
            <w:r>
              <w:rPr>
                <w:rFonts w:eastAsia="Calibri" w:cs="Times New Roman" w:ascii="Times New Roman" w:hAnsi="Times New Roman"/>
                <w:b/>
                <w:bCs/>
                <w:kern w:val="0"/>
                <w:sz w:val="20"/>
                <w:lang w:val="ru-RU" w:bidi="ar-SA"/>
              </w:rPr>
              <w:t>Согласие с требованием / указание характеристик</w:t>
            </w:r>
          </w:p>
        </w:tc>
        <w:tc>
          <w:tcPr>
            <w:tcW w:w="1917" w:type="dxa"/>
            <w:tcBorders/>
            <w:vAlign w:val="center"/>
          </w:tcPr>
          <w:p>
            <w:pPr>
              <w:pStyle w:val="Normal"/>
              <w:widowControl w:val="false"/>
              <w:suppressAutoHyphens w:val="true"/>
              <w:spacing w:before="0" w:after="200"/>
              <w:jc w:val="both"/>
              <w:rPr>
                <w:rFonts w:ascii="Times New Roman" w:hAnsi="Times New Roman"/>
                <w:b/>
                <w:bCs/>
              </w:rPr>
            </w:pPr>
            <w:bookmarkStart w:id="10" w:name="_Hlk51253264"/>
            <w:r>
              <w:rPr>
                <w:rFonts w:eastAsia="Calibri" w:cs="Times New Roman" w:ascii="Times New Roman" w:hAnsi="Times New Roman"/>
                <w:b/>
                <w:bCs/>
                <w:kern w:val="0"/>
                <w:sz w:val="20"/>
                <w:lang w:val="ru-RU" w:bidi="ar-SA"/>
              </w:rPr>
              <w:t>Предоставление подтверждающего документа или иной способ подтверждения</w:t>
            </w:r>
            <w:bookmarkEnd w:id="10"/>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194" w:hRule="atLeast"/>
        </w:trPr>
        <w:tc>
          <w:tcPr>
            <w:tcW w:w="728" w:type="dxa"/>
            <w:tcBorders/>
            <w:vAlign w:val="center"/>
          </w:tcPr>
          <w:p>
            <w:pPr>
              <w:pStyle w:val="Normal"/>
              <w:widowControl w:val="false"/>
              <w:suppressAutoHyphens w:val="true"/>
              <w:spacing w:before="0" w:after="200"/>
              <w:jc w:val="center"/>
              <w:rPr>
                <w:rFonts w:ascii="Times New Roman" w:hAnsi="Times New Roman"/>
              </w:rPr>
            </w:pPr>
            <w:r>
              <w:rPr>
                <w:rFonts w:eastAsia="Calibri" w:cs="Times New Roman" w:ascii="Times New Roman" w:hAnsi="Times New Roman"/>
                <w:b/>
                <w:kern w:val="0"/>
                <w:sz w:val="20"/>
                <w:lang w:val="ru-RU" w:bidi="ar-SA"/>
              </w:rPr>
              <w:t>1</w:t>
            </w:r>
          </w:p>
        </w:tc>
        <w:tc>
          <w:tcPr>
            <w:tcW w:w="3067" w:type="dxa"/>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2</w:t>
            </w:r>
          </w:p>
        </w:tc>
        <w:tc>
          <w:tcPr>
            <w:tcW w:w="2941" w:type="dxa"/>
            <w:tcBorders>
              <w:right w:val="nil"/>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3</w:t>
            </w:r>
          </w:p>
        </w:tc>
        <w:tc>
          <w:tcPr>
            <w:tcW w:w="2001" w:type="dxa"/>
            <w:tcBorders>
              <w:right w:val="nil"/>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4</w:t>
            </w:r>
          </w:p>
        </w:tc>
        <w:tc>
          <w:tcPr>
            <w:tcW w:w="1917" w:type="dxa"/>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5</w:t>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70" w:hRule="atLeast"/>
        </w:trPr>
        <w:tc>
          <w:tcPr>
            <w:tcW w:w="728" w:type="dxa"/>
            <w:tcBorders/>
            <w:vAlign w:val="center"/>
          </w:tcPr>
          <w:p>
            <w:pPr>
              <w:pStyle w:val="ListParagraph"/>
              <w:widowControl w:val="false"/>
              <w:numPr>
                <w:ilvl w:val="0"/>
                <w:numId w:val="2"/>
              </w:numPr>
              <w:suppressAutoHyphens w:val="true"/>
              <w:spacing w:before="0" w:after="200"/>
              <w:contextualSpacing/>
              <w:jc w:val="center"/>
              <w:rPr>
                <w:rFonts w:ascii="Times New Roman" w:hAnsi="Times New Roman"/>
              </w:rPr>
            </w:pPr>
            <w:r>
              <w:rPr>
                <w:rFonts w:ascii="Times New Roman" w:hAnsi="Times New Roman"/>
              </w:rPr>
            </w:r>
          </w:p>
        </w:tc>
        <w:tc>
          <w:tcPr>
            <w:tcW w:w="6008" w:type="dxa"/>
            <w:gridSpan w:val="2"/>
            <w:tcBorders>
              <w:right w:val="nil"/>
            </w:tcBorders>
            <w:vAlign w:val="center"/>
          </w:tcPr>
          <w:p>
            <w:pPr>
              <w:pStyle w:val="Normal"/>
              <w:widowControl w:val="false"/>
              <w:suppressAutoHyphens w:val="true"/>
              <w:spacing w:before="0" w:after="200"/>
              <w:jc w:val="both"/>
              <w:rPr>
                <w:rFonts w:ascii="Times New Roman" w:hAnsi="Times New Roman"/>
                <w:b/>
              </w:rPr>
            </w:pPr>
            <w:r>
              <w:rPr>
                <w:rFonts w:eastAsia="Calibri" w:cs="Times New Roman" w:ascii="Times New Roman" w:hAnsi="Times New Roman"/>
                <w:b/>
                <w:kern w:val="0"/>
                <w:sz w:val="20"/>
                <w:lang w:val="ru-RU" w:bidi="ar-SA"/>
              </w:rPr>
              <w:t>Требования к техническим и функциональным характеристикам (включая гарантируемые показатели)</w:t>
            </w:r>
          </w:p>
        </w:tc>
        <w:tc>
          <w:tcPr>
            <w:tcW w:w="2001" w:type="dxa"/>
            <w:vMerge w:val="restart"/>
            <w:tcBorders>
              <w:bottom w:val="outset" w:sz="2" w:space="0" w:color="000000"/>
              <w:right w:val="nil"/>
            </w:tcBorders>
            <w:vAlign w:val="center"/>
          </w:tcPr>
          <w:p>
            <w:pPr>
              <w:pStyle w:val="Normal"/>
              <w:widowControl w:val="false"/>
              <w:suppressAutoHyphens w:val="true"/>
              <w:spacing w:lineRule="auto" w:line="240" w:before="0" w:after="0"/>
              <w:contextualSpacing/>
              <w:jc w:val="both"/>
              <w:rPr>
                <w:rFonts w:ascii="Times New Roman" w:hAnsi="Times New Roman"/>
              </w:rPr>
            </w:pPr>
            <w:r>
              <w:rPr>
                <w:rFonts w:eastAsia="Calibri" w:cs="Times New Roman" w:ascii="Times New Roman" w:hAnsi="Times New Roman"/>
                <w:kern w:val="0"/>
                <w:sz w:val="20"/>
                <w:lang w:val="ru-RU" w:bidi="ar-SA"/>
              </w:rPr>
              <w:t>Участник должен представить в заявке согласие поставить продукцию, полностью соответствующую настоящим техническим требованиям, по форме Технического предложения, установленной в Документации о закупке.</w:t>
            </w:r>
          </w:p>
          <w:p>
            <w:pPr>
              <w:pStyle w:val="ListParagraph"/>
              <w:widowControl w:val="false"/>
              <w:suppressAutoHyphens w:val="true"/>
              <w:spacing w:lineRule="auto" w:line="240" w:before="0" w:after="200"/>
              <w:ind w:firstLine="40" w:left="-90"/>
              <w:contextualSpacing/>
              <w:jc w:val="both"/>
              <w:rPr>
                <w:rFonts w:ascii="Times New Roman" w:hAnsi="Times New Roman"/>
              </w:rPr>
            </w:pPr>
            <w:r>
              <w:rPr>
                <w:rFonts w:ascii="Times New Roman" w:hAnsi="Times New Roman"/>
              </w:rPr>
            </w:r>
          </w:p>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restart"/>
            <w:tcBorders>
              <w:bottom w:val="outset" w:sz="2" w:space="0" w:color="000000"/>
            </w:tcBorders>
          </w:tcPr>
          <w:p>
            <w:pPr>
              <w:pStyle w:val="Normal"/>
              <w:widowControl w:val="false"/>
              <w:suppressAutoHyphens w:val="true"/>
              <w:spacing w:before="0" w:after="200"/>
              <w:jc w:val="both"/>
              <w:rPr>
                <w:rFonts w:ascii="Times New Roman" w:hAnsi="Times New Roman"/>
              </w:rPr>
            </w:pPr>
            <w:r>
              <w:rPr>
                <w:rFonts w:eastAsia="Calibri" w:cs="Times New Roman" w:ascii="Times New Roman" w:hAnsi="Times New Roman"/>
                <w:kern w:val="0"/>
                <w:sz w:val="20"/>
                <w:lang w:val="ru-RU" w:bidi="ar-SA"/>
              </w:rPr>
              <w:t>-</w:t>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lang w:val="ru-RU" w:bidi="ar-SA"/>
              </w:rPr>
              <w:t>1.1</w:t>
            </w:r>
          </w:p>
        </w:tc>
        <w:tc>
          <w:tcPr>
            <w:tcW w:w="3067" w:type="dxa"/>
            <w:tcBorders/>
            <w:shd w:color="auto" w:fill="auto"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Диаметр, мм</w:t>
            </w:r>
          </w:p>
        </w:tc>
        <w:tc>
          <w:tcPr>
            <w:tcW w:w="2941" w:type="dxa"/>
            <w:tcBorders>
              <w:right w:val="nil"/>
            </w:tcBorders>
            <w:shd w:color="auto" w:fill="auto" w:val="clear"/>
            <w:vAlign w:val="center"/>
          </w:tcPr>
          <w:p>
            <w:pPr>
              <w:pStyle w:val="Normal"/>
              <w:widowControl w:val="false"/>
              <w:shd w:val="clear" w:fill="FFFFFF"/>
              <w:spacing w:before="0" w:after="200"/>
              <w:jc w:val="center"/>
              <w:rPr>
                <w:rFonts w:ascii="Times New Roman" w:hAnsi="Times New Roman"/>
                <w:sz w:val="24"/>
                <w:szCs w:val="24"/>
              </w:rPr>
            </w:pPr>
            <w:r>
              <w:rPr>
                <w:rFonts w:eastAsia="Calibri" w:cs="Times New Roman" w:ascii="Times New Roman" w:hAnsi="Times New Roman"/>
                <w:b w:val="false"/>
                <w:bCs w:val="false"/>
                <w:i w:val="false"/>
                <w:caps w:val="false"/>
                <w:smallCaps w:val="false"/>
                <w:strike w:val="false"/>
                <w:dstrike w:val="false"/>
                <w:outline w:val="false"/>
                <w:shadow w:val="false"/>
                <w:color w:val="000000"/>
                <w:spacing w:val="0"/>
                <w:kern w:val="0"/>
                <w:sz w:val="24"/>
                <w:szCs w:val="24"/>
                <w:u w:val="none"/>
                <w:shd w:fill="auto" w:val="clear"/>
                <w:em w:val="none"/>
                <w:lang w:val="ru-RU" w:eastAsia="ru-RU" w:bidi="ar-SA"/>
              </w:rPr>
              <w:t>28</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lang w:val="ru-RU" w:bidi="ar-SA"/>
              </w:rPr>
              <w:t>1.2</w:t>
            </w:r>
          </w:p>
        </w:tc>
        <w:tc>
          <w:tcPr>
            <w:tcW w:w="3067" w:type="dxa"/>
            <w:tcBorders/>
            <w:shd w:color="auto" w:fill="auto"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Канат подразделяется по признакам по назначению:</w:t>
            </w:r>
          </w:p>
        </w:tc>
        <w:tc>
          <w:tcPr>
            <w:tcW w:w="2941" w:type="dxa"/>
            <w:tcBorders>
              <w:right w:val="nil"/>
            </w:tcBorders>
            <w:shd w:color="auto" w:fill="auto"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eastAsia="Calibri" w:cs="Times New Roman" w:ascii="Times New Roman" w:hAnsi="Times New Roman"/>
                <w:b w:val="false"/>
                <w:i w:val="false"/>
                <w:caps w:val="false"/>
                <w:smallCaps w:val="false"/>
                <w:color w:val="000000"/>
                <w:spacing w:val="0"/>
                <w:kern w:val="0"/>
                <w:sz w:val="24"/>
                <w:szCs w:val="24"/>
                <w:shd w:fill="auto" w:val="clear"/>
                <w:lang w:val="ru-RU" w:eastAsia="en-US" w:bidi="ar-SA"/>
              </w:rPr>
              <w:t>Грузовые — Г</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26" w:hRule="atLeast"/>
        </w:trPr>
        <w:tc>
          <w:tcPr>
            <w:tcW w:w="728" w:type="dxa"/>
            <w:tcBorders/>
            <w:vAlign w:val="center"/>
          </w:tcPr>
          <w:p>
            <w:pPr>
              <w:pStyle w:val="Normal"/>
              <w:widowControl w:val="false"/>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lang w:val="ru-RU" w:bidi="ar-SA"/>
              </w:rPr>
              <w:t>1.3</w:t>
            </w:r>
          </w:p>
        </w:tc>
        <w:tc>
          <w:tcPr>
            <w:tcW w:w="3067" w:type="dxa"/>
            <w:tcBorders/>
            <w:shd w:color="auto" w:fill="auto" w:val="clear"/>
          </w:tcPr>
          <w:p>
            <w:pPr>
              <w:pStyle w:val="Normal"/>
              <w:widowControl w:val="false"/>
              <w:shd w:val="clear" w:fill="FFFFFF"/>
              <w:spacing w:lineRule="auto" w:line="240" w:before="0" w:after="200"/>
              <w:jc w:val="left"/>
              <w:rPr>
                <w:rFonts w:ascii="Times New Roman" w:hAnsi="Times New Roman"/>
                <w:sz w:val="24"/>
                <w:szCs w:val="24"/>
              </w:rPr>
            </w:pPr>
            <w:r>
              <w:rPr>
                <w:rFonts w:eastAsia="Calibri" w:cs="Times New Roman" w:ascii="Times New Roman" w:hAnsi="Times New Roman"/>
                <w:b w:val="false"/>
                <w:i w:val="false"/>
                <w:caps w:val="false"/>
                <w:smallCaps w:val="false"/>
                <w:color w:val="000000"/>
                <w:spacing w:val="0"/>
                <w:kern w:val="0"/>
                <w:sz w:val="24"/>
                <w:szCs w:val="24"/>
                <w:shd w:fill="auto" w:val="clear"/>
                <w:lang w:val="ru-RU" w:eastAsia="en-US" w:bidi="ar-SA"/>
              </w:rPr>
              <w:t>Механические свойства проволоки</w:t>
            </w:r>
          </w:p>
        </w:tc>
        <w:tc>
          <w:tcPr>
            <w:tcW w:w="2941" w:type="dxa"/>
            <w:tcBorders>
              <w:right w:val="nil"/>
            </w:tcBorders>
            <w:shd w:color="auto" w:fill="auto"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eastAsia="Calibri" w:cs="Times New Roman" w:ascii="Times New Roman" w:hAnsi="Times New Roman"/>
                <w:b w:val="false"/>
                <w:i w:val="false"/>
                <w:caps w:val="false"/>
                <w:smallCaps w:val="false"/>
                <w:color w:val="000000"/>
                <w:spacing w:val="0"/>
                <w:kern w:val="0"/>
                <w:sz w:val="24"/>
                <w:szCs w:val="24"/>
                <w:shd w:fill="auto" w:val="clear"/>
                <w:lang w:val="ru-RU" w:eastAsia="en-US" w:bidi="ar-SA"/>
              </w:rPr>
              <w:t>Высшей марки - В</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shd w:fill="FFFFFF" w:val="clear"/>
                <w:lang w:val="ru-RU" w:bidi="ar-SA"/>
              </w:rPr>
              <w:t>1.4</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По способу свивки</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color w:val="000000"/>
                <w:sz w:val="24"/>
                <w:szCs w:val="24"/>
                <w:shd w:fill="auto" w:val="clear"/>
              </w:rPr>
              <w:t>Нераскручивающиеся - Н</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506" w:hRule="atLeast"/>
        </w:trPr>
        <w:tc>
          <w:tcPr>
            <w:tcW w:w="728" w:type="dxa"/>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shd w:fill="FFFFFF" w:val="clear"/>
                <w:lang w:val="ru-RU" w:bidi="ar-SA"/>
              </w:rPr>
              <w:t>1.5</w:t>
            </w:r>
          </w:p>
        </w:tc>
        <w:tc>
          <w:tcPr>
            <w:tcW w:w="3067" w:type="dxa"/>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shd w:fill="auto" w:val="clear"/>
              </w:rPr>
              <w:t>По степени уравновешенности</w:t>
            </w:r>
          </w:p>
        </w:tc>
        <w:tc>
          <w:tcPr>
            <w:tcW w:w="2941" w:type="dxa"/>
            <w:tcBorders>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sz w:val="24"/>
                <w:szCs w:val="24"/>
                <w:shd w:fill="auto" w:val="clear"/>
              </w:rPr>
              <w:t>Рихтованные - P</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506"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shd w:fill="FFFFFF" w:val="clear"/>
                <w:lang w:val="ru-RU" w:bidi="ar-SA"/>
              </w:rPr>
              <w:t>1.6</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Маркировочная группа, Н/мм</w:t>
            </w:r>
            <w:r>
              <w:rPr>
                <w:rFonts w:ascii="Times New Roman" w:hAnsi="Times New Roman"/>
                <w:color w:val="000000"/>
                <w:sz w:val="24"/>
                <w:szCs w:val="24"/>
                <w:shd w:fill="auto" w:val="clear"/>
                <w:vertAlign w:val="superscript"/>
              </w:rPr>
              <w:t xml:space="preserve">2 </w:t>
            </w:r>
            <w:r>
              <w:rPr>
                <w:rFonts w:ascii="Times New Roman" w:hAnsi="Times New Roman"/>
                <w:color w:val="000000"/>
                <w:position w:val="0"/>
                <w:sz w:val="24"/>
                <w:sz w:val="24"/>
                <w:szCs w:val="24"/>
                <w:shd w:fill="auto" w:val="clear"/>
                <w:vertAlign w:val="baseline"/>
              </w:rPr>
              <w:t xml:space="preserve"> (кгс/мм</w:t>
            </w:r>
            <w:r>
              <w:rPr>
                <w:rFonts w:ascii="Times New Roman" w:hAnsi="Times New Roman"/>
                <w:color w:val="000000"/>
                <w:sz w:val="24"/>
                <w:szCs w:val="24"/>
                <w:shd w:fill="auto" w:val="clear"/>
                <w:vertAlign w:val="superscript"/>
              </w:rPr>
              <w:t xml:space="preserve">2 </w:t>
            </w:r>
            <w:r>
              <w:rPr>
                <w:rFonts w:ascii="Times New Roman" w:hAnsi="Times New Roman"/>
                <w:color w:val="000000"/>
                <w:position w:val="0"/>
                <w:sz w:val="24"/>
                <w:sz w:val="24"/>
                <w:szCs w:val="24"/>
                <w:shd w:fill="auto" w:val="clear"/>
                <w:vertAlign w:val="baseline"/>
              </w:rPr>
              <w:t>)</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b w:val="false"/>
                <w:bCs w:val="false"/>
                <w:i w:val="false"/>
                <w:strike w:val="false"/>
                <w:dstrike w:val="false"/>
                <w:outline w:val="false"/>
                <w:shadow w:val="false"/>
                <w:color w:val="000000"/>
                <w:sz w:val="24"/>
                <w:szCs w:val="24"/>
                <w:u w:val="none"/>
                <w:shd w:fill="auto" w:val="clear"/>
                <w:em w:val="none"/>
                <w:lang w:eastAsia="ru-RU"/>
              </w:rPr>
              <w:t>1670</w:t>
            </w:r>
            <w:r>
              <w:rPr>
                <w:rFonts w:ascii="Times New Roman" w:hAnsi="Times New Roman"/>
                <w:color w:val="000000"/>
                <w:sz w:val="24"/>
                <w:szCs w:val="24"/>
                <w:shd w:fill="auto" w:val="clear"/>
              </w:rPr>
              <w:t xml:space="preserve"> (170)</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shd w:fill="FFFFFF" w:val="clear"/>
              </w:rPr>
              <w:t>1.7</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Материал сердечника</w:t>
            </w:r>
          </w:p>
        </w:tc>
        <w:tc>
          <w:tcPr>
            <w:tcW w:w="2941" w:type="dxa"/>
            <w:tcBorders>
              <w:top w:val="nil"/>
              <w:right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b w:val="false"/>
                <w:bCs w:val="false"/>
                <w:sz w:val="24"/>
                <w:szCs w:val="24"/>
                <w:shd w:fill="auto" w:val="clear"/>
                <w:lang w:eastAsia="ru-RU"/>
              </w:rPr>
              <w:t xml:space="preserve"> </w:t>
            </w:r>
            <w:r>
              <w:rPr>
                <w:rFonts w:ascii="Times New Roman" w:hAnsi="Times New Roman"/>
                <w:b w:val="false"/>
                <w:bCs w:val="false"/>
                <w:i w:val="false"/>
                <w:strike w:val="false"/>
                <w:dstrike w:val="false"/>
                <w:outline w:val="false"/>
                <w:shadow w:val="false"/>
                <w:color w:val="000000"/>
                <w:sz w:val="24"/>
                <w:szCs w:val="24"/>
                <w:u w:val="none"/>
                <w:shd w:fill="auto" w:val="clear"/>
                <w:em w:val="none"/>
                <w:lang w:eastAsia="ru-RU"/>
              </w:rPr>
              <w:t>Металлический сердечник</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1.8</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shd w:fill="auto" w:val="clear"/>
              </w:rPr>
              <w:t>Смазка</w:t>
            </w:r>
          </w:p>
        </w:tc>
        <w:tc>
          <w:tcPr>
            <w:tcW w:w="2941" w:type="dxa"/>
            <w:tcBorders>
              <w:top w:val="nil"/>
              <w:right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b w:val="false"/>
                <w:bCs w:val="false"/>
                <w:sz w:val="24"/>
                <w:szCs w:val="24"/>
                <w:shd w:fill="auto" w:val="clear"/>
                <w:lang w:eastAsia="ru-RU"/>
              </w:rPr>
              <w:t xml:space="preserve">Торсиол 35Р </w:t>
            </w:r>
            <w:r>
              <w:rPr>
                <w:rFonts w:eastAsia="Times New Roman" w:cs="Times New Roman" w:ascii="Times New Roman" w:hAnsi="Times New Roman"/>
                <w:b w:val="false"/>
                <w:bCs w:val="false"/>
                <w:color w:val="000000"/>
                <w:kern w:val="0"/>
                <w:sz w:val="24"/>
                <w:szCs w:val="24"/>
                <w:shd w:fill="auto" w:val="clear"/>
                <w:lang w:val="ru-RU" w:eastAsia="en-US" w:bidi="ar-SA"/>
              </w:rPr>
              <w:t>или аналог</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1.9</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b w:val="false"/>
                <w:i w:val="false"/>
                <w:i w:val="false"/>
                <w:caps w:val="false"/>
                <w:smallCaps w:val="false"/>
                <w:color w:val="000000"/>
                <w:spacing w:val="0"/>
                <w:sz w:val="24"/>
                <w:szCs w:val="24"/>
                <w:highlight w:val="none"/>
                <w:shd w:fill="auto" w:val="clear"/>
              </w:rPr>
            </w:pPr>
            <w:r>
              <w:rPr>
                <w:rFonts w:ascii="Times New Roman" w:hAnsi="Times New Roman"/>
                <w:b w:val="false"/>
                <w:i w:val="false"/>
                <w:caps w:val="false"/>
                <w:smallCaps w:val="false"/>
                <w:color w:val="000000"/>
                <w:spacing w:val="0"/>
                <w:sz w:val="24"/>
                <w:szCs w:val="24"/>
                <w:shd w:fill="auto" w:val="clear"/>
              </w:rPr>
            </w:r>
          </w:p>
          <w:p>
            <w:pPr>
              <w:pStyle w:val="Normal"/>
              <w:widowControl w:val="false"/>
              <w:shd w:val="clear" w:fill="FFFFFF"/>
              <w:spacing w:lineRule="auto" w:line="240" w:before="0" w:after="200"/>
              <w:jc w:val="left"/>
              <w:rPr/>
            </w:pPr>
            <w:r>
              <w:rPr>
                <w:rStyle w:val="Strong2"/>
                <w:rFonts w:ascii="Times New Roman" w:hAnsi="Times New Roman"/>
                <w:b w:val="false"/>
                <w:i w:val="false"/>
                <w:caps w:val="false"/>
                <w:smallCaps w:val="false"/>
                <w:color w:val="000000"/>
                <w:spacing w:val="0"/>
                <w:sz w:val="24"/>
                <w:szCs w:val="24"/>
                <w:shd w:fill="auto" w:val="clear"/>
              </w:rPr>
              <w:t>Код смазки каната</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pPr>
            <w:r>
              <w:rPr>
                <w:rStyle w:val="Strong2"/>
                <w:rFonts w:ascii="Times New Roman" w:hAnsi="Times New Roman"/>
                <w:b w:val="false"/>
                <w:i w:val="false"/>
                <w:caps w:val="false"/>
                <w:smallCaps w:val="false"/>
                <w:color w:val="000000"/>
                <w:spacing w:val="0"/>
                <w:sz w:val="24"/>
                <w:szCs w:val="24"/>
              </w:rPr>
              <w:t>«А3»                                                   смазан органический и металлический сердечники, пряди каната без смазки, канат в целом смазан</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1.10</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eastAsia="Calibri" w:cs="Times New Roman" w:ascii="Times New Roman" w:hAnsi="Times New Roman"/>
                <w:color w:val="auto"/>
                <w:kern w:val="0"/>
                <w:sz w:val="24"/>
                <w:szCs w:val="24"/>
                <w:lang w:val="ru-RU" w:eastAsia="en-US" w:bidi="ar-SA"/>
              </w:rPr>
              <w:t>Разрывное усилие, Н, суммарное всех проволок в канате, не менее</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eastAsia="Calibri" w:cs="Times New Roman" w:ascii="Times New Roman" w:hAnsi="Times New Roman"/>
                <w:color w:val="auto"/>
                <w:kern w:val="0"/>
                <w:sz w:val="24"/>
                <w:szCs w:val="24"/>
                <w:lang w:val="ru-RU" w:eastAsia="en-US" w:bidi="ar-SA"/>
              </w:rPr>
              <w:t>621500</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1.11</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Разрывное усилие, Н, каната в целом, не менее</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sz w:val="24"/>
                <w:szCs w:val="24"/>
              </w:rPr>
              <w:t>497000</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1.12</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Свивка (sZ)</w:t>
            </w:r>
          </w:p>
        </w:tc>
        <w:tc>
          <w:tcPr>
            <w:tcW w:w="2941" w:type="dxa"/>
            <w:tcBorders>
              <w:top w:val="nil"/>
              <w:right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sz w:val="24"/>
                <w:szCs w:val="24"/>
                <w:shd w:fill="auto" w:val="clear"/>
              </w:rPr>
              <w:t>правая крестовая</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1.13</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Обозначение, тип:</w:t>
            </w:r>
          </w:p>
        </w:tc>
        <w:tc>
          <w:tcPr>
            <w:tcW w:w="2941" w:type="dxa"/>
            <w:tcBorders>
              <w:top w:val="nil"/>
              <w:right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b w:val="false"/>
                <w:bCs w:val="false"/>
                <w:sz w:val="24"/>
                <w:szCs w:val="24"/>
                <w:lang w:eastAsia="ru-RU"/>
              </w:rPr>
              <w:t xml:space="preserve"> </w:t>
            </w:r>
            <w:r>
              <w:rPr>
                <w:rFonts w:ascii="Times New Roman" w:hAnsi="Times New Roman"/>
                <w:b w:val="false"/>
                <w:bCs w:val="false"/>
                <w:i w:val="false"/>
                <w:strike w:val="false"/>
                <w:dstrike w:val="false"/>
                <w:outline w:val="false"/>
                <w:shadow w:val="false"/>
                <w:color w:val="000000"/>
                <w:sz w:val="24"/>
                <w:szCs w:val="24"/>
                <w:u w:val="none"/>
                <w:em w:val="none"/>
                <w:lang w:eastAsia="ru-RU"/>
              </w:rPr>
              <w:t>ГОСТ 7669-80</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1.14</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Форма поставки каната</w:t>
            </w:r>
          </w:p>
        </w:tc>
        <w:tc>
          <w:tcPr>
            <w:tcW w:w="2941" w:type="dxa"/>
            <w:tcBorders>
              <w:top w:val="nil"/>
              <w:right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sz w:val="24"/>
                <w:szCs w:val="24"/>
              </w:rPr>
              <w:t>Двумя отрезками по 600 метров.</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1.15</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Вит упаковки</w:t>
            </w:r>
          </w:p>
        </w:tc>
        <w:tc>
          <w:tcPr>
            <w:tcW w:w="2941" w:type="dxa"/>
            <w:tcBorders>
              <w:top w:val="nil"/>
              <w:right w:val="nil"/>
            </w:tcBorders>
            <w:shd w:fill="FFFFFF" w:val="clear"/>
            <w:vAlign w:val="center"/>
          </w:tcPr>
          <w:p>
            <w:pPr>
              <w:pStyle w:val="Normal"/>
              <w:widowControl w:val="false"/>
              <w:shd w:val="clear" w:fill="FFFFFF"/>
              <w:spacing w:before="0" w:after="200"/>
              <w:jc w:val="center"/>
              <w:rPr/>
            </w:pPr>
            <w:r>
              <w:rPr>
                <w:rStyle w:val="Strong3"/>
                <w:rFonts w:ascii="Times New Roman" w:hAnsi="Times New Roman"/>
                <w:b w:val="false"/>
                <w:i w:val="false"/>
                <w:caps w:val="false"/>
                <w:smallCaps w:val="false"/>
                <w:color w:val="000000"/>
                <w:spacing w:val="0"/>
                <w:sz w:val="24"/>
                <w:szCs w:val="24"/>
              </w:rPr>
              <w:t>Намотка на барабан.</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1" w:hRule="atLeast"/>
        </w:trPr>
        <w:tc>
          <w:tcPr>
            <w:tcW w:w="728"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1.16</w:t>
            </w:r>
          </w:p>
        </w:tc>
        <w:tc>
          <w:tcPr>
            <w:tcW w:w="3067"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shd w:fill="FFFFFF" w:val="clear"/>
              </w:rPr>
              <w:t>Страна производства</w:t>
            </w:r>
          </w:p>
        </w:tc>
        <w:tc>
          <w:tcPr>
            <w:tcW w:w="2941" w:type="dxa"/>
            <w:tcBorders>
              <w:top w:val="nil"/>
              <w:right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b w:val="false"/>
                <w:i w:val="false"/>
                <w:caps w:val="false"/>
                <w:smallCaps w:val="false"/>
                <w:color w:val="000000"/>
                <w:spacing w:val="0"/>
                <w:sz w:val="24"/>
                <w:szCs w:val="24"/>
                <w:shd w:fill="FFFFFF" w:val="clear"/>
              </w:rPr>
              <w:t>Россия</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op w:val="nil"/>
            </w:tcBorders>
            <w:shd w:color="auto" w:fill="auto" w:val="clear"/>
          </w:tcPr>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654" w:hRule="atLeast"/>
        </w:trPr>
        <w:tc>
          <w:tcPr>
            <w:tcW w:w="728" w:type="dxa"/>
            <w:tcBorders>
              <w:top w:val="nil"/>
            </w:tcBorders>
            <w:vAlign w:val="center"/>
          </w:tcPr>
          <w:p>
            <w:pPr>
              <w:pStyle w:val="Normal"/>
              <w:widowControl w:val="false"/>
              <w:suppressAutoHyphens w:val="false"/>
              <w:spacing w:lineRule="auto" w:line="240" w:before="0" w:after="0"/>
              <w:contextualSpacing/>
              <w:jc w:val="center"/>
              <w:rPr/>
            </w:pPr>
            <w:r>
              <w:rPr>
                <w:rFonts w:eastAsia="Calibri" w:cs="Times New Roman" w:ascii="Times New Roman" w:hAnsi="Times New Roman"/>
                <w:kern w:val="0"/>
                <w:sz w:val="20"/>
                <w:lang w:val="ru-RU" w:bidi="ar-SA"/>
              </w:rPr>
              <w:t>2</w:t>
            </w:r>
          </w:p>
        </w:tc>
        <w:tc>
          <w:tcPr>
            <w:tcW w:w="6008" w:type="dxa"/>
            <w:gridSpan w:val="2"/>
            <w:tcBorders>
              <w:top w:val="nil"/>
              <w:right w:val="nil"/>
            </w:tcBorders>
            <w:shd w:color="auto" w:fill="auto" w:val="clear"/>
            <w:vAlign w:val="center"/>
          </w:tcPr>
          <w:p>
            <w:pPr>
              <w:pStyle w:val="Normal"/>
              <w:widowControl w:val="false"/>
              <w:shd w:val="clear" w:fill="FFFFFF"/>
              <w:suppressAutoHyphens w:val="true"/>
              <w:spacing w:before="0" w:after="200"/>
              <w:jc w:val="both"/>
              <w:rPr>
                <w:sz w:val="20"/>
              </w:rPr>
            </w:pPr>
            <w:r>
              <w:rPr>
                <w:rFonts w:eastAsia="Calibri" w:cs="Times New Roman" w:ascii="Times New Roman" w:hAnsi="Times New Roman"/>
                <w:b/>
                <w:bCs/>
                <w:kern w:val="0"/>
                <w:sz w:val="20"/>
                <w:lang w:val="ru-RU" w:bidi="ar-SA"/>
              </w:rPr>
              <w:t>Требования к доставке, маркировке, упаковке, транспортировке, перемещению, условиям хранения, приемке и испытаниям</w:t>
            </w:r>
          </w:p>
        </w:tc>
        <w:tc>
          <w:tcPr>
            <w:tcW w:w="2001" w:type="dxa"/>
            <w:vMerge w:val="continue"/>
            <w:tcBorders>
              <w:right w:val="nil"/>
            </w:tcBorders>
            <w:shd w:color="auto" w:fill="auto" w:val="clear"/>
            <w:vAlign w:val="center"/>
          </w:tcPr>
          <w:p>
            <w:pPr>
              <w:pStyle w:val="Normal"/>
              <w:widowControl w:val="false"/>
              <w:suppressAutoHyphens w:val="true"/>
              <w:spacing w:before="0" w:after="200"/>
              <w:jc w:val="both"/>
              <w:rPr>
                <w:rFonts w:ascii="Times New Roman" w:hAnsi="Times New Roman"/>
                <w:b/>
                <w:bCs/>
              </w:rPr>
            </w:pPr>
            <w:r>
              <w:rPr>
                <w:rFonts w:ascii="Times New Roman" w:hAnsi="Times New Roman"/>
                <w:b/>
                <w:bCs/>
                <w:sz w:val="20"/>
              </w:rPr>
            </w:r>
          </w:p>
        </w:tc>
        <w:tc>
          <w:tcPr>
            <w:tcW w:w="1917" w:type="dxa"/>
            <w:vMerge w:val="continue"/>
            <w:tcBorders/>
            <w:shd w:color="auto" w:fill="auto" w:val="clear"/>
            <w:vAlign w:val="center"/>
          </w:tcPr>
          <w:p>
            <w:pPr>
              <w:pStyle w:val="Normal"/>
              <w:widowControl w:val="false"/>
              <w:suppressAutoHyphens w:val="true"/>
              <w:spacing w:before="0" w:after="200"/>
              <w:jc w:val="both"/>
              <w:rPr>
                <w:rFonts w:ascii="Times New Roman" w:hAnsi="Times New Roman"/>
                <w:b/>
                <w:bCs/>
              </w:rPr>
            </w:pPr>
            <w:r>
              <w:rPr>
                <w:rFonts w:ascii="Times New Roman" w:hAnsi="Times New Roman"/>
                <w:b/>
                <w:bCs/>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654" w:hRule="atLeast"/>
        </w:trPr>
        <w:tc>
          <w:tcPr>
            <w:tcW w:w="728"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2.1</w:t>
            </w:r>
          </w:p>
        </w:tc>
        <w:tc>
          <w:tcPr>
            <w:tcW w:w="6008" w:type="dxa"/>
            <w:gridSpan w:val="2"/>
            <w:tcBorders>
              <w:top w:val="nil"/>
              <w:right w:val="nil"/>
            </w:tcBorders>
            <w:shd w:color="auto" w:fill="auto" w:val="clear"/>
          </w:tcPr>
          <w:p>
            <w:pPr>
              <w:pStyle w:val="Normal"/>
              <w:widowControl w:val="false"/>
              <w:suppressAutoHyphens w:val="true"/>
              <w:spacing w:before="0" w:after="200"/>
              <w:ind w:hanging="0" w:right="-144"/>
              <w:jc w:val="both"/>
              <w:rPr>
                <w:sz w:val="22"/>
                <w:szCs w:val="22"/>
              </w:rPr>
            </w:pPr>
            <w:r>
              <w:rPr>
                <w:rFonts w:eastAsia="Calibri" w:cs="Times New Roman" w:ascii="Times New Roman" w:hAnsi="Times New Roman"/>
                <w:kern w:val="0"/>
                <w:sz w:val="22"/>
                <w:szCs w:val="22"/>
                <w:lang w:val="ru-RU" w:bidi="ar-SA"/>
              </w:rPr>
              <w:t>Место поставки</w:t>
            </w:r>
          </w:p>
          <w:p>
            <w:pPr>
              <w:pStyle w:val="ListParagraph"/>
              <w:widowControl w:val="false"/>
              <w:suppressAutoHyphens w:val="true"/>
              <w:spacing w:lineRule="auto" w:line="240" w:before="0" w:after="200"/>
              <w:ind w:hanging="0" w:left="-90"/>
              <w:contextualSpacing/>
              <w:jc w:val="both"/>
              <w:rPr>
                <w:sz w:val="22"/>
                <w:szCs w:val="22"/>
              </w:rPr>
            </w:pPr>
            <w:r>
              <w:rPr>
                <w:rFonts w:eastAsia="Times New Roman" w:cs="Times New Roman" w:ascii="Times New Roman" w:hAnsi="Times New Roman"/>
                <w:kern w:val="0"/>
                <w:sz w:val="22"/>
                <w:szCs w:val="22"/>
                <w:lang w:val="ru-RU" w:eastAsia="ru-RU" w:bidi="ar-SA"/>
              </w:rPr>
              <w:t>Волжский филиал АО «Гидроремонт – ВКК», РФ, 404130, Волгоградская обл.,  г. Волжский, пр-т. Ленина, д.1А.</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ListParagraph"/>
              <w:widowControl w:val="false"/>
              <w:suppressAutoHyphens w:val="true"/>
              <w:spacing w:lineRule="auto" w:line="240" w:before="0" w:after="200"/>
              <w:ind w:firstLine="40" w:left="-90"/>
              <w:contextualSpacing/>
              <w:jc w:val="both"/>
              <w:rPr>
                <w:rFonts w:ascii="Times New Roman" w:hAnsi="Times New Roman"/>
              </w:rPr>
            </w:pPr>
            <w:r>
              <w:rPr>
                <w:rFonts w:ascii="Times New Roman" w:hAnsi="Times New Roman"/>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654" w:hRule="atLeast"/>
        </w:trPr>
        <w:tc>
          <w:tcPr>
            <w:tcW w:w="728"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2.2</w:t>
            </w:r>
          </w:p>
        </w:tc>
        <w:tc>
          <w:tcPr>
            <w:tcW w:w="6008" w:type="dxa"/>
            <w:gridSpan w:val="2"/>
            <w:tcBorders>
              <w:top w:val="nil"/>
              <w:right w:val="nil"/>
            </w:tcBorders>
            <w:shd w:color="auto" w:fill="auto" w:val="clear"/>
          </w:tcPr>
          <w:p>
            <w:pPr>
              <w:pStyle w:val="Normal"/>
              <w:widowControl w:val="false"/>
              <w:suppressAutoHyphens w:val="true"/>
              <w:spacing w:before="0" w:after="200"/>
              <w:ind w:hanging="0" w:right="2"/>
              <w:jc w:val="both"/>
              <w:rPr>
                <w:sz w:val="22"/>
                <w:szCs w:val="22"/>
              </w:rPr>
            </w:pPr>
            <w:r>
              <w:rPr>
                <w:rFonts w:eastAsia="Calibri" w:cs="Times New Roman" w:ascii="Times New Roman" w:hAnsi="Times New Roman"/>
                <w:kern w:val="0"/>
                <w:sz w:val="22"/>
                <w:szCs w:val="22"/>
                <w:lang w:val="ru-RU" w:bidi="ar-SA"/>
              </w:rPr>
              <w:t>Приемка продукции</w:t>
            </w:r>
          </w:p>
          <w:p>
            <w:pPr>
              <w:pStyle w:val="ListParagraph"/>
              <w:widowControl w:val="false"/>
              <w:suppressAutoHyphens w:val="true"/>
              <w:spacing w:lineRule="auto" w:line="240" w:before="0" w:after="200"/>
              <w:ind w:firstLine="40" w:left="-90"/>
              <w:contextualSpacing/>
              <w:jc w:val="both"/>
              <w:rPr>
                <w:sz w:val="22"/>
                <w:szCs w:val="22"/>
              </w:rPr>
            </w:pPr>
            <w:r>
              <w:rPr>
                <w:rFonts w:eastAsia="Calibri" w:cs="Times New Roman" w:ascii="Times New Roman" w:hAnsi="Times New Roman"/>
                <w:kern w:val="0"/>
                <w:sz w:val="22"/>
                <w:szCs w:val="22"/>
                <w:lang w:val="ru-RU" w:eastAsia="x-none" w:bidi="ar-SA"/>
              </w:rPr>
              <w:t>Только в рабочие дни с 9-00 до 11-00 и с 14-00 до 16-00</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tcPr>
          <w:p>
            <w:pPr>
              <w:pStyle w:val="ListParagraph"/>
              <w:widowControl w:val="false"/>
              <w:suppressAutoHyphens w:val="true"/>
              <w:spacing w:lineRule="auto" w:line="240" w:before="0" w:after="200"/>
              <w:ind w:firstLine="40" w:left="-90"/>
              <w:contextualSpacing/>
              <w:jc w:val="both"/>
              <w:rPr>
                <w:rFonts w:ascii="Times New Roman" w:hAnsi="Times New Roman"/>
              </w:rPr>
            </w:pPr>
            <w:r>
              <w:rPr>
                <w:rFonts w:ascii="Times New Roman" w:hAnsi="Times New Roman"/>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654" w:hRule="atLeast"/>
        </w:trPr>
        <w:tc>
          <w:tcPr>
            <w:tcW w:w="728"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2.3</w:t>
            </w:r>
          </w:p>
        </w:tc>
        <w:tc>
          <w:tcPr>
            <w:tcW w:w="6008" w:type="dxa"/>
            <w:gridSpan w:val="2"/>
            <w:tcBorders>
              <w:top w:val="nil"/>
              <w:right w:val="nil"/>
            </w:tcBorders>
            <w:shd w:color="auto" w:fill="auto" w:val="clea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c>
          <w:tcPr>
            <w:tcW w:w="2001" w:type="dxa"/>
            <w:vMerge w:val="continue"/>
            <w:tcBorders>
              <w:right w:val="nil"/>
            </w:tcBorders>
            <w:shd w:color="auto" w:fill="auto" w:val="clea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1917" w:type="dxa"/>
            <w:vMerge w:val="continue"/>
            <w:tcBorders/>
            <w:shd w:color="auto" w:fill="auto" w:val="clea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654" w:hRule="atLeast"/>
        </w:trPr>
        <w:tc>
          <w:tcPr>
            <w:tcW w:w="728" w:type="dxa"/>
            <w:tcBorders>
              <w:top w:val="nil"/>
            </w:tcBorders>
            <w:vAlign w:val="center"/>
          </w:tcPr>
          <w:p>
            <w:pPr>
              <w:pStyle w:val="Normal"/>
              <w:widowControl w:val="false"/>
              <w:suppressAutoHyphens w:val="true"/>
              <w:spacing w:before="0" w:after="200"/>
              <w:jc w:val="center"/>
              <w:rPr>
                <w:rFonts w:ascii="Times New Roman" w:hAnsi="Times New Roman"/>
                <w:sz w:val="24"/>
                <w:szCs w:val="24"/>
              </w:rPr>
            </w:pPr>
            <w:r>
              <w:rPr>
                <w:rFonts w:ascii="Times New Roman" w:hAnsi="Times New Roman"/>
                <w:sz w:val="24"/>
                <w:szCs w:val="24"/>
              </w:rPr>
              <w:t>2.4</w:t>
            </w:r>
          </w:p>
        </w:tc>
        <w:tc>
          <w:tcPr>
            <w:tcW w:w="6008" w:type="dxa"/>
            <w:gridSpan w:val="2"/>
            <w:tcBorders>
              <w:top w:val="nil"/>
              <w:right w:val="nil"/>
            </w:tcBorders>
            <w:shd w:color="auto" w:fill="auto" w:val="clear"/>
          </w:tcPr>
          <w:p>
            <w:pPr>
              <w:pStyle w:val="Normal"/>
              <w:widowControl w:val="false"/>
              <w:suppressAutoHyphens w:val="true"/>
              <w:spacing w:before="0" w:after="200"/>
              <w:jc w:val="both"/>
              <w:rPr>
                <w:rFonts w:ascii="Times New Roman" w:hAnsi="Times New Roman"/>
                <w:sz w:val="24"/>
                <w:szCs w:val="24"/>
              </w:rPr>
            </w:pPr>
            <w:r>
              <w:rPr>
                <w:rFonts w:ascii="Times New Roman" w:hAnsi="Times New Roman"/>
                <w:sz w:val="24"/>
                <w:szCs w:val="24"/>
              </w:rPr>
              <w:t>Маркировка.                                                                                            1.1. Канат должен быть снабжен металлическим ярлыком, на котором следует указать:                                                            1.1.1Наименование или товарный знак предприятия-изготовителя;                                                                                 1.2.1Номер каната в системе нумерации предприятия-изготовителя;                                                                                      1.3.1 Условное обозначение каната;                                              1.4. 1Длину каната или каждого отрезка, считая от шейки барабана, м;                                                                                                 1.5.1 Массу брутто, кг;                                                                                     1.6.1Дату изготовления каната.                                                 1.7.1 Ярлык прочно крепится на видном месте щеки барабана или бухты.                                                                                                  1.2. Упаковка должна быть устойчивой к воздействию климатических факторов;                                                             1.3. Упаковка должна быть достаточной для обеспечения безопасного обращения с поставляемым  материалом.                                                                                    1.4. Канаты транспортируют транспортом всех видов в крытых и открытых транспортных средствах в соответствии с правилами перевозки грузов, действующими на транспорте данного вида.  ГОСТ 3241-91                                                                                    1.5. Изделия транспортируются на склад заказчика в транспортной упаковке предприятия-изготовителя выполненной с учетом особенностей изделия.                 1.6.Требования к сроку хранения в упаковке изготовителя       Не менее 1 года.</w:t>
            </w:r>
          </w:p>
        </w:tc>
        <w:tc>
          <w:tcPr>
            <w:tcW w:w="2001" w:type="dxa"/>
            <w:vMerge w:val="continue"/>
            <w:tcBorders>
              <w:top w:val="nil"/>
              <w:right w:val="nil"/>
            </w:tcBorders>
            <w:shd w:color="auto" w:fill="auto" w:val="clea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1917" w:type="dxa"/>
            <w:vMerge w:val="continue"/>
            <w:tcBorders>
              <w:top w:val="nil"/>
            </w:tcBorders>
            <w:shd w:color="auto" w:fill="auto" w:val="clea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3</w:t>
            </w:r>
          </w:p>
        </w:tc>
        <w:tc>
          <w:tcPr>
            <w:tcW w:w="6008" w:type="dxa"/>
            <w:gridSpan w:val="2"/>
            <w:tcBorders>
              <w:right w:val="nil"/>
            </w:tcBorders>
            <w:shd w:color="auto" w:fill="auto" w:val="clear"/>
            <w:vAlign w:val="center"/>
          </w:tcPr>
          <w:p>
            <w:pPr>
              <w:pStyle w:val="Normal"/>
              <w:widowControl w:val="false"/>
              <w:suppressAutoHyphens w:val="true"/>
              <w:spacing w:before="0" w:after="200"/>
              <w:jc w:val="both"/>
              <w:rPr>
                <w:rFonts w:ascii="Times New Roman" w:hAnsi="Times New Roman"/>
              </w:rPr>
            </w:pPr>
            <w:r>
              <w:rPr>
                <w:rFonts w:eastAsia="Calibri" w:cs="Times New Roman" w:ascii="Times New Roman" w:hAnsi="Times New Roman"/>
                <w:b/>
                <w:kern w:val="0"/>
                <w:sz w:val="20"/>
                <w:lang w:val="ru-RU" w:bidi="ar-SA"/>
              </w:rPr>
              <w:t>Требования к гарантиям, гарантийному и послегарантийному обслуживанию</w:t>
            </w:r>
          </w:p>
        </w:tc>
        <w:tc>
          <w:tcPr>
            <w:tcW w:w="2001" w:type="dxa"/>
            <w:vMerge w:val="continue"/>
            <w:tcBorders>
              <w:right w:val="nil"/>
            </w:tcBorders>
            <w:shd w:color="auto" w:fill="auto" w:val="cle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shd w:color="auto" w:fill="auto" w:val="cle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3.1</w:t>
            </w:r>
          </w:p>
        </w:tc>
        <w:tc>
          <w:tcPr>
            <w:tcW w:w="6008" w:type="dxa"/>
            <w:gridSpan w:val="2"/>
            <w:tcBorders>
              <w:right w:val="nil"/>
            </w:tcBorders>
          </w:tcPr>
          <w:p>
            <w:pPr>
              <w:pStyle w:val="ListParagraph"/>
              <w:widowControl w:val="false"/>
              <w:suppressAutoHyphens w:val="true"/>
              <w:spacing w:before="0" w:after="200"/>
              <w:ind w:hanging="0" w:left="720"/>
              <w:contextualSpacing/>
              <w:jc w:val="both"/>
              <w:rPr>
                <w:rFonts w:ascii="Times New Roman" w:hAnsi="Times New Roman"/>
              </w:rPr>
            </w:pPr>
            <w:r>
              <w:rPr>
                <w:rFonts w:eastAsia="Calibri" w:cs="Times New Roman" w:ascii="Times New Roman" w:hAnsi="Times New Roman"/>
                <w:kern w:val="0"/>
                <w:lang w:val="ru-RU" w:bidi="ar-SA"/>
              </w:rPr>
              <w:t>Поставщик обязан установить на продукцию гарантийный срок 12 (Двенадцать)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pPr>
              <w:pStyle w:val="ListParagraph"/>
              <w:widowControl w:val="false"/>
              <w:suppressAutoHyphens w:val="true"/>
              <w:spacing w:before="0" w:after="200"/>
              <w:ind w:hanging="0" w:left="57"/>
              <w:contextualSpacing/>
              <w:jc w:val="both"/>
              <w:rPr>
                <w:rFonts w:ascii="Times New Roman" w:hAnsi="Times New Roman"/>
              </w:rPr>
            </w:pPr>
            <w:r>
              <w:rPr>
                <w:rFonts w:eastAsia="Calibri" w:cs="Times New Roman" w:ascii="Times New Roman" w:hAnsi="Times New Roman"/>
                <w:kern w:val="0"/>
                <w:lang w:val="ru-RU" w:bidi="ar-SA"/>
              </w:rPr>
              <w:t>Установленный в отношении Продукции Гарантийный срок распространяется на все составные части и комплектующие Продукции.</w:t>
            </w:r>
          </w:p>
        </w:tc>
        <w:tc>
          <w:tcPr>
            <w:tcW w:w="2001" w:type="dxa"/>
            <w:vMerge w:val="continue"/>
            <w:tcBorders>
              <w:right w:val="nil"/>
            </w:tcBorders>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cPr>
          <w:p>
            <w:pPr>
              <w:pStyle w:val="ListParagraph"/>
              <w:widowControl w:val="false"/>
              <w:suppressAutoHyphens w:val="true"/>
              <w:spacing w:before="0" w:after="200"/>
              <w:ind w:hanging="0" w:left="57"/>
              <w:contextualSpacing/>
              <w:jc w:val="both"/>
              <w:rPr>
                <w:rFonts w:ascii="Times New Roman" w:hAnsi="Times New Roman"/>
              </w:rPr>
            </w:pPr>
            <w:r>
              <w:rPr>
                <w:rFonts w:ascii="Times New Roman" w:hAnsi="Times New Roman"/>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338" w:hRule="atLeast"/>
        </w:trPr>
        <w:tc>
          <w:tcPr>
            <w:tcW w:w="728" w:type="dxa"/>
            <w:tcBorders/>
            <w:vAlign w:val="center"/>
          </w:tcPr>
          <w:p>
            <w:pPr>
              <w:pStyle w:val="Normal"/>
              <w:widowControl w:val="false"/>
              <w:suppressAutoHyphens w:val="true"/>
              <w:spacing w:before="0" w:after="200"/>
              <w:jc w:val="center"/>
              <w:rPr>
                <w:rFonts w:ascii="Times New Roman" w:hAnsi="Times New Roman"/>
              </w:rPr>
            </w:pPr>
            <w:r>
              <w:rPr>
                <w:rFonts w:eastAsia="Calibri" w:cs="Times New Roman" w:ascii="Times New Roman" w:hAnsi="Times New Roman"/>
                <w:kern w:val="0"/>
                <w:sz w:val="20"/>
                <w:lang w:val="ru-RU" w:bidi="ar-SA"/>
              </w:rPr>
              <w:t>4</w:t>
            </w:r>
          </w:p>
        </w:tc>
        <w:tc>
          <w:tcPr>
            <w:tcW w:w="6008" w:type="dxa"/>
            <w:gridSpan w:val="2"/>
            <w:tcBorders>
              <w:right w:val="nil"/>
            </w:tcBorders>
            <w:vAlign w:val="center"/>
          </w:tcPr>
          <w:p>
            <w:pPr>
              <w:pStyle w:val="Normal"/>
              <w:widowControl w:val="false"/>
              <w:suppressAutoHyphens w:val="true"/>
              <w:spacing w:lineRule="auto" w:line="240" w:before="0" w:after="200"/>
              <w:jc w:val="both"/>
              <w:rPr>
                <w:rFonts w:ascii="Times New Roman" w:hAnsi="Times New Roman"/>
              </w:rPr>
            </w:pPr>
            <w:r>
              <w:rPr>
                <w:rFonts w:eastAsia="Calibri" w:cs="Times New Roman" w:ascii="Times New Roman" w:hAnsi="Times New Roman"/>
                <w:b/>
                <w:kern w:val="0"/>
                <w:sz w:val="20"/>
                <w:lang w:val="ru-RU" w:bidi="ar-SA"/>
              </w:rPr>
              <w:t>Требования к комплектации и документам, поставляемым вместе с продукцией</w:t>
            </w:r>
          </w:p>
        </w:tc>
        <w:tc>
          <w:tcPr>
            <w:tcW w:w="2001" w:type="dxa"/>
            <w:vMerge w:val="continue"/>
            <w:tcBorders>
              <w:right w:val="nil"/>
            </w:tcBorders>
            <w:vAlign w:val="center"/>
          </w:tcPr>
          <w:p>
            <w:pPr>
              <w:pStyle w:val="Normal"/>
              <w:widowControl w:val="false"/>
              <w:suppressAutoHyphens w:val="true"/>
              <w:spacing w:before="0" w:after="200"/>
              <w:jc w:val="both"/>
              <w:rPr>
                <w:rFonts w:ascii="Times New Roman" w:hAnsi="Times New Roman"/>
                <w:b/>
              </w:rPr>
            </w:pPr>
            <w:r>
              <w:rPr>
                <w:rFonts w:ascii="Times New Roman" w:hAnsi="Times New Roman"/>
                <w:b/>
                <w:sz w:val="20"/>
              </w:rPr>
            </w:r>
          </w:p>
        </w:tc>
        <w:tc>
          <w:tcPr>
            <w:tcW w:w="1917" w:type="dxa"/>
            <w:vMerge w:val="continue"/>
            <w:tcBorders/>
            <w:vAlign w:val="center"/>
          </w:tcPr>
          <w:p>
            <w:pPr>
              <w:pStyle w:val="Normal"/>
              <w:widowControl w:val="false"/>
              <w:suppressAutoHyphens w:val="true"/>
              <w:spacing w:lineRule="auto" w:line="240" w:before="0" w:after="200"/>
              <w:jc w:val="both"/>
              <w:rPr>
                <w:rFonts w:ascii="Times New Roman" w:hAnsi="Times New Roman"/>
                <w:b/>
              </w:rPr>
            </w:pPr>
            <w:r>
              <w:rPr>
                <w:rFonts w:ascii="Times New Roman" w:hAnsi="Times New Roman"/>
                <w:b/>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4.1</w:t>
            </w:r>
          </w:p>
        </w:tc>
        <w:tc>
          <w:tcPr>
            <w:tcW w:w="6008" w:type="dxa"/>
            <w:gridSpan w:val="2"/>
            <w:tcBorders>
              <w:top w:val="outset" w:sz="2" w:space="0" w:color="000000"/>
              <w:left w:val="outset" w:sz="2" w:space="0" w:color="000000"/>
              <w:bottom w:val="outset" w:sz="2" w:space="0" w:color="000000"/>
            </w:tcBorders>
            <w:tcMar>
              <w:top w:w="55" w:type="dxa"/>
              <w:bottom w:w="55" w:type="dxa"/>
            </w:tcMar>
          </w:tcPr>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После подписания договора, вместе с поставкой продукции поставщик должен предоставить копии документов, подтверждающих соответствие предлагаемой продукции обязательным требованиям нормативных документов, действующих в РФ (сертификаты соответствия, документы о качестве продукции, сертификат качества, протокол испытания с фактическими значениями разрывного усилия), и иные документы, согласно п.3.3 Договора. Поставщик обязан предоставить паспорт (сертификат) завода-изготовителя на каждую партию (бухту/барабан) каната. Паспорт должен быть заверен печатью и подписью ответственного лица производителя.</w:t>
            </w:r>
          </w:p>
        </w:tc>
        <w:tc>
          <w:tcPr>
            <w:tcW w:w="2001" w:type="dxa"/>
            <w:vMerge w:val="continue"/>
            <w:tcBorders/>
            <w:tcMar>
              <w:top w:w="55" w:type="dxa"/>
              <w:bottom w:w="55" w:type="dxa"/>
            </w:tcMa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cMar>
              <w:top w:w="55" w:type="dxa"/>
              <w:bottom w:w="55" w:type="dxa"/>
            </w:tcMar>
          </w:tcPr>
          <w:p>
            <w:pPr>
              <w:pStyle w:val="ListParagraph"/>
              <w:widowControl w:val="false"/>
              <w:suppressAutoHyphens w:val="true"/>
              <w:spacing w:before="0" w:after="200"/>
              <w:ind w:hanging="0" w:left="57"/>
              <w:contextualSpacing/>
              <w:jc w:val="both"/>
              <w:rPr>
                <w:rFonts w:ascii="Times New Roman" w:hAnsi="Times New Roman"/>
              </w:rPr>
            </w:pPr>
            <w:r>
              <w:rPr>
                <w:rFonts w:ascii="Times New Roman" w:hAnsi="Times New Roman"/>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w:t>
            </w:r>
          </w:p>
        </w:tc>
        <w:tc>
          <w:tcPr>
            <w:tcW w:w="6008"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b/>
                <w:kern w:val="0"/>
                <w:sz w:val="22"/>
                <w:szCs w:val="22"/>
                <w:lang w:val="ru-RU" w:bidi="ar-SA"/>
              </w:rPr>
              <w:t>Прочие (дополнительные) требования к продукции</w:t>
            </w:r>
          </w:p>
        </w:tc>
        <w:tc>
          <w:tcPr>
            <w:tcW w:w="2001" w:type="dxa"/>
            <w:vMerge w:val="continue"/>
            <w:tcBorders/>
            <w:tcMar>
              <w:top w:w="55" w:type="dxa"/>
              <w:bottom w:w="55" w:type="dxa"/>
            </w:tcM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cMar>
              <w:top w:w="55" w:type="dxa"/>
              <w:bottom w:w="55" w:type="dxa"/>
            </w:tcM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rHeight w:val="504" w:hRule="atLeast"/>
        </w:trPr>
        <w:tc>
          <w:tcPr>
            <w:tcW w:w="728"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5.1</w:t>
            </w:r>
          </w:p>
        </w:tc>
        <w:tc>
          <w:tcPr>
            <w:tcW w:w="6008"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Продукция должна быть новой, ранее не использовавшейся</w:t>
            </w:r>
          </w:p>
        </w:tc>
        <w:tc>
          <w:tcPr>
            <w:tcW w:w="2001" w:type="dxa"/>
            <w:vMerge w:val="continue"/>
            <w:tcBorders/>
            <w:tcMar>
              <w:top w:w="55" w:type="dxa"/>
              <w:bottom w:w="55" w:type="dxa"/>
            </w:tcM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1917" w:type="dxa"/>
            <w:vMerge w:val="continue"/>
            <w:tcBorders/>
            <w:tcMar>
              <w:top w:w="55" w:type="dxa"/>
              <w:bottom w:w="55" w:type="dxa"/>
            </w:tcMar>
            <w:vAlign w:val="center"/>
          </w:tcPr>
          <w:p>
            <w:pPr>
              <w:pStyle w:val="Normal"/>
              <w:widowControl w:val="false"/>
              <w:suppressAutoHyphens w:val="true"/>
              <w:spacing w:before="0" w:after="200"/>
              <w:jc w:val="both"/>
              <w:rPr>
                <w:rFonts w:ascii="Times New Roman" w:hAnsi="Times New Roman"/>
              </w:rPr>
            </w:pPr>
            <w:r>
              <w:rPr>
                <w:rFonts w:ascii="Times New Roman" w:hAnsi="Times New Roman"/>
                <w:sz w:val="20"/>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r>
        <w:trPr/>
        <w:tc>
          <w:tcPr>
            <w:tcW w:w="728"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5.2</w:t>
            </w:r>
          </w:p>
        </w:tc>
        <w:tc>
          <w:tcPr>
            <w:tcW w:w="6008"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Продукция должна соответствовать обязательным требованиям, установленными нормативными документами, действующими в РФ. ГОСТ 11127-78 «Барабаны деревянные для стальных канатов. Технические условия», ГОСТ 3241-91: «Канаты стальные. Технические условия», ГОСТ 7669-80: «Канат двойной свивки типа ЛК-РО конструкции 6×36 (1+7+7/7+14)+7×7 (1+6). Сортамент». Продукция обязательно должна быть укомплектована документами, удостоверяющими качество продукции и гарантийные обязательства производителя, выданными производителем продукции, а также документами, выполнение требований которых является условием выполнения гарантийных обязательств производителя.</w:t>
            </w:r>
          </w:p>
        </w:tc>
        <w:tc>
          <w:tcPr>
            <w:tcW w:w="2001" w:type="dxa"/>
            <w:vMerge w:val="continue"/>
            <w:tcBorders>
              <w:bottom w:val="outset" w:sz="2" w:space="0" w:color="000000"/>
            </w:tcBorders>
            <w:tcMar>
              <w:top w:w="55" w:type="dxa"/>
              <w:bottom w:w="55" w:type="dxa"/>
            </w:tcMar>
            <w:vAlign w:val="cente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1917" w:type="dxa"/>
            <w:vMerge w:val="continue"/>
            <w:tcBorders>
              <w:bottom w:val="outset" w:sz="2" w:space="0" w:color="000000"/>
            </w:tcBorders>
            <w:tcMar>
              <w:top w:w="55" w:type="dxa"/>
              <w:bottom w:w="55" w:type="dxa"/>
            </w:tcMar>
            <w:vAlign w:val="center"/>
          </w:tcPr>
          <w:p>
            <w:pPr>
              <w:pStyle w:val="Normal"/>
              <w:widowControl w:val="false"/>
              <w:suppressAutoHyphens w:val="true"/>
              <w:spacing w:before="0" w:after="200"/>
              <w:jc w:val="both"/>
              <w:rPr>
                <w:rFonts w:ascii="Times New Roman" w:hAnsi="Times New Roman"/>
                <w:lang w:eastAsia="x-none"/>
              </w:rPr>
            </w:pPr>
            <w:r>
              <w:rPr>
                <w:rFonts w:ascii="Times New Roman" w:hAnsi="Times New Roman"/>
                <w:sz w:val="20"/>
                <w:lang w:eastAsia="x-none"/>
              </w:rPr>
            </w:r>
          </w:p>
        </w:tc>
        <w:tc>
          <w:tcPr>
            <w:tcW w:w="236" w:type="dxa"/>
            <w:tcBorders>
              <w:top w:val="nil"/>
              <w:left w:val="nil"/>
              <w:bottom w:val="nil"/>
              <w:right w:val="nil"/>
            </w:tcBorders>
          </w:tcPr>
          <w:p>
            <w:pPr>
              <w:pStyle w:val="Normal"/>
              <w:widowControl w:val="false"/>
              <w:suppressAutoHyphens w:val="true"/>
              <w:spacing w:before="0" w:after="200"/>
              <w:jc w:val="both"/>
              <w:rPr>
                <w:rFonts w:ascii="Calibri" w:hAnsi="Calibri" w:eastAsia="Calibri" w:cs="Times New Roman"/>
                <w:kern w:val="0"/>
                <w:lang w:val="ru-RU" w:bidi="ar-SA"/>
              </w:rPr>
            </w:pPr>
            <w:r>
              <w:rPr>
                <w:rFonts w:eastAsia="Calibri" w:cs="Times New Roman"/>
                <w:kern w:val="0"/>
                <w:sz w:val="20"/>
                <w:lang w:val="ru-RU" w:bidi="ar-SA"/>
              </w:rPr>
            </w:r>
          </w:p>
        </w:tc>
      </w:tr>
    </w:tbl>
    <w:p>
      <w:pPr>
        <w:pStyle w:val="ListParagraph"/>
        <w:spacing w:before="0" w:after="0"/>
        <w:ind w:hanging="0" w:left="360"/>
        <w:contextualSpacing/>
        <w:jc w:val="both"/>
        <w:rPr>
          <w:rFonts w:ascii="Times New Roman" w:hAnsi="Times New Roman"/>
          <w:b/>
          <w:sz w:val="24"/>
          <w:szCs w:val="24"/>
        </w:rPr>
      </w:pPr>
      <w:r>
        <w:rPr>
          <w:rFonts w:ascii="Times New Roman" w:hAnsi="Times New Roman"/>
          <w:b/>
          <w:sz w:val="24"/>
          <w:szCs w:val="24"/>
        </w:rPr>
      </w:r>
    </w:p>
    <w:p>
      <w:pPr>
        <w:pStyle w:val="ListParagraph"/>
        <w:spacing w:before="0" w:after="0"/>
        <w:ind w:hanging="0" w:left="360"/>
        <w:contextualSpacing/>
        <w:jc w:val="both"/>
        <w:rPr>
          <w:rFonts w:ascii="Times New Roman" w:hAnsi="Times New Roman"/>
          <w:b/>
          <w:sz w:val="24"/>
          <w:szCs w:val="24"/>
        </w:rPr>
      </w:pPr>
      <w:r>
        <w:rPr>
          <w:rFonts w:ascii="Times New Roman" w:hAnsi="Times New Roman"/>
          <w:b/>
          <w:sz w:val="24"/>
          <w:szCs w:val="24"/>
        </w:rPr>
      </w:r>
    </w:p>
    <w:sectPr>
      <w:footerReference w:type="default" r:id="rId2"/>
      <w:type w:val="nextPage"/>
      <w:pgSz w:w="11906" w:h="16838"/>
      <w:pgMar w:left="675" w:right="401" w:gutter="0" w:header="0" w:top="171" w:footer="713" w:bottom="77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5</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43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bering>
</file>

<file path=word/settings.xml><?xml version="1.0" encoding="utf-8"?>
<w:settings xmlns:w="http://schemas.openxmlformats.org/wordprocessingml/2006/main">
  <w:zoom w:percent="81"/>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1ce4"/>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Heading1">
    <w:name w:val="Heading 1"/>
    <w:basedOn w:val="Normal"/>
    <w:next w:val="BodyText"/>
    <w:link w:val="1"/>
    <w:qFormat/>
    <w:rsid w:val="008f748e"/>
    <w:pPr>
      <w:keepNext w:val="true"/>
      <w:keepLines/>
      <w:spacing w:lineRule="atLeast" w:line="100" w:before="480" w:after="0"/>
      <w:ind w:hanging="360" w:left="1068"/>
      <w:outlineLvl w:val="0"/>
    </w:pPr>
    <w:rPr>
      <w:rFonts w:ascii="Cambria" w:hAnsi="Cambria" w:eastAsia="Times New Roman" w:cs="Cambria"/>
      <w:b/>
      <w:bCs/>
      <w:color w:val="365F91"/>
      <w:sz w:val="28"/>
      <w:szCs w:val="28"/>
      <w:lang w:eastAsia="ar-SA"/>
    </w:rPr>
  </w:style>
  <w:style w:type="paragraph" w:styleId="Heading2">
    <w:name w:val="Heading 2"/>
    <w:basedOn w:val="Normal"/>
    <w:next w:val="BodyText"/>
    <w:link w:val="2"/>
    <w:qFormat/>
    <w:rsid w:val="008f748e"/>
    <w:pPr>
      <w:widowControl w:val="false"/>
      <w:spacing w:before="200" w:after="0"/>
      <w:ind w:hanging="720" w:left="1788"/>
      <w:outlineLvl w:val="1"/>
    </w:pPr>
    <w:rPr>
      <w:rFonts w:ascii="Cambria" w:hAnsi="Cambria" w:eastAsia="Times New Roman" w:cs="Cambria"/>
      <w:b/>
      <w:bCs/>
      <w:color w:val="4F81BD"/>
      <w:sz w:val="28"/>
      <w:szCs w:val="26"/>
      <w:lang w:eastAsia="ar-SA"/>
    </w:rPr>
  </w:style>
  <w:style w:type="paragraph" w:styleId="Heading3">
    <w:name w:val="Heading 3"/>
    <w:basedOn w:val="Normal"/>
    <w:next w:val="BodyText"/>
    <w:link w:val="3"/>
    <w:qFormat/>
    <w:rsid w:val="008f748e"/>
    <w:pPr>
      <w:widowControl w:val="false"/>
      <w:spacing w:lineRule="atLeast" w:line="100" w:before="200" w:after="0"/>
      <w:ind w:hanging="720" w:left="2148"/>
      <w:outlineLvl w:val="2"/>
    </w:pPr>
    <w:rPr>
      <w:rFonts w:ascii="Times New Roman" w:hAnsi="Times New Roman" w:eastAsia="Times New Roman"/>
      <w:b/>
      <w:bCs/>
      <w:color w:val="3366FF"/>
      <w:sz w:val="28"/>
      <w:szCs w:val="20"/>
      <w:lang w:eastAsia="ar-SA"/>
    </w:rPr>
  </w:style>
  <w:style w:type="character" w:styleId="DefaultParagraphFont" w:default="1">
    <w:name w:val="Default Paragraph Font"/>
    <w:uiPriority w:val="1"/>
    <w:semiHidden/>
    <w:unhideWhenUsed/>
    <w:qFormat/>
    <w:rPr/>
  </w:style>
  <w:style w:type="character" w:styleId="Style6" w:customStyle="1">
    <w:name w:val="Текст выноски Знак"/>
    <w:link w:val="BalloonText"/>
    <w:uiPriority w:val="99"/>
    <w:semiHidden/>
    <w:qFormat/>
    <w:rsid w:val="0053223e"/>
    <w:rPr>
      <w:rFonts w:ascii="Tahoma" w:hAnsi="Tahoma" w:cs="Tahoma"/>
      <w:sz w:val="16"/>
      <w:szCs w:val="16"/>
    </w:rPr>
  </w:style>
  <w:style w:type="character" w:styleId="Style7" w:customStyle="1">
    <w:name w:val="Верхний колонтитул Знак"/>
    <w:qFormat/>
    <w:rsid w:val="005c0949"/>
    <w:rPr>
      <w:rFonts w:ascii="Times New Roman" w:hAnsi="Times New Roman" w:eastAsia="Times New Roman"/>
      <w:sz w:val="24"/>
      <w:szCs w:val="24"/>
    </w:rPr>
  </w:style>
  <w:style w:type="character" w:styleId="Style8" w:customStyle="1">
    <w:name w:val="Текст сноски Знак"/>
    <w:semiHidden/>
    <w:qFormat/>
    <w:rsid w:val="005c0949"/>
    <w:rPr>
      <w:rFonts w:ascii="Times New Roman" w:hAnsi="Times New Roman" w:eastAsia="Times New Roman"/>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qFormat/>
    <w:rsid w:val="005c0949"/>
    <w:rPr>
      <w:vertAlign w:val="superscript"/>
    </w:rPr>
  </w:style>
  <w:style w:type="character" w:styleId="Style10" w:customStyle="1">
    <w:name w:val="Основной текст с отступом Знак"/>
    <w:qFormat/>
    <w:rsid w:val="005c0949"/>
    <w:rPr>
      <w:rFonts w:ascii="Times New Roman" w:hAnsi="Times New Roman" w:eastAsia="Times New Roman"/>
      <w:sz w:val="24"/>
      <w:szCs w:val="24"/>
    </w:rPr>
  </w:style>
  <w:style w:type="character" w:styleId="Hyperlink">
    <w:name w:val="Hyperlink"/>
    <w:uiPriority w:val="99"/>
    <w:unhideWhenUsed/>
    <w:rsid w:val="00ef5da3"/>
    <w:rPr>
      <w:color w:val="0000FF"/>
      <w:u w:val="single"/>
    </w:rPr>
  </w:style>
  <w:style w:type="character" w:styleId="Bold1" w:customStyle="1">
    <w:name w:val="bold1"/>
    <w:qFormat/>
    <w:rsid w:val="001971ed"/>
    <w:rPr>
      <w:b/>
      <w:bCs/>
    </w:rPr>
  </w:style>
  <w:style w:type="character" w:styleId="1" w:customStyle="1">
    <w:name w:val="Заголовок 1 Знак"/>
    <w:qFormat/>
    <w:rsid w:val="008f748e"/>
    <w:rPr>
      <w:rFonts w:ascii="Cambria" w:hAnsi="Cambria" w:eastAsia="Times New Roman" w:cs="Cambria"/>
      <w:b/>
      <w:bCs/>
      <w:color w:val="365F91"/>
      <w:sz w:val="28"/>
      <w:szCs w:val="28"/>
      <w:lang w:eastAsia="ar-SA"/>
    </w:rPr>
  </w:style>
  <w:style w:type="character" w:styleId="2" w:customStyle="1">
    <w:name w:val="Заголовок 2 Знак"/>
    <w:qFormat/>
    <w:rsid w:val="008f748e"/>
    <w:rPr>
      <w:rFonts w:ascii="Cambria" w:hAnsi="Cambria" w:eastAsia="Times New Roman" w:cs="Cambria"/>
      <w:b/>
      <w:bCs/>
      <w:color w:val="4F81BD"/>
      <w:sz w:val="28"/>
      <w:szCs w:val="26"/>
      <w:lang w:eastAsia="ar-SA"/>
    </w:rPr>
  </w:style>
  <w:style w:type="character" w:styleId="3" w:customStyle="1">
    <w:name w:val="Заголовок 3 Знак"/>
    <w:qFormat/>
    <w:rsid w:val="008f748e"/>
    <w:rPr>
      <w:rFonts w:ascii="Times New Roman" w:hAnsi="Times New Roman" w:eastAsia="Times New Roman"/>
      <w:b/>
      <w:bCs/>
      <w:color w:val="3366FF"/>
      <w:sz w:val="28"/>
      <w:lang w:eastAsia="ar-SA"/>
    </w:rPr>
  </w:style>
  <w:style w:type="character" w:styleId="Style11" w:customStyle="1">
    <w:name w:val="Основной текст Знак"/>
    <w:qFormat/>
    <w:rsid w:val="008f748e"/>
    <w:rPr>
      <w:sz w:val="22"/>
      <w:szCs w:val="22"/>
      <w:lang w:eastAsia="ar-SA"/>
    </w:rPr>
  </w:style>
  <w:style w:type="character" w:styleId="Style12" w:customStyle="1">
    <w:name w:val="Нижний колонтитул Знак"/>
    <w:uiPriority w:val="99"/>
    <w:qFormat/>
    <w:rsid w:val="00412015"/>
    <w:rPr>
      <w:sz w:val="22"/>
      <w:szCs w:val="22"/>
      <w:lang w:eastAsia="en-US"/>
    </w:rPr>
  </w:style>
  <w:style w:type="character" w:styleId="Style13" w:customStyle="1">
    <w:name w:val="Основной текст_"/>
    <w:link w:val="12"/>
    <w:uiPriority w:val="99"/>
    <w:qFormat/>
    <w:locked/>
    <w:rsid w:val="00412015"/>
    <w:rPr>
      <w:sz w:val="28"/>
      <w:szCs w:val="28"/>
      <w:shd w:fill="FFFFFF" w:val="clear"/>
    </w:rPr>
  </w:style>
  <w:style w:type="character" w:styleId="Style14" w:customStyle="1">
    <w:name w:val="Основной текст + Малые прописные"/>
    <w:uiPriority w:val="99"/>
    <w:qFormat/>
    <w:rsid w:val="00412015"/>
    <w:rPr>
      <w:rFonts w:ascii="Times New Roman" w:hAnsi="Times New Roman" w:cs="Times New Roman"/>
      <w:smallCaps/>
      <w:color w:val="000000"/>
      <w:spacing w:val="0"/>
      <w:w w:val="100"/>
      <w:sz w:val="28"/>
      <w:szCs w:val="28"/>
      <w:u w:val="none"/>
      <w:lang w:val="ru-RU" w:bidi="ar-SA"/>
    </w:rPr>
  </w:style>
  <w:style w:type="character" w:styleId="Annotationreference">
    <w:name w:val="annotation reference"/>
    <w:uiPriority w:val="99"/>
    <w:semiHidden/>
    <w:unhideWhenUsed/>
    <w:qFormat/>
    <w:rsid w:val="00e7294f"/>
    <w:rPr>
      <w:sz w:val="16"/>
      <w:szCs w:val="16"/>
    </w:rPr>
  </w:style>
  <w:style w:type="character" w:styleId="Style15" w:customStyle="1">
    <w:name w:val="Текст примечания Знак"/>
    <w:link w:val="Annotationtext"/>
    <w:uiPriority w:val="99"/>
    <w:semiHidden/>
    <w:qFormat/>
    <w:rsid w:val="00e7294f"/>
    <w:rPr>
      <w:lang w:eastAsia="en-US"/>
    </w:rPr>
  </w:style>
  <w:style w:type="character" w:styleId="Style16" w:customStyle="1">
    <w:name w:val="Тема примечания Знак"/>
    <w:link w:val="Annotationsubject"/>
    <w:uiPriority w:val="99"/>
    <w:semiHidden/>
    <w:qFormat/>
    <w:rsid w:val="00e7294f"/>
    <w:rPr>
      <w:b/>
      <w:bCs/>
      <w:lang w:eastAsia="en-US"/>
    </w:rPr>
  </w:style>
  <w:style w:type="character" w:styleId="Strong">
    <w:name w:val="Strong"/>
    <w:uiPriority w:val="22"/>
    <w:qFormat/>
    <w:rsid w:val="001d0248"/>
    <w:rPr>
      <w:b/>
      <w:bCs/>
    </w:rPr>
  </w:style>
  <w:style w:type="character" w:styleId="Pagenumber">
    <w:name w:val="page number"/>
    <w:basedOn w:val="DefaultParagraphFont"/>
    <w:qFormat/>
    <w:rsid w:val="00901ce4"/>
    <w:rPr/>
  </w:style>
  <w:style w:type="character" w:styleId="Linenumber">
    <w:name w:val="line number"/>
    <w:qFormat/>
    <w:rPr/>
  </w:style>
  <w:style w:type="character" w:styleId="Strong2">
    <w:name w:val="Strong2"/>
    <w:qFormat/>
    <w:rPr>
      <w:b/>
      <w:bCs/>
    </w:rPr>
  </w:style>
  <w:style w:type="character" w:styleId="Strong3">
    <w:name w:val="Strong3"/>
    <w:qFormat/>
    <w:rPr>
      <w:b/>
      <w:bCs/>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11"/>
    <w:rsid w:val="008f748e"/>
    <w:pPr>
      <w:spacing w:before="0" w:after="120"/>
    </w:pPr>
    <w:rPr>
      <w:lang w:eastAsia="ar-SA"/>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BalloonText">
    <w:name w:val="Balloon Text"/>
    <w:basedOn w:val="Normal"/>
    <w:link w:val="Style6"/>
    <w:uiPriority w:val="99"/>
    <w:semiHidden/>
    <w:unhideWhenUsed/>
    <w:qFormat/>
    <w:rsid w:val="0053223e"/>
    <w:pPr>
      <w:spacing w:lineRule="auto" w:line="240" w:before="0" w:after="0"/>
    </w:pPr>
    <w:rPr>
      <w:rFonts w:ascii="Tahoma" w:hAnsi="Tahoma"/>
      <w:sz w:val="16"/>
      <w:szCs w:val="16"/>
    </w:rPr>
  </w:style>
  <w:style w:type="paragraph" w:styleId="Style19" w:customStyle="1">
    <w:name w:val="Колонтитул"/>
    <w:basedOn w:val="Normal"/>
    <w:qFormat/>
    <w:pPr/>
    <w:rPr/>
  </w:style>
  <w:style w:type="paragraph" w:styleId="Header">
    <w:name w:val="Header"/>
    <w:basedOn w:val="Normal"/>
    <w:link w:val="Style7"/>
    <w:rsid w:val="005c0949"/>
    <w:pPr>
      <w:tabs>
        <w:tab w:val="clear" w:pos="708"/>
        <w:tab w:val="center" w:pos="4677" w:leader="none"/>
        <w:tab w:val="right" w:pos="9355" w:leader="none"/>
      </w:tabs>
      <w:spacing w:lineRule="auto" w:line="240" w:before="0" w:after="0"/>
    </w:pPr>
    <w:rPr>
      <w:rFonts w:ascii="Times New Roman" w:hAnsi="Times New Roman" w:eastAsia="Times New Roman"/>
      <w:sz w:val="24"/>
      <w:szCs w:val="24"/>
    </w:rPr>
  </w:style>
  <w:style w:type="paragraph" w:styleId="FootnoteText">
    <w:name w:val="Footnote Text"/>
    <w:basedOn w:val="Normal"/>
    <w:link w:val="Style8"/>
    <w:semiHidden/>
    <w:rsid w:val="005c0949"/>
    <w:pPr>
      <w:spacing w:lineRule="auto" w:line="240" w:before="0" w:after="0"/>
    </w:pPr>
    <w:rPr>
      <w:rFonts w:ascii="Times New Roman" w:hAnsi="Times New Roman" w:eastAsia="Times New Roman"/>
      <w:sz w:val="20"/>
      <w:szCs w:val="20"/>
    </w:rPr>
  </w:style>
  <w:style w:type="paragraph" w:styleId="BodyTextIndent">
    <w:name w:val="Body Text Indent"/>
    <w:basedOn w:val="Normal"/>
    <w:link w:val="Style10"/>
    <w:rsid w:val="005c0949"/>
    <w:pPr>
      <w:spacing w:lineRule="auto" w:line="240" w:before="0" w:after="0"/>
      <w:ind w:hanging="0" w:left="360"/>
    </w:pPr>
    <w:rPr>
      <w:rFonts w:ascii="Times New Roman" w:hAnsi="Times New Roman" w:eastAsia="Times New Roman"/>
      <w:sz w:val="24"/>
      <w:szCs w:val="24"/>
    </w:rPr>
  </w:style>
  <w:style w:type="paragraph" w:styleId="ListParagraph">
    <w:name w:val="List Paragraph"/>
    <w:basedOn w:val="Normal"/>
    <w:uiPriority w:val="99"/>
    <w:qFormat/>
    <w:rsid w:val="00a647d0"/>
    <w:pPr>
      <w:spacing w:before="0" w:after="200"/>
      <w:ind w:hanging="0" w:left="720"/>
      <w:contextualSpacing/>
    </w:pPr>
    <w:rPr/>
  </w:style>
  <w:style w:type="paragraph" w:styleId="11" w:customStyle="1">
    <w:name w:val="Абзац списка1"/>
    <w:basedOn w:val="Normal"/>
    <w:qFormat/>
    <w:rsid w:val="008f748e"/>
    <w:pPr>
      <w:widowControl w:val="false"/>
      <w:ind w:firstLine="709" w:left="720"/>
    </w:pPr>
    <w:rPr>
      <w:lang w:eastAsia="ar-SA"/>
    </w:rPr>
  </w:style>
  <w:style w:type="paragraph" w:styleId="Footer">
    <w:name w:val="Footer"/>
    <w:basedOn w:val="Normal"/>
    <w:link w:val="Style12"/>
    <w:uiPriority w:val="99"/>
    <w:rsid w:val="00412015"/>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qFormat/>
    <w:rsid w:val="00412015"/>
    <w:pPr>
      <w:spacing w:lineRule="auto" w:line="240" w:before="30" w:after="30"/>
    </w:pPr>
    <w:rPr>
      <w:rFonts w:ascii="Arial" w:hAnsi="Arial" w:cs="Arial"/>
      <w:color w:val="332E2D"/>
      <w:spacing w:val="2"/>
      <w:sz w:val="24"/>
      <w:szCs w:val="24"/>
      <w:lang w:eastAsia="ru-RU"/>
    </w:rPr>
  </w:style>
  <w:style w:type="paragraph" w:styleId="12" w:customStyle="1">
    <w:name w:val="Основной текст1"/>
    <w:basedOn w:val="Normal"/>
    <w:link w:val="Style13"/>
    <w:uiPriority w:val="99"/>
    <w:qFormat/>
    <w:rsid w:val="00412015"/>
    <w:pPr>
      <w:widowControl w:val="false"/>
      <w:shd w:val="clear" w:color="auto" w:fill="FFFFFF"/>
      <w:spacing w:lineRule="exact" w:line="302" w:before="0" w:after="0"/>
    </w:pPr>
    <w:rPr>
      <w:sz w:val="28"/>
      <w:szCs w:val="28"/>
      <w:lang w:eastAsia="ru-RU"/>
    </w:rPr>
  </w:style>
  <w:style w:type="paragraph" w:styleId="Annotationtext">
    <w:name w:val="annotation text"/>
    <w:basedOn w:val="Normal"/>
    <w:link w:val="Style15"/>
    <w:uiPriority w:val="99"/>
    <w:semiHidden/>
    <w:unhideWhenUsed/>
    <w:qFormat/>
    <w:rsid w:val="00e7294f"/>
    <w:pPr>
      <w:spacing w:lineRule="auto" w:line="240"/>
    </w:pPr>
    <w:rPr>
      <w:sz w:val="20"/>
      <w:szCs w:val="20"/>
    </w:rPr>
  </w:style>
  <w:style w:type="paragraph" w:styleId="Annotationsubject">
    <w:name w:val="annotation subject"/>
    <w:basedOn w:val="Annotationtext"/>
    <w:next w:val="Annotationtext"/>
    <w:link w:val="Style16"/>
    <w:uiPriority w:val="99"/>
    <w:semiHidden/>
    <w:unhideWhenUsed/>
    <w:qFormat/>
    <w:rsid w:val="00e7294f"/>
    <w:pPr/>
    <w:rPr>
      <w:b/>
      <w:bCs/>
    </w:rPr>
  </w:style>
  <w:style w:type="paragraph" w:styleId="Default" w:customStyle="1">
    <w:name w:val="Default"/>
    <w:qFormat/>
    <w:rsid w:val="00515767"/>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Style20" w:customStyle="1">
    <w:name w:val="Содержимое таблицы"/>
    <w:basedOn w:val="Normal"/>
    <w:qFormat/>
    <w:pPr>
      <w:widowControl w:val="false"/>
      <w:suppressLineNumbers/>
    </w:pPr>
    <w:rPr/>
  </w:style>
  <w:style w:type="paragraph" w:styleId="Style21" w:customStyle="1">
    <w:name w:val="Заголовок таблицы"/>
    <w:basedOn w:val="Style20"/>
    <w:qFormat/>
    <w:pPr>
      <w:jc w:val="center"/>
    </w:pPr>
    <w:rPr>
      <w:b/>
      <w:bCs/>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5">
    <w:name w:val="Table Grid"/>
    <w:basedOn w:val="a2"/>
    <w:uiPriority w:val="39"/>
    <w:rsid w:val="00644f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59D68-7A60-4CE6-A744-95603466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2002</TotalTime>
  <Application>AlterOffice/2026.2.0.0$Linux_X86_64 LibreOffice_project/bc4ef1adf80b36c7a6365f8ed6cbf29021361edd</Application>
  <AppVersion>15.0000</AppVersion>
  <Pages>5</Pages>
  <Words>810</Words>
  <Characters>5704</Characters>
  <CharactersWithSpaces>7391</CharactersWithSpaces>
  <Paragraphs>126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2024-07-15T11:09:00Z</dcterms:created>
  <dc:creator>Admin</dc:creator>
  <dc:description/>
  <dc:language>ru-RU</dc:language>
  <cp:lastModifiedBy>korolevkv@corp.gidroogk.com</cp:lastModifiedBy>
  <cp:lastPrinted>2025-09-26T14:45:28Z</cp:lastPrinted>
  <dcterms:modified xsi:type="dcterms:W3CDTF">2026-09-25T12:58:55Z</dcterms:modified>
  <cp:revision>60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027a58-0b8b-4b38-933d-36c79ab5a9a6_ActionId">
    <vt:lpwstr>624e3e5c-1bd8-430e-aca5-6db545a4e20d</vt:lpwstr>
  </property>
  <property fmtid="{D5CDD505-2E9C-101B-9397-08002B2CF9AE}" pid="3" name="MSIP_Label_cb027a58-0b8b-4b38-933d-36c79ab5a9a6_ContentBits">
    <vt:lpwstr>0</vt:lpwstr>
  </property>
  <property fmtid="{D5CDD505-2E9C-101B-9397-08002B2CF9AE}" pid="4" name="MSIP_Label_cb027a58-0b8b-4b38-933d-36c79ab5a9a6_Enabled">
    <vt:lpwstr>true</vt:lpwstr>
  </property>
  <property fmtid="{D5CDD505-2E9C-101B-9397-08002B2CF9AE}" pid="5" name="MSIP_Label_cb027a58-0b8b-4b38-933d-36c79ab5a9a6_Method">
    <vt:lpwstr>Privileged</vt:lpwstr>
  </property>
  <property fmtid="{D5CDD505-2E9C-101B-9397-08002B2CF9AE}" pid="6" name="MSIP_Label_cb027a58-0b8b-4b38-933d-36c79ab5a9a6_Name">
    <vt:lpwstr>cb027a58-0b8b-4b38-933d-36c79ab5a9a6</vt:lpwstr>
  </property>
  <property fmtid="{D5CDD505-2E9C-101B-9397-08002B2CF9AE}" pid="7" name="MSIP_Label_cb027a58-0b8b-4b38-933d-36c79ab5a9a6_SetDate">
    <vt:lpwstr>2023-03-30T11:50:38Z</vt:lpwstr>
  </property>
  <property fmtid="{D5CDD505-2E9C-101B-9397-08002B2CF9AE}" pid="8" name="MSIP_Label_cb027a58-0b8b-4b38-933d-36c79ab5a9a6_SiteId">
    <vt:lpwstr>75b2f54b-feff-400d-8e0b-67102edb9a23</vt:lpwstr>
  </property>
</Properties>
</file>