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</w:t>
      </w:r>
      <w:r>
        <w:rPr>
          <w:rStyle w:val="Hyperlink"/>
          <w:rFonts w:eastAsia="Calibri"/>
          <w:b/>
          <w:color w:val="000000"/>
          <w:sz w:val="28"/>
          <w:szCs w:val="28"/>
          <w:u w:val="none"/>
        </w:rPr>
        <w:t>ПД2 22.19.73.111 По</w:t>
      </w:r>
      <w:r>
        <w:rPr>
          <w:rStyle w:val="Hyperlink"/>
          <w:rFonts w:eastAsia="Calibri"/>
          <w:b/>
          <w:color w:val="000000"/>
          <w:u w:val="none"/>
        </w:rPr>
        <w:t xml:space="preserve">ставка </w:t>
      </w:r>
      <w:r>
        <w:rPr>
          <w:rStyle w:val="Hyperlink"/>
          <w:rFonts w:eastAsia="Calibri"/>
          <w:b/>
          <w:color w:val="000000"/>
          <w:u w:val="none"/>
        </w:rPr>
        <w:t xml:space="preserve">колец </w:t>
      </w:r>
      <w:r>
        <w:rPr>
          <w:rStyle w:val="Hyperlink"/>
          <w:rFonts w:eastAsia="Calibri"/>
          <w:b/>
          <w:color w:val="000000"/>
          <w:u w:val="none"/>
        </w:rPr>
        <w:t>уплотнительных к насосам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кольцо уплотнительное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0"/>
        <w:gridCol w:w="6081"/>
        <w:gridCol w:w="1703"/>
        <w:gridCol w:w="1557"/>
      </w:tblGrid>
      <w:tr>
        <w:trPr>
          <w:trHeight w:val="276" w:hRule="atLeast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 NIS100-65-200/18.5SWH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компл.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 NISF80-50-200/15SWL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компл.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 CDMF32-3FSWLC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компл.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 CHLF20-40LSWLC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компл.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62" w:hRule="atLeast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=D4+D5+D6+D7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ЯГРЭС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 NIS100-65-200/18.5SWH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60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 NISF80-50-200/15SWL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 CDMF32-3FSWLC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уплотнительное для насоса CHLF20-40LSWLC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№1-4 Таблицы 3.1): </w:t>
      </w:r>
      <w:r>
        <w:rPr>
          <w:rStyle w:val="Style8"/>
          <w:rFonts w:eastAsia="Calibri"/>
          <w:bCs/>
          <w:i w:val="false"/>
          <w:iCs/>
          <w:sz w:val="24"/>
          <w:szCs w:val="24"/>
          <w:shd w:fill="auto" w:val="clear"/>
          <w:lang w:eastAsia="x-none"/>
        </w:rPr>
        <w:t>кольцо уплотнительное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насосы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Кольцо уплотнительное для насоса NIS100-65-200/18.5SWH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Для насоса NIS100-65-200/18.5SWH (CNP). Материал: Бутадиен-нитрильный каучук (NBR)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Кольцо уплотнительное для насоса NISF80-50-200/15SWL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Для насоса NISF80-50-200/15SWL (CNP).Материал: Бутадиен-нитрильный каучук (NBR)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Кольцо уплотнительное для насоса CDMF32-3FSWLC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Для насоса CDMF32-3FSWLC (CNP). Материал: EPDM (код резины E)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Кольцо уплотнительное для насоса CHLF20-40LSWLC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Для насоса CHLF20-40LSWLC: уплотнительные кольца (O</w:t>
              <w:noBreakHyphen/>
              <w:t>ring) для корпуса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Application>AlterOffice/3.4.0.9$Linux_X86_64 LibreOffice_project/b8daf9e823b1a5463a2f48435ddc2e8696e7d4fc</Application>
  <AppVersion>15.0000</AppVersion>
  <Pages>8</Pages>
  <Words>1033</Words>
  <Characters>7533</Characters>
  <CharactersWithSpaces>8378</CharactersWithSpaces>
  <Paragraphs>202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2026-09-27T14:46:37Z</dcterms:modified>
  <cp:revision>180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