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header9.xml" ContentType="application/vnd.openxmlformats-officedocument.wordprocessingml.header+xml"/>
  <Override PartName="/word/media/image4.png" ContentType="image/png"/>
  <Override PartName="/word/media/image3.wmf" ContentType="image/x-wmf"/>
  <Override PartName="/word/media/image6.wmf" ContentType="image/x-wmf"/>
  <Override PartName="/word/media/image1.wmf" ContentType="image/x-wmf"/>
  <Override PartName="/word/media/image5.wmf" ContentType="image/x-wmf"/>
  <Override PartName="/word/media/image2.wmf" ContentType="image/x-wmf"/>
  <Override PartName="/word/footer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header13.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5.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header14.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1"/>
        <w:keepNext w:val="true"/>
        <w:numPr>
          <w:ilvl w:val="0"/>
          <w:numId w:val="0"/>
        </w:numPr>
        <w:spacing w:before="120" w:after="0"/>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t>Документация о закупке</w:t>
      </w:r>
    </w:p>
    <w:p>
      <w:pPr>
        <w:pStyle w:val="Style31"/>
        <w:keepNext w:val="true"/>
        <w:spacing w:before="240" w:after="0"/>
        <w:jc w:val="center"/>
        <w:rPr>
          <w:rStyle w:val="Style11"/>
        </w:rPr>
      </w:pPr>
      <w:r>
        <w:rPr/>
        <w:t>Состязательный отбор в электронной форме,</w:t>
        <w:br/>
        <w:t>учас</w:t>
      </w:r>
      <w:r>
        <w:rPr>
          <w:i w:val="false"/>
          <w:iCs w:val="false"/>
          <w:sz w:val="28"/>
          <w:szCs w:val="28"/>
          <w:u w:val="none"/>
        </w:rPr>
        <w:t>тниками которого могут быть только субъекты МСП</w:t>
        <w:br/>
        <w:t xml:space="preserve">на право заключения договора «ОКПД2 </w:t>
      </w:r>
      <w:r>
        <w:rPr>
          <w:i w:val="false"/>
          <w:iCs w:val="false"/>
          <w:sz w:val="28"/>
          <w:szCs w:val="28"/>
          <w:u w:val="none"/>
          <w:lang w:eastAsia="en-US"/>
        </w:rPr>
        <w:t>28.29.12.190. _Техническое обслуживание станции глубокой биологической очистки хозяйственно-бытовых сточных вод, оборудования очистных сооружений и систем очистки автомоек, ливневой канализации, очистных сооружений ливневых вод  филиала ПАО “РусГидро”-“Каскад Кубанских ГЭС”</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1"/>
        <w:spacing w:before="240" w:after="0"/>
        <w:jc w:val="center"/>
        <w:rPr>
          <w:rStyle w:val="Style11"/>
        </w:rPr>
      </w:pPr>
      <w:r>
        <w:rPr>
          <w:rStyle w:val="Style11"/>
          <w:rFonts w:eastAsia="Calibri" w:cs="Times New Roman" w:eastAsiaTheme="minorHAnsi"/>
          <w:b w:val="false"/>
          <w:bCs w:val="false"/>
          <w:i w:val="false"/>
          <w:iCs w:val="false"/>
          <w:sz w:val="28"/>
          <w:szCs w:val="28"/>
          <w:u w:val="none"/>
          <w:shd w:fill="auto" w:val="clear"/>
          <w:lang w:eastAsia="en-US"/>
        </w:rPr>
        <w:t>(Лот № 121002-ТО ПРОД-2027-ККГЭС</w:t>
      </w:r>
      <w:r>
        <w:rPr/>
        <w:t>)</w:t>
      </w:r>
    </w:p>
    <w:p>
      <w:pPr>
        <w:pStyle w:val="Style30"/>
        <w:numPr>
          <w:ilvl w:val="0"/>
          <w:numId w:val="0"/>
        </w:numPr>
        <w:ind w:left="0" w:hanging="0"/>
        <w:outlineLvl w:val="2"/>
        <w:rPr/>
      </w:pPr>
      <w:r>
        <w:rPr/>
        <w:t>Содержание</w:t>
      </w:r>
    </w:p>
    <w:sdt>
      <w:sdtPr>
        <w:docPartObj>
          <w:docPartGallery w:val="Table of Contents"/>
          <w:docPartUnique w:val="true"/>
        </w:docPartObj>
      </w:sdtPr>
      <w:sdtContent>
        <w:p>
          <w:pPr>
            <w:pStyle w:val="TOC1"/>
            <w:tabs>
              <w:tab w:val="clear" w:pos="9923"/>
              <w:tab w:val="left" w:pos="851" w:leader="none"/>
              <w:tab w:val="right" w:pos="9922" w:leader="dot"/>
            </w:tabs>
            <w:rPr/>
          </w:pPr>
          <w:r>
            <w:fldChar w:fldCharType="begin"/>
          </w:r>
          <w:r>
            <w:rPr>
              <w:webHidden/>
              <w:rStyle w:val="Style20"/>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Перечисление,5,[РГ] Перечисление,5,[РГ] Перечисление,5" \h</w:instrText>
          </w:r>
          <w:r>
            <w:rPr>
              <w:webHidden/>
              <w:rStyle w:val="Style20"/>
              <w:vanish w:val="false"/>
            </w:rPr>
            <w:fldChar w:fldCharType="separate"/>
          </w:r>
          <w:hyperlink w:anchor="__RefHeading___Toc97470_534302689">
            <w:r>
              <w:rPr>
                <w:webHidden/>
                <w:rStyle w:val="Style20"/>
                <w:vanish w:val="false"/>
              </w:rPr>
              <w:tab/>
              <w:t>Сокращения</w:t>
              <w:tab/>
              <w:t>5</w:t>
            </w:r>
          </w:hyperlink>
        </w:p>
        <w:p>
          <w:pPr>
            <w:pStyle w:val="TOC1"/>
            <w:tabs>
              <w:tab w:val="clear" w:pos="9923"/>
              <w:tab w:val="left" w:pos="851" w:leader="none"/>
              <w:tab w:val="right" w:pos="9922" w:leader="dot"/>
            </w:tabs>
            <w:rPr/>
          </w:pPr>
          <w:hyperlink w:anchor="__RefHeading___Toc97472_534302689">
            <w:r>
              <w:rPr>
                <w:webHidden/>
                <w:rStyle w:val="Style20"/>
                <w:vanish w:val="false"/>
              </w:rPr>
              <w:tab/>
              <w:t>Термины и определения</w:t>
              <w:tab/>
              <w:t>7</w:t>
            </w:r>
          </w:hyperlink>
        </w:p>
        <w:p>
          <w:pPr>
            <w:pStyle w:val="TOC1"/>
            <w:tabs>
              <w:tab w:val="clear" w:pos="9923"/>
              <w:tab w:val="left" w:pos="851" w:leader="none"/>
              <w:tab w:val="right" w:pos="9922" w:leader="dot"/>
            </w:tabs>
            <w:rPr/>
          </w:pPr>
          <w:hyperlink w:anchor="__RefHeading___Toc97474_534302689">
            <w:r>
              <w:rPr>
                <w:webHidden/>
                <w:rStyle w:val="Style20"/>
                <w:vanish w:val="false"/>
              </w:rPr>
              <w:t>1.</w:t>
              <w:tab/>
              <w:t>Основные сведения о закупке</w:t>
              <w:tab/>
              <w:t>11</w:t>
            </w:r>
          </w:hyperlink>
        </w:p>
        <w:p>
          <w:pPr>
            <w:pStyle w:val="TOC2"/>
            <w:tabs>
              <w:tab w:val="clear" w:pos="9923"/>
              <w:tab w:val="left" w:pos="851" w:leader="none"/>
              <w:tab w:val="right" w:pos="9922" w:leader="dot"/>
            </w:tabs>
            <w:rPr/>
          </w:pPr>
          <w:hyperlink w:anchor="__RefHeading___Toc97476_534302689">
            <w:r>
              <w:rPr>
                <w:webHidden/>
                <w:rStyle w:val="Style20"/>
                <w:vanish w:val="false"/>
              </w:rPr>
              <w:t>1.1</w:t>
              <w:tab/>
              <w:t>Статус настоящего раздела</w:t>
              <w:tab/>
              <w:t>11</w:t>
            </w:r>
          </w:hyperlink>
        </w:p>
        <w:p>
          <w:pPr>
            <w:pStyle w:val="TOC2"/>
            <w:tabs>
              <w:tab w:val="clear" w:pos="9923"/>
              <w:tab w:val="left" w:pos="851" w:leader="none"/>
              <w:tab w:val="right" w:pos="9922" w:leader="dot"/>
            </w:tabs>
            <w:rPr/>
          </w:pPr>
          <w:hyperlink w:anchor="__RefHeading___Toc97478_534302689">
            <w:r>
              <w:rPr>
                <w:webHidden/>
                <w:rStyle w:val="Style20"/>
                <w:vanish w:val="false"/>
              </w:rPr>
              <w:t>1.2</w:t>
              <w:tab/>
              <w:t>Информация о проводимой закупке</w:t>
              <w:tab/>
              <w:t>11</w:t>
            </w:r>
          </w:hyperlink>
        </w:p>
        <w:p>
          <w:pPr>
            <w:pStyle w:val="TOC1"/>
            <w:tabs>
              <w:tab w:val="clear" w:pos="9923"/>
              <w:tab w:val="left" w:pos="851" w:leader="none"/>
              <w:tab w:val="right" w:pos="9922" w:leader="dot"/>
            </w:tabs>
            <w:rPr/>
          </w:pPr>
          <w:hyperlink w:anchor="__RefHeading___Toc97480_534302689">
            <w:r>
              <w:rPr>
                <w:webHidden/>
                <w:rStyle w:val="Style20"/>
                <w:vanish w:val="false"/>
              </w:rPr>
              <w:t>2.</w:t>
              <w:tab/>
              <w:t>Общие положения</w:t>
              <w:tab/>
              <w:t>16</w:t>
            </w:r>
          </w:hyperlink>
        </w:p>
        <w:p>
          <w:pPr>
            <w:pStyle w:val="TOC2"/>
            <w:tabs>
              <w:tab w:val="clear" w:pos="9923"/>
              <w:tab w:val="left" w:pos="851" w:leader="none"/>
              <w:tab w:val="right" w:pos="9922" w:leader="dot"/>
            </w:tabs>
            <w:rPr/>
          </w:pPr>
          <w:hyperlink w:anchor="__RefHeading___Toc97482_534302689">
            <w:r>
              <w:rPr>
                <w:webHidden/>
                <w:rStyle w:val="Style20"/>
                <w:vanish w:val="false"/>
              </w:rPr>
              <w:t>2.1</w:t>
              <w:tab/>
              <w:t>Общие сведения о закупке</w:t>
              <w:tab/>
              <w:t>16</w:t>
            </w:r>
          </w:hyperlink>
        </w:p>
        <w:p>
          <w:pPr>
            <w:pStyle w:val="TOC2"/>
            <w:tabs>
              <w:tab w:val="clear" w:pos="9923"/>
              <w:tab w:val="left" w:pos="851" w:leader="none"/>
              <w:tab w:val="right" w:pos="9922" w:leader="dot"/>
            </w:tabs>
            <w:rPr/>
          </w:pPr>
          <w:hyperlink w:anchor="__RefHeading___Toc97484_534302689">
            <w:r>
              <w:rPr>
                <w:webHidden/>
                <w:rStyle w:val="Style20"/>
                <w:vanish w:val="false"/>
              </w:rPr>
              <w:t>2.2</w:t>
              <w:tab/>
              <w:t>Правовой статус документов</w:t>
              <w:tab/>
              <w:t>16</w:t>
            </w:r>
          </w:hyperlink>
        </w:p>
        <w:p>
          <w:pPr>
            <w:pStyle w:val="TOC2"/>
            <w:tabs>
              <w:tab w:val="clear" w:pos="9923"/>
              <w:tab w:val="left" w:pos="851" w:leader="none"/>
              <w:tab w:val="right" w:pos="9922" w:leader="dot"/>
            </w:tabs>
            <w:rPr/>
          </w:pPr>
          <w:hyperlink w:anchor="__RefHeading___Toc97486_534302689">
            <w:r>
              <w:rPr>
                <w:webHidden/>
                <w:rStyle w:val="Style20"/>
                <w:vanish w:val="false"/>
              </w:rPr>
              <w:t>2.3</w:t>
              <w:tab/>
              <w:t>Обжалование</w:t>
              <w:tab/>
              <w:t>17</w:t>
            </w:r>
          </w:hyperlink>
        </w:p>
        <w:p>
          <w:pPr>
            <w:pStyle w:val="TOC2"/>
            <w:tabs>
              <w:tab w:val="clear" w:pos="9923"/>
              <w:tab w:val="left" w:pos="851" w:leader="none"/>
              <w:tab w:val="right" w:pos="9922" w:leader="dot"/>
            </w:tabs>
            <w:rPr/>
          </w:pPr>
          <w:hyperlink w:anchor="__RefHeading___Toc97488_534302689">
            <w:r>
              <w:rPr>
                <w:webHidden/>
                <w:rStyle w:val="Style20"/>
                <w:vanish w:val="false"/>
              </w:rPr>
              <w:t>2.4</w:t>
              <w:tab/>
              <w:t>Особые положения при проведении закупки с использованием ЭП</w:t>
              <w:tab/>
              <w:t>18</w:t>
            </w:r>
          </w:hyperlink>
        </w:p>
        <w:p>
          <w:pPr>
            <w:pStyle w:val="TOC2"/>
            <w:tabs>
              <w:tab w:val="clear" w:pos="9923"/>
              <w:tab w:val="left" w:pos="851" w:leader="none"/>
              <w:tab w:val="right" w:pos="9922" w:leader="dot"/>
            </w:tabs>
            <w:rPr/>
          </w:pPr>
          <w:hyperlink w:anchor="__RefHeading___Toc97490_534302689">
            <w:r>
              <w:rPr>
                <w:webHidden/>
                <w:rStyle w:val="Style20"/>
                <w:vanish w:val="false"/>
              </w:rPr>
              <w:t>2.5</w:t>
              <w:tab/>
              <w:t>Прочие положения</w:t>
              <w:tab/>
              <w:t>18</w:t>
            </w:r>
          </w:hyperlink>
        </w:p>
        <w:p>
          <w:pPr>
            <w:pStyle w:val="TOC1"/>
            <w:tabs>
              <w:tab w:val="clear" w:pos="9923"/>
              <w:tab w:val="left" w:pos="851" w:leader="none"/>
              <w:tab w:val="right" w:pos="9922" w:leader="dot"/>
            </w:tabs>
            <w:rPr/>
          </w:pPr>
          <w:hyperlink w:anchor="__RefHeading___Toc97492_534302689">
            <w:r>
              <w:rPr>
                <w:webHidden/>
                <w:rStyle w:val="Style20"/>
                <w:vanish w:val="false"/>
              </w:rPr>
              <w:t>3.</w:t>
              <w:tab/>
              <w:t>Требования к Участникам</w:t>
              <w:tab/>
              <w:t>20</w:t>
            </w:r>
          </w:hyperlink>
        </w:p>
        <w:p>
          <w:pPr>
            <w:pStyle w:val="TOC2"/>
            <w:tabs>
              <w:tab w:val="clear" w:pos="9923"/>
              <w:tab w:val="left" w:pos="851" w:leader="none"/>
              <w:tab w:val="right" w:pos="9922" w:leader="dot"/>
            </w:tabs>
            <w:rPr/>
          </w:pPr>
          <w:hyperlink w:anchor="__RefHeading___Toc97494_534302689">
            <w:r>
              <w:rPr>
                <w:webHidden/>
                <w:rStyle w:val="Style20"/>
                <w:vanish w:val="false"/>
              </w:rPr>
              <w:t>3.1</w:t>
              <w:tab/>
              <w:t>Общие требования к Участникам</w:t>
              <w:tab/>
              <w:t>20</w:t>
            </w:r>
          </w:hyperlink>
        </w:p>
        <w:p>
          <w:pPr>
            <w:pStyle w:val="TOC2"/>
            <w:tabs>
              <w:tab w:val="clear" w:pos="9923"/>
              <w:tab w:val="left" w:pos="851" w:leader="none"/>
              <w:tab w:val="right" w:pos="9922" w:leader="dot"/>
            </w:tabs>
            <w:rPr/>
          </w:pPr>
          <w:hyperlink w:anchor="__RefHeading___Toc97496_534302689">
            <w:r>
              <w:rPr>
                <w:webHidden/>
                <w:rStyle w:val="Style20"/>
                <w:vanish w:val="false"/>
              </w:rPr>
              <w:t>3.2</w:t>
              <w:tab/>
              <w:t>Генеральные подрядчики</w:t>
              <w:tab/>
              <w:t>20</w:t>
            </w:r>
          </w:hyperlink>
        </w:p>
        <w:p>
          <w:pPr>
            <w:pStyle w:val="TOC1"/>
            <w:tabs>
              <w:tab w:val="clear" w:pos="9923"/>
              <w:tab w:val="left" w:pos="851" w:leader="none"/>
              <w:tab w:val="right" w:pos="9922" w:leader="dot"/>
            </w:tabs>
            <w:rPr/>
          </w:pPr>
          <w:hyperlink w:anchor="__RefHeading___Toc97498_534302689">
            <w:r>
              <w:rPr>
                <w:webHidden/>
                <w:rStyle w:val="Style20"/>
                <w:vanish w:val="false"/>
              </w:rPr>
              <w:t>4.</w:t>
              <w:tab/>
              <w:t>Порядок проведения закупки</w:t>
              <w:tab/>
              <w:t>23</w:t>
            </w:r>
          </w:hyperlink>
        </w:p>
        <w:p>
          <w:pPr>
            <w:pStyle w:val="TOC2"/>
            <w:tabs>
              <w:tab w:val="clear" w:pos="9923"/>
              <w:tab w:val="left" w:pos="851" w:leader="none"/>
              <w:tab w:val="right" w:pos="9922" w:leader="dot"/>
            </w:tabs>
            <w:rPr/>
          </w:pPr>
          <w:hyperlink w:anchor="__RefHeading___Toc97500_534302689">
            <w:r>
              <w:rPr>
                <w:webHidden/>
                <w:rStyle w:val="Style20"/>
                <w:vanish w:val="false"/>
              </w:rPr>
              <w:t>4.1</w:t>
              <w:tab/>
              <w:t>Общий порядок проведения закупки</w:t>
              <w:tab/>
              <w:t>23</w:t>
            </w:r>
          </w:hyperlink>
        </w:p>
        <w:p>
          <w:pPr>
            <w:pStyle w:val="TOC2"/>
            <w:tabs>
              <w:tab w:val="clear" w:pos="9923"/>
              <w:tab w:val="left" w:pos="851" w:leader="none"/>
              <w:tab w:val="right" w:pos="9922" w:leader="dot"/>
            </w:tabs>
            <w:rPr/>
          </w:pPr>
          <w:hyperlink w:anchor="__RefHeading___Toc97502_534302689">
            <w:r>
              <w:rPr>
                <w:webHidden/>
                <w:rStyle w:val="Style20"/>
                <w:vanish w:val="false"/>
              </w:rPr>
              <w:t>4.2</w:t>
              <w:tab/>
              <w:t>Официальное размещение Извещения и Документации о закупке</w:t>
              <w:tab/>
              <w:t>25</w:t>
            </w:r>
          </w:hyperlink>
        </w:p>
        <w:p>
          <w:pPr>
            <w:pStyle w:val="TOC2"/>
            <w:tabs>
              <w:tab w:val="clear" w:pos="9923"/>
              <w:tab w:val="left" w:pos="851" w:leader="none"/>
              <w:tab w:val="right" w:pos="9922" w:leader="dot"/>
            </w:tabs>
            <w:rPr/>
          </w:pPr>
          <w:hyperlink w:anchor="__RefHeading___Toc97504_534302689">
            <w:r>
              <w:rPr>
                <w:webHidden/>
                <w:rStyle w:val="Style20"/>
                <w:vanish w:val="false"/>
              </w:rPr>
              <w:t>4.3</w:t>
              <w:tab/>
              <w:t>Подготовка заявки</w:t>
              <w:tab/>
              <w:t>25</w:t>
            </w:r>
          </w:hyperlink>
        </w:p>
        <w:p>
          <w:pPr>
            <w:pStyle w:val="TOC2"/>
            <w:tabs>
              <w:tab w:val="clear" w:pos="9923"/>
              <w:tab w:val="left" w:pos="851" w:leader="none"/>
              <w:tab w:val="right" w:pos="9922" w:leader="dot"/>
            </w:tabs>
            <w:rPr/>
          </w:pPr>
          <w:hyperlink w:anchor="__RefHeading___Toc97506_534302689">
            <w:r>
              <w:rPr>
                <w:webHidden/>
                <w:rStyle w:val="Style20"/>
                <w:vanish w:val="false"/>
              </w:rPr>
              <w:t>4.4</w:t>
              <w:tab/>
              <w:t>Разъяснение Документации о закупке</w:t>
              <w:tab/>
              <w:t>28</w:t>
            </w:r>
          </w:hyperlink>
        </w:p>
        <w:p>
          <w:pPr>
            <w:pStyle w:val="TOC2"/>
            <w:tabs>
              <w:tab w:val="clear" w:pos="9923"/>
              <w:tab w:val="left" w:pos="851" w:leader="none"/>
              <w:tab w:val="right" w:pos="9922" w:leader="dot"/>
            </w:tabs>
            <w:rPr/>
          </w:pPr>
          <w:hyperlink w:anchor="__RefHeading___Toc97508_534302689">
            <w:r>
              <w:rPr>
                <w:webHidden/>
                <w:rStyle w:val="Style20"/>
                <w:vanish w:val="false"/>
              </w:rPr>
              <w:t>4.5</w:t>
              <w:tab/>
              <w:t>Изменения Извещения и (или) Документации о закупке</w:t>
              <w:tab/>
              <w:t>28</w:t>
            </w:r>
          </w:hyperlink>
        </w:p>
        <w:p>
          <w:pPr>
            <w:pStyle w:val="TOC2"/>
            <w:tabs>
              <w:tab w:val="clear" w:pos="9923"/>
              <w:tab w:val="left" w:pos="851" w:leader="none"/>
              <w:tab w:val="right" w:pos="9922" w:leader="dot"/>
            </w:tabs>
            <w:rPr/>
          </w:pPr>
          <w:hyperlink w:anchor="__RefHeading___Toc97510_534302689">
            <w:r>
              <w:rPr>
                <w:webHidden/>
                <w:rStyle w:val="Style20"/>
                <w:vanish w:val="false"/>
              </w:rPr>
              <w:t>4.6</w:t>
              <w:tab/>
              <w:t>Подача заявок и их прием</w:t>
              <w:tab/>
              <w:t>29</w:t>
            </w:r>
          </w:hyperlink>
        </w:p>
        <w:p>
          <w:pPr>
            <w:pStyle w:val="TOC2"/>
            <w:tabs>
              <w:tab w:val="clear" w:pos="9923"/>
              <w:tab w:val="left" w:pos="851" w:leader="none"/>
              <w:tab w:val="right" w:pos="9922" w:leader="dot"/>
            </w:tabs>
            <w:rPr/>
          </w:pPr>
          <w:hyperlink w:anchor="__RefHeading___Toc97512_534302689">
            <w:r>
              <w:rPr>
                <w:webHidden/>
                <w:rStyle w:val="Style20"/>
                <w:vanish w:val="false"/>
              </w:rPr>
              <w:t>4.7</w:t>
              <w:tab/>
              <w:t>Изменение и отзыв заявок</w:t>
              <w:tab/>
              <w:t>29</w:t>
            </w:r>
          </w:hyperlink>
        </w:p>
        <w:p>
          <w:pPr>
            <w:pStyle w:val="TOC2"/>
            <w:tabs>
              <w:tab w:val="clear" w:pos="9923"/>
              <w:tab w:val="left" w:pos="851" w:leader="none"/>
              <w:tab w:val="right" w:pos="9922" w:leader="dot"/>
            </w:tabs>
            <w:rPr/>
          </w:pPr>
          <w:hyperlink w:anchor="__RefHeading___Toc97514_534302689">
            <w:r>
              <w:rPr>
                <w:webHidden/>
                <w:rStyle w:val="Style20"/>
                <w:vanish w:val="false"/>
              </w:rPr>
              <w:t>4.8</w:t>
              <w:tab/>
              <w:t>Открытие доступа к заявкам</w:t>
              <w:tab/>
              <w:t>30</w:t>
            </w:r>
          </w:hyperlink>
        </w:p>
        <w:p>
          <w:pPr>
            <w:pStyle w:val="TOC2"/>
            <w:tabs>
              <w:tab w:val="clear" w:pos="9923"/>
              <w:tab w:val="left" w:pos="851" w:leader="none"/>
              <w:tab w:val="right" w:pos="9922" w:leader="dot"/>
            </w:tabs>
            <w:rPr/>
          </w:pPr>
          <w:hyperlink w:anchor="__RefHeading___Toc97516_534302689">
            <w:r>
              <w:rPr>
                <w:webHidden/>
                <w:rStyle w:val="Style20"/>
                <w:vanish w:val="false"/>
              </w:rPr>
              <w:t>4.9</w:t>
              <w:tab/>
              <w:t>Рассмотрение заявок (отборочная стадия), в том числе (при необходимости) проведение аккредитации</w:t>
              <w:tab/>
              <w:t>31</w:t>
            </w:r>
          </w:hyperlink>
        </w:p>
        <w:p>
          <w:pPr>
            <w:pStyle w:val="TOC2"/>
            <w:tabs>
              <w:tab w:val="clear" w:pos="9923"/>
              <w:tab w:val="left" w:pos="851" w:leader="none"/>
              <w:tab w:val="right" w:pos="9922" w:leader="dot"/>
            </w:tabs>
            <w:rPr/>
          </w:pPr>
          <w:hyperlink w:anchor="__RefHeading___Toc97518_534302689">
            <w:r>
              <w:rPr>
                <w:webHidden/>
                <w:rStyle w:val="Style20"/>
                <w:vanish w:val="false"/>
              </w:rPr>
              <w:t>4.10</w:t>
              <w:tab/>
              <w:t>Дополнительные запросы разъяснений заявок</w:t>
              <w:tab/>
              <w:t>33</w:t>
            </w:r>
          </w:hyperlink>
        </w:p>
        <w:p>
          <w:pPr>
            <w:pStyle w:val="TOC2"/>
            <w:tabs>
              <w:tab w:val="clear" w:pos="9923"/>
              <w:tab w:val="left" w:pos="851" w:leader="none"/>
              <w:tab w:val="right" w:pos="9922" w:leader="dot"/>
            </w:tabs>
            <w:rPr/>
          </w:pPr>
          <w:hyperlink w:anchor="__RefHeading___Toc97520_534302689">
            <w:r>
              <w:rPr>
                <w:webHidden/>
                <w:rStyle w:val="Style20"/>
                <w:vanish w:val="false"/>
              </w:rPr>
              <w:t>4.11</w:t>
              <w:tab/>
              <w:t>Переторжка</w:t>
              <w:tab/>
              <w:t>34</w:t>
            </w:r>
          </w:hyperlink>
        </w:p>
        <w:p>
          <w:pPr>
            <w:pStyle w:val="TOC2"/>
            <w:tabs>
              <w:tab w:val="clear" w:pos="9923"/>
              <w:tab w:val="left" w:pos="851" w:leader="none"/>
              <w:tab w:val="right" w:pos="9922" w:leader="dot"/>
            </w:tabs>
            <w:rPr/>
          </w:pPr>
          <w:hyperlink w:anchor="__RefHeading___Toc97522_534302689">
            <w:r>
              <w:rPr>
                <w:webHidden/>
                <w:rStyle w:val="Style20"/>
                <w:vanish w:val="false"/>
              </w:rPr>
              <w:t>4.12</w:t>
              <w:tab/>
              <w:t>Оценка и сопоставление заявок</w:t>
              <w:tab/>
              <w:t>37</w:t>
            </w:r>
          </w:hyperlink>
        </w:p>
        <w:p>
          <w:pPr>
            <w:pStyle w:val="TOC2"/>
            <w:tabs>
              <w:tab w:val="clear" w:pos="9923"/>
              <w:tab w:val="left" w:pos="851" w:leader="none"/>
              <w:tab w:val="right" w:pos="9922" w:leader="dot"/>
            </w:tabs>
            <w:rPr/>
          </w:pPr>
          <w:hyperlink w:anchor="__RefHeading___Toc97524_534302689">
            <w:r>
              <w:rPr>
                <w:webHidden/>
                <w:rStyle w:val="Style20"/>
                <w:vanish w:val="false"/>
              </w:rPr>
              <w:t>4.13</w:t>
              <w:tab/>
              <w:t>Применение законодательства о национальном режиме</w:t>
              <w:tab/>
              <w:t>38</w:t>
            </w:r>
          </w:hyperlink>
        </w:p>
        <w:p>
          <w:pPr>
            <w:pStyle w:val="TOC2"/>
            <w:tabs>
              <w:tab w:val="clear" w:pos="9923"/>
              <w:tab w:val="left" w:pos="851" w:leader="none"/>
              <w:tab w:val="right" w:pos="9922" w:leader="dot"/>
            </w:tabs>
            <w:rPr/>
          </w:pPr>
          <w:hyperlink w:anchor="__RefHeading___Toc97526_534302689">
            <w:r>
              <w:rPr>
                <w:webHidden/>
                <w:rStyle w:val="Style20"/>
                <w:vanish w:val="false"/>
              </w:rPr>
              <w:t>4.14</w:t>
              <w:tab/>
              <w:t>Подведение итогов закупки (определение Победителя)</w:t>
              <w:tab/>
              <w:t>40</w:t>
            </w:r>
          </w:hyperlink>
        </w:p>
        <w:p>
          <w:pPr>
            <w:pStyle w:val="TOC2"/>
            <w:tabs>
              <w:tab w:val="clear" w:pos="9923"/>
              <w:tab w:val="left" w:pos="851" w:leader="none"/>
              <w:tab w:val="right" w:pos="9922" w:leader="dot"/>
            </w:tabs>
            <w:rPr/>
          </w:pPr>
          <w:hyperlink w:anchor="__RefHeading___Toc97528_534302689">
            <w:r>
              <w:rPr>
                <w:webHidden/>
                <w:rStyle w:val="Style20"/>
                <w:vanish w:val="false"/>
              </w:rPr>
              <w:t>4.15</w:t>
              <w:tab/>
              <w:t>Признание закупки несостоявшейся</w:t>
              <w:tab/>
              <w:t>42</w:t>
            </w:r>
          </w:hyperlink>
        </w:p>
        <w:p>
          <w:pPr>
            <w:pStyle w:val="TOC2"/>
            <w:tabs>
              <w:tab w:val="clear" w:pos="9923"/>
              <w:tab w:val="left" w:pos="851" w:leader="none"/>
              <w:tab w:val="right" w:pos="9922" w:leader="dot"/>
            </w:tabs>
            <w:rPr/>
          </w:pPr>
          <w:hyperlink w:anchor="__RefHeading___Toc97530_534302689">
            <w:r>
              <w:rPr>
                <w:webHidden/>
                <w:rStyle w:val="Style20"/>
                <w:vanish w:val="false"/>
              </w:rPr>
              <w:t>4.16</w:t>
              <w:tab/>
              <w:t>Отказ от проведения закупки (отмена закупки)</w:t>
              <w:tab/>
              <w:t>43</w:t>
            </w:r>
          </w:hyperlink>
        </w:p>
        <w:p>
          <w:pPr>
            <w:pStyle w:val="TOC2"/>
            <w:tabs>
              <w:tab w:val="clear" w:pos="9923"/>
              <w:tab w:val="left" w:pos="851" w:leader="none"/>
              <w:tab w:val="right" w:pos="9922" w:leader="dot"/>
            </w:tabs>
            <w:rPr/>
          </w:pPr>
          <w:hyperlink w:anchor="__RefHeading___Toc97532_534302689">
            <w:r>
              <w:rPr>
                <w:webHidden/>
                <w:rStyle w:val="Style20"/>
                <w:vanish w:val="false"/>
              </w:rPr>
              <w:t>4.17</w:t>
              <w:tab/>
              <w:t>Особенности проведения закупки с необходимостью обеспечения заявки</w:t>
              <w:tab/>
              <w:t>43</w:t>
            </w:r>
          </w:hyperlink>
        </w:p>
        <w:p>
          <w:pPr>
            <w:pStyle w:val="TOC2"/>
            <w:tabs>
              <w:tab w:val="clear" w:pos="9923"/>
              <w:tab w:val="left" w:pos="851" w:leader="none"/>
              <w:tab w:val="right" w:pos="9922" w:leader="dot"/>
            </w:tabs>
            <w:rPr/>
          </w:pPr>
          <w:hyperlink w:anchor="__RefHeading___Toc97534_534302689">
            <w:r>
              <w:rPr>
                <w:webHidden/>
                <w:rStyle w:val="Style20"/>
                <w:vanish w:val="false"/>
              </w:rPr>
              <w:t>4.18</w:t>
              <w:tab/>
              <w:t>Особенности проведения многолотовой закупки</w:t>
              <w:tab/>
              <w:t>46</w:t>
            </w:r>
          </w:hyperlink>
        </w:p>
        <w:p>
          <w:pPr>
            <w:pStyle w:val="TOC2"/>
            <w:tabs>
              <w:tab w:val="clear" w:pos="9923"/>
              <w:tab w:val="left" w:pos="851" w:leader="none"/>
              <w:tab w:val="right" w:pos="9922" w:leader="dot"/>
            </w:tabs>
            <w:rPr/>
          </w:pPr>
          <w:hyperlink w:anchor="__RefHeading___Toc97536_534302689">
            <w:r>
              <w:rPr>
                <w:webHidden/>
                <w:rStyle w:val="Style20"/>
                <w:vanish w:val="false"/>
              </w:rPr>
              <w:t>4.19</w:t>
              <w:tab/>
              <w:t>Особенности проведения закупки с возможностью подачи альтернативных предложений</w:t>
              <w:tab/>
              <w:t>47</w:t>
            </w:r>
          </w:hyperlink>
        </w:p>
        <w:p>
          <w:pPr>
            <w:pStyle w:val="TOC2"/>
            <w:tabs>
              <w:tab w:val="clear" w:pos="9923"/>
              <w:tab w:val="left" w:pos="851" w:leader="none"/>
              <w:tab w:val="right" w:pos="9922" w:leader="dot"/>
            </w:tabs>
            <w:rPr/>
          </w:pPr>
          <w:hyperlink w:anchor="__RefHeading___Toc97538_534302689">
            <w:r>
              <w:rPr>
                <w:webHidden/>
                <w:rStyle w:val="Style20"/>
                <w:vanish w:val="false"/>
              </w:rPr>
              <w:t>4.20</w:t>
              <w:tab/>
              <w:t>Особенности проведения закупки с выбором нескольких победителей</w:t>
              <w:tab/>
              <w:t>48</w:t>
            </w:r>
          </w:hyperlink>
        </w:p>
        <w:p>
          <w:pPr>
            <w:pStyle w:val="TOC1"/>
            <w:tabs>
              <w:tab w:val="clear" w:pos="9923"/>
              <w:tab w:val="left" w:pos="851" w:leader="none"/>
              <w:tab w:val="right" w:pos="9922" w:leader="dot"/>
            </w:tabs>
            <w:rPr/>
          </w:pPr>
          <w:hyperlink w:anchor="__RefHeading___Toc97540_534302689">
            <w:r>
              <w:rPr>
                <w:webHidden/>
                <w:rStyle w:val="Style20"/>
                <w:vanish w:val="false"/>
              </w:rPr>
              <w:t>5.</w:t>
              <w:tab/>
              <w:t>Порядок заключения Договора</w:t>
              <w:tab/>
              <w:t>49</w:t>
            </w:r>
          </w:hyperlink>
        </w:p>
        <w:p>
          <w:pPr>
            <w:pStyle w:val="TOC2"/>
            <w:tabs>
              <w:tab w:val="clear" w:pos="9923"/>
              <w:tab w:val="left" w:pos="851" w:leader="none"/>
              <w:tab w:val="right" w:pos="9922" w:leader="dot"/>
            </w:tabs>
            <w:rPr/>
          </w:pPr>
          <w:hyperlink w:anchor="__RefHeading___Toc97542_534302689">
            <w:r>
              <w:rPr>
                <w:webHidden/>
                <w:rStyle w:val="Style20"/>
                <w:vanish w:val="false"/>
              </w:rPr>
              <w:t>5.1</w:t>
              <w:tab/>
              <w:t>Общие положения</w:t>
              <w:tab/>
              <w:t>49</w:t>
            </w:r>
          </w:hyperlink>
        </w:p>
        <w:p>
          <w:pPr>
            <w:pStyle w:val="TOC2"/>
            <w:tabs>
              <w:tab w:val="clear" w:pos="9923"/>
              <w:tab w:val="left" w:pos="851" w:leader="none"/>
              <w:tab w:val="right" w:pos="9922" w:leader="dot"/>
            </w:tabs>
            <w:rPr/>
          </w:pPr>
          <w:hyperlink w:anchor="__RefHeading___Toc97544_534302689">
            <w:r>
              <w:rPr>
                <w:webHidden/>
                <w:rStyle w:val="Style20"/>
                <w:vanish w:val="false"/>
              </w:rPr>
              <w:t>5.2</w:t>
              <w:tab/>
              <w:t>Заключение Договора</w:t>
              <w:tab/>
              <w:t>49</w:t>
            </w:r>
          </w:hyperlink>
        </w:p>
        <w:p>
          <w:pPr>
            <w:pStyle w:val="TOC2"/>
            <w:tabs>
              <w:tab w:val="clear" w:pos="9923"/>
              <w:tab w:val="left" w:pos="851" w:leader="none"/>
              <w:tab w:val="right" w:pos="9922" w:leader="dot"/>
            </w:tabs>
            <w:rPr/>
          </w:pPr>
          <w:hyperlink w:anchor="__RefHeading___Toc97546_534302689">
            <w:r>
              <w:rPr>
                <w:webHidden/>
                <w:rStyle w:val="Style20"/>
                <w:vanish w:val="false"/>
              </w:rPr>
              <w:t>5.3</w:t>
              <w:tab/>
              <w:t>Преддоговорные переговоры</w:t>
              <w:tab/>
              <w:t>51</w:t>
            </w:r>
          </w:hyperlink>
        </w:p>
        <w:p>
          <w:pPr>
            <w:pStyle w:val="TOC2"/>
            <w:tabs>
              <w:tab w:val="clear" w:pos="9923"/>
              <w:tab w:val="left" w:pos="851" w:leader="none"/>
              <w:tab w:val="right" w:pos="9922" w:leader="dot"/>
            </w:tabs>
            <w:rPr/>
          </w:pPr>
          <w:hyperlink w:anchor="__RefHeading___Toc97548_534302689">
            <w:r>
              <w:rPr>
                <w:webHidden/>
                <w:rStyle w:val="Style20"/>
                <w:vanish w:val="false"/>
              </w:rPr>
              <w:t>5.4</w:t>
              <w:tab/>
              <w:t>Уклонение Победителя от заключения Договора</w:t>
              <w:tab/>
              <w:t>52</w:t>
            </w:r>
          </w:hyperlink>
        </w:p>
        <w:p>
          <w:pPr>
            <w:pStyle w:val="TOC1"/>
            <w:tabs>
              <w:tab w:val="clear" w:pos="9923"/>
              <w:tab w:val="left" w:pos="851" w:leader="none"/>
              <w:tab w:val="right" w:pos="9922" w:leader="dot"/>
            </w:tabs>
            <w:rPr/>
          </w:pPr>
          <w:hyperlink w:anchor="__RefHeading___Toc97550_534302689">
            <w:r>
              <w:rPr>
                <w:webHidden/>
                <w:rStyle w:val="Style20"/>
                <w:vanish w:val="false"/>
              </w:rPr>
              <w:t>6.</w:t>
              <w:tab/>
              <w:t>Приложение № 1 – Технические требования</w:t>
              <w:tab/>
              <w:t>54</w:t>
            </w:r>
          </w:hyperlink>
        </w:p>
        <w:p>
          <w:pPr>
            <w:pStyle w:val="TOC2"/>
            <w:tabs>
              <w:tab w:val="clear" w:pos="9923"/>
              <w:tab w:val="left" w:pos="851" w:leader="none"/>
              <w:tab w:val="right" w:pos="9922" w:leader="dot"/>
            </w:tabs>
            <w:rPr/>
          </w:pPr>
          <w:hyperlink w:anchor="__RefHeading___Toc97552_534302689">
            <w:r>
              <w:rPr>
                <w:webHidden/>
                <w:rStyle w:val="Style20"/>
                <w:vanish w:val="false"/>
              </w:rPr>
              <w:t>6.1</w:t>
              <w:tab/>
              <w:t>Пояснения к Техническим требованиям</w:t>
              <w:tab/>
              <w:t>54</w:t>
            </w:r>
          </w:hyperlink>
        </w:p>
        <w:p>
          <w:pPr>
            <w:pStyle w:val="TOC1"/>
            <w:tabs>
              <w:tab w:val="clear" w:pos="9923"/>
              <w:tab w:val="left" w:pos="851" w:leader="none"/>
              <w:tab w:val="right" w:pos="9922" w:leader="dot"/>
            </w:tabs>
            <w:rPr/>
          </w:pPr>
          <w:hyperlink w:anchor="__RefHeading___Toc97554_534302689">
            <w:r>
              <w:rPr>
                <w:webHidden/>
                <w:rStyle w:val="Style20"/>
                <w:vanish w:val="false"/>
              </w:rPr>
              <w:t>7.</w:t>
              <w:tab/>
              <w:t>Приложение № 2 – Проект договора</w:t>
              <w:tab/>
              <w:t>55</w:t>
            </w:r>
          </w:hyperlink>
        </w:p>
        <w:p>
          <w:pPr>
            <w:pStyle w:val="TOC2"/>
            <w:tabs>
              <w:tab w:val="clear" w:pos="9923"/>
              <w:tab w:val="left" w:pos="851" w:leader="none"/>
              <w:tab w:val="right" w:pos="9922" w:leader="dot"/>
            </w:tabs>
            <w:rPr/>
          </w:pPr>
          <w:hyperlink w:anchor="__RefHeading___Toc97556_534302689">
            <w:r>
              <w:rPr>
                <w:webHidden/>
                <w:rStyle w:val="Style20"/>
                <w:vanish w:val="false"/>
              </w:rPr>
              <w:t>7.1</w:t>
              <w:tab/>
              <w:t>Пояснения к Проекту договора</w:t>
              <w:tab/>
              <w:t>55</w:t>
            </w:r>
          </w:hyperlink>
        </w:p>
        <w:p>
          <w:pPr>
            <w:pStyle w:val="TOC1"/>
            <w:tabs>
              <w:tab w:val="clear" w:pos="9923"/>
              <w:tab w:val="left" w:pos="851" w:leader="none"/>
              <w:tab w:val="right" w:pos="9922" w:leader="dot"/>
            </w:tabs>
            <w:rPr/>
          </w:pPr>
          <w:hyperlink w:anchor="__RefHeading___Toc97558_534302689">
            <w:r>
              <w:rPr>
                <w:webHidden/>
                <w:rStyle w:val="Style20"/>
                <w:vanish w:val="false"/>
              </w:rPr>
              <w:t>8.</w:t>
              <w:tab/>
              <w:t>Приложение № 3 – Требования к Участникам</w:t>
              <w:tab/>
              <w:t>56</w:t>
            </w:r>
          </w:hyperlink>
        </w:p>
        <w:p>
          <w:pPr>
            <w:pStyle w:val="TOC2"/>
            <w:tabs>
              <w:tab w:val="clear" w:pos="9923"/>
              <w:tab w:val="left" w:pos="851" w:leader="none"/>
              <w:tab w:val="right" w:pos="9922" w:leader="dot"/>
            </w:tabs>
            <w:rPr/>
          </w:pPr>
          <w:hyperlink w:anchor="__RefHeading___Toc97560_534302689">
            <w:r>
              <w:rPr>
                <w:webHidden/>
                <w:rStyle w:val="Style20"/>
                <w:vanish w:val="false"/>
              </w:rPr>
              <w:t>8.1</w:t>
              <w:tab/>
              <w:t>Пояснения к требованиям к Участникам</w:t>
              <w:tab/>
              <w:t>56</w:t>
            </w:r>
          </w:hyperlink>
        </w:p>
        <w:p>
          <w:pPr>
            <w:pStyle w:val="TOC2"/>
            <w:tabs>
              <w:tab w:val="clear" w:pos="9923"/>
              <w:tab w:val="left" w:pos="851" w:leader="none"/>
              <w:tab w:val="right" w:pos="9922" w:leader="dot"/>
            </w:tabs>
            <w:rPr/>
          </w:pPr>
          <w:hyperlink w:anchor="__RefHeading___Toc97562_534302689">
            <w:r>
              <w:rPr>
                <w:webHidden/>
                <w:rStyle w:val="Style20"/>
                <w:vanish w:val="false"/>
              </w:rPr>
              <w:t>8.2</w:t>
              <w:tab/>
              <w:t>Обязательные требования</w:t>
              <w:tab/>
              <w:t>56</w:t>
            </w:r>
          </w:hyperlink>
        </w:p>
        <w:p>
          <w:pPr>
            <w:pStyle w:val="TOC2"/>
            <w:tabs>
              <w:tab w:val="clear" w:pos="9923"/>
              <w:tab w:val="left" w:pos="851" w:leader="none"/>
              <w:tab w:val="right" w:pos="9922" w:leader="dot"/>
            </w:tabs>
            <w:rPr/>
          </w:pPr>
          <w:hyperlink w:anchor="__RefHeading___Toc97564_534302689">
            <w:r>
              <w:rPr>
                <w:webHidden/>
                <w:rStyle w:val="Style20"/>
                <w:vanish w:val="false"/>
              </w:rPr>
              <w:t>8.3</w:t>
              <w:tab/>
              <w:t>Специальные требования</w:t>
              <w:tab/>
              <w:t>59</w:t>
            </w:r>
          </w:hyperlink>
        </w:p>
        <w:p>
          <w:pPr>
            <w:pStyle w:val="TOC2"/>
            <w:tabs>
              <w:tab w:val="clear" w:pos="9923"/>
              <w:tab w:val="left" w:pos="851" w:leader="none"/>
              <w:tab w:val="right" w:pos="9922" w:leader="dot"/>
            </w:tabs>
            <w:rPr/>
          </w:pPr>
          <w:hyperlink w:anchor="__RefHeading___Toc97566_534302689">
            <w:r>
              <w:rPr>
                <w:webHidden/>
                <w:rStyle w:val="Style20"/>
                <w:vanish w:val="false"/>
              </w:rPr>
              <w:t>8.4</w:t>
              <w:tab/>
              <w:t>Квалификационные требования</w:t>
              <w:tab/>
              <w:t>60</w:t>
            </w:r>
          </w:hyperlink>
        </w:p>
        <w:p>
          <w:pPr>
            <w:pStyle w:val="TOC2"/>
            <w:tabs>
              <w:tab w:val="clear" w:pos="9923"/>
              <w:tab w:val="left" w:pos="851" w:leader="none"/>
              <w:tab w:val="right" w:pos="9922" w:leader="dot"/>
            </w:tabs>
            <w:rPr/>
          </w:pPr>
          <w:hyperlink w:anchor="__RefHeading___Toc97568_534302689">
            <w:r>
              <w:rPr>
                <w:webHidden/>
                <w:rStyle w:val="Style20"/>
                <w:vanish w:val="false"/>
              </w:rPr>
              <w:t>8.5</w:t>
              <w:tab/>
              <w:t>Дополнительные требования к Генеральным подрядчикам</w:t>
              <w:tab/>
              <w:t>60</w:t>
            </w:r>
          </w:hyperlink>
        </w:p>
        <w:p>
          <w:pPr>
            <w:pStyle w:val="TOC1"/>
            <w:tabs>
              <w:tab w:val="clear" w:pos="9923"/>
              <w:tab w:val="left" w:pos="851" w:leader="none"/>
              <w:tab w:val="right" w:pos="9922" w:leader="dot"/>
            </w:tabs>
            <w:rPr/>
          </w:pPr>
          <w:hyperlink w:anchor="__RefHeading___Toc97570_534302689">
            <w:r>
              <w:rPr>
                <w:webHidden/>
                <w:rStyle w:val="Style20"/>
                <w:vanish w:val="false"/>
              </w:rPr>
              <w:t>9.</w:t>
              <w:tab/>
              <w:t>Приложение № 4 – Образцы форм документов, включаемых в состав заявки</w:t>
              <w:tab/>
              <w:t>62</w:t>
            </w:r>
          </w:hyperlink>
        </w:p>
        <w:p>
          <w:pPr>
            <w:pStyle w:val="TOC2"/>
            <w:tabs>
              <w:tab w:val="clear" w:pos="9923"/>
              <w:tab w:val="left" w:pos="851" w:leader="none"/>
              <w:tab w:val="right" w:pos="9922" w:leader="dot"/>
            </w:tabs>
            <w:rPr/>
          </w:pPr>
          <w:hyperlink w:anchor="__RefHeading___Toc97572_534302689">
            <w:r>
              <w:rPr>
                <w:webHidden/>
                <w:rStyle w:val="Style20"/>
                <w:vanish w:val="false"/>
              </w:rPr>
              <w:t>9.1</w:t>
              <w:tab/>
              <w:t>Пояснения к Образцам форм документов, включаемых в состав заявки</w:t>
              <w:tab/>
              <w:t>62</w:t>
            </w:r>
          </w:hyperlink>
        </w:p>
        <w:p>
          <w:pPr>
            <w:pStyle w:val="TOC1"/>
            <w:tabs>
              <w:tab w:val="clear" w:pos="9923"/>
              <w:tab w:val="left" w:pos="851" w:leader="none"/>
              <w:tab w:val="right" w:pos="9922" w:leader="dot"/>
            </w:tabs>
            <w:rPr/>
          </w:pPr>
          <w:hyperlink w:anchor="__RefHeading___Toc97574_534302689">
            <w:r>
              <w:rPr>
                <w:webHidden/>
                <w:rStyle w:val="Style20"/>
                <w:vanish w:val="false"/>
              </w:rPr>
              <w:t>10.</w:t>
              <w:tab/>
              <w:t>Приложение № 5 – Образцы форм документов, предоставляемых Победителем</w:t>
              <w:tab/>
              <w:t>63</w:t>
            </w:r>
          </w:hyperlink>
        </w:p>
        <w:p>
          <w:pPr>
            <w:pStyle w:val="TOC2"/>
            <w:tabs>
              <w:tab w:val="clear" w:pos="9923"/>
              <w:tab w:val="left" w:pos="851" w:leader="none"/>
              <w:tab w:val="right" w:pos="9922" w:leader="dot"/>
            </w:tabs>
            <w:rPr/>
          </w:pPr>
          <w:hyperlink w:anchor="__RefHeading___Toc97576_534302689">
            <w:r>
              <w:rPr>
                <w:webHidden/>
                <w:rStyle w:val="Style20"/>
                <w:vanish w:val="false"/>
              </w:rPr>
              <w:t>10.1</w:t>
              <w:tab/>
              <w:t>Пояснения к Образцам форм документов, предоставляемых Победителем</w:t>
              <w:tab/>
              <w:t>63</w:t>
            </w:r>
          </w:hyperlink>
        </w:p>
        <w:p>
          <w:pPr>
            <w:pStyle w:val="TOC2"/>
            <w:tabs>
              <w:tab w:val="clear" w:pos="9923"/>
              <w:tab w:val="left" w:pos="851" w:leader="none"/>
              <w:tab w:val="right" w:pos="9922" w:leader="dot"/>
            </w:tabs>
            <w:rPr/>
          </w:pPr>
          <w:hyperlink w:anchor="__RefHeading___Toc97578_534302689">
            <w:r>
              <w:rPr>
                <w:webHidden/>
                <w:rStyle w:val="Style20"/>
                <w:vanish w:val="false"/>
              </w:rPr>
              <w:t>10.2</w:t>
              <w:tab/>
              <w:t>Форма справки «Сведения о цепочке собственников, включая бенефициаров (в том числе конечных)»</w:t>
              <w:tab/>
              <w:t>63</w:t>
            </w:r>
          </w:hyperlink>
        </w:p>
        <w:p>
          <w:pPr>
            <w:pStyle w:val="TOC2"/>
            <w:tabs>
              <w:tab w:val="clear" w:pos="9923"/>
              <w:tab w:val="left" w:pos="851" w:leader="none"/>
              <w:tab w:val="right" w:pos="9922" w:leader="dot"/>
            </w:tabs>
            <w:rPr/>
          </w:pPr>
          <w:hyperlink w:anchor="__RefHeading___Toc97580_534302689">
            <w:r>
              <w:rPr>
                <w:webHidden/>
                <w:rStyle w:val="Style20"/>
                <w:vanish w:val="false"/>
              </w:rPr>
              <w:t>10.3</w:t>
              <w:tab/>
              <w:t>Форма «Заверение об обстоятельствах»</w:t>
              <w:tab/>
              <w:t>63</w:t>
            </w:r>
          </w:hyperlink>
        </w:p>
        <w:p>
          <w:pPr>
            <w:pStyle w:val="TOC1"/>
            <w:tabs>
              <w:tab w:val="clear" w:pos="9923"/>
              <w:tab w:val="left" w:pos="851" w:leader="none"/>
              <w:tab w:val="right" w:pos="9922" w:leader="dot"/>
            </w:tabs>
            <w:rPr/>
          </w:pPr>
          <w:hyperlink w:anchor="__RefHeading___Toc97582_534302689">
            <w:r>
              <w:rPr>
                <w:webHidden/>
                <w:rStyle w:val="Style20"/>
                <w:vanish w:val="false"/>
              </w:rPr>
              <w:t>11.</w:t>
              <w:tab/>
              <w:t>Приложение № 6 – Состав заявки</w:t>
              <w:tab/>
              <w:t>65</w:t>
            </w:r>
          </w:hyperlink>
        </w:p>
        <w:p>
          <w:pPr>
            <w:pStyle w:val="TOC2"/>
            <w:tabs>
              <w:tab w:val="clear" w:pos="9923"/>
              <w:tab w:val="left" w:pos="851" w:leader="none"/>
              <w:tab w:val="right" w:pos="9922" w:leader="dot"/>
            </w:tabs>
            <w:rPr/>
          </w:pPr>
          <w:hyperlink w:anchor="__RefHeading___Toc97584_534302689">
            <w:r>
              <w:rPr>
                <w:webHidden/>
                <w:rStyle w:val="Style20"/>
                <w:vanish w:val="false"/>
              </w:rPr>
              <w:t>11.1</w:t>
              <w:tab/>
              <w:t>Состав заявки</w:t>
              <w:tab/>
              <w:t>65</w:t>
            </w:r>
          </w:hyperlink>
        </w:p>
        <w:p>
          <w:pPr>
            <w:pStyle w:val="TOC1"/>
            <w:tabs>
              <w:tab w:val="clear" w:pos="9923"/>
              <w:tab w:val="left" w:pos="851" w:leader="none"/>
              <w:tab w:val="right" w:pos="9922" w:leader="dot"/>
            </w:tabs>
            <w:rPr/>
          </w:pPr>
          <w:hyperlink w:anchor="__RefHeading___Toc97586_534302689">
            <w:r>
              <w:rPr>
                <w:webHidden/>
                <w:rStyle w:val="Style20"/>
                <w:vanish w:val="false"/>
              </w:rPr>
              <w:t>12.</w:t>
              <w:tab/>
              <w:t>Приложение № 7 – Отборочные критерии рассмотрения заявок</w:t>
              <w:tab/>
              <w:t>67</w:t>
            </w:r>
          </w:hyperlink>
        </w:p>
        <w:p>
          <w:pPr>
            <w:pStyle w:val="TOC2"/>
            <w:tabs>
              <w:tab w:val="clear" w:pos="9923"/>
              <w:tab w:val="left" w:pos="851" w:leader="none"/>
              <w:tab w:val="right" w:pos="9922" w:leader="dot"/>
            </w:tabs>
            <w:rPr/>
          </w:pPr>
          <w:hyperlink w:anchor="__RefHeading___Toc97588_534302689">
            <w:r>
              <w:rPr>
                <w:webHidden/>
                <w:rStyle w:val="Style20"/>
                <w:vanish w:val="false"/>
              </w:rPr>
              <w:t>12.1</w:t>
              <w:tab/>
            </w:r>
            <w:r>
              <w:rPr>
                <w:rStyle w:val="Style20"/>
                <w:i w:val="false"/>
                <w:iCs w:val="false"/>
              </w:rPr>
              <w:t>Отборочные критерии рассмотрения заявок</w:t>
            </w:r>
            <w:r>
              <w:rPr>
                <w:rStyle w:val="Style20"/>
              </w:rPr>
              <w:tab/>
              <w:t>67</w:t>
            </w:r>
          </w:hyperlink>
        </w:p>
        <w:p>
          <w:pPr>
            <w:pStyle w:val="TOC2"/>
            <w:tabs>
              <w:tab w:val="clear" w:pos="9923"/>
              <w:tab w:val="left" w:pos="851" w:leader="none"/>
              <w:tab w:val="right" w:pos="9922" w:leader="dot"/>
            </w:tabs>
            <w:rPr/>
          </w:pPr>
          <w:hyperlink w:anchor="__RefHeading___Toc97590_534302689">
            <w:r>
              <w:rPr>
                <w:webHidden/>
                <w:rStyle w:val="Style20"/>
                <w:vanish w:val="false"/>
              </w:rPr>
              <w:t>12.2</w:t>
              <w:tab/>
            </w:r>
            <w:r>
              <w:rPr>
                <w:rStyle w:val="Style20"/>
                <w:i w:val="false"/>
                <w:iCs w:val="false"/>
              </w:rPr>
              <w:t>Дополнительные критерии проверки заявок на соответствие условиям Документации о закупке</w:t>
            </w:r>
            <w:r>
              <w:rPr>
                <w:rStyle w:val="Style20"/>
              </w:rPr>
              <w:tab/>
              <w:t>71</w:t>
            </w:r>
          </w:hyperlink>
        </w:p>
        <w:p>
          <w:pPr>
            <w:pStyle w:val="TOC1"/>
            <w:tabs>
              <w:tab w:val="clear" w:pos="9923"/>
              <w:tab w:val="left" w:pos="851" w:leader="none"/>
              <w:tab w:val="right" w:pos="9922" w:leader="dot"/>
            </w:tabs>
            <w:rPr/>
          </w:pPr>
          <w:hyperlink w:anchor="__RefHeading___Toc97592_534302689">
            <w:r>
              <w:rPr>
                <w:webHidden/>
                <w:rStyle w:val="Style20"/>
                <w:vanish w:val="false"/>
              </w:rPr>
              <w:t>13.</w:t>
              <w:tab/>
              <w:t>Приложение № 8 – Порядок и критерии оценки и сопоставления заявок</w:t>
              <w:tab/>
              <w:t>73</w:t>
            </w:r>
          </w:hyperlink>
        </w:p>
        <w:p>
          <w:pPr>
            <w:pStyle w:val="TOC2"/>
            <w:tabs>
              <w:tab w:val="clear" w:pos="9923"/>
              <w:tab w:val="left" w:pos="851" w:leader="none"/>
              <w:tab w:val="right" w:pos="9922" w:leader="dot"/>
            </w:tabs>
            <w:rPr/>
          </w:pPr>
          <w:hyperlink w:anchor="__RefHeading___Toc97594_534302689">
            <w:r>
              <w:rPr>
                <w:webHidden/>
                <w:rStyle w:val="Style20"/>
                <w:vanish w:val="false"/>
              </w:rPr>
              <w:t>13.1</w:t>
              <w:tab/>
              <w:t>Порядок и критерии оценки и сопоставления заявок</w:t>
              <w:tab/>
              <w:t>73</w:t>
            </w:r>
          </w:hyperlink>
        </w:p>
        <w:p>
          <w:pPr>
            <w:pStyle w:val="TOC1"/>
            <w:tabs>
              <w:tab w:val="clear" w:pos="9923"/>
              <w:tab w:val="left" w:pos="851" w:leader="none"/>
              <w:tab w:val="right" w:pos="9922" w:leader="dot"/>
            </w:tabs>
            <w:rPr/>
          </w:pPr>
          <w:hyperlink w:anchor="__RefHeading___Toc97596_534302689">
            <w:r>
              <w:rPr>
                <w:webHidden/>
                <w:rStyle w:val="Style20"/>
                <w:vanish w:val="false"/>
              </w:rPr>
              <w:t>14.</w:t>
              <w:tab/>
              <w:t>Приложение № 9 – Обоснование НМЦ</w:t>
              <w:tab/>
              <w:t>74</w:t>
            </w:r>
          </w:hyperlink>
        </w:p>
        <w:p>
          <w:pPr>
            <w:pStyle w:val="TOC2"/>
            <w:tabs>
              <w:tab w:val="clear" w:pos="9923"/>
              <w:tab w:val="left" w:pos="851" w:leader="none"/>
              <w:tab w:val="right" w:pos="9922" w:leader="dot"/>
            </w:tabs>
            <w:rPr/>
          </w:pPr>
          <w:hyperlink w:anchor="__RefHeading___Toc97598_534302689">
            <w:r>
              <w:rPr>
                <w:webHidden/>
                <w:rStyle w:val="Style20"/>
                <w:vanish w:val="false"/>
              </w:rPr>
              <w:t>14.1</w:t>
              <w:tab/>
              <w:t>Пояснения к Обоснованию НМЦ</w:t>
              <w:tab/>
              <w:t>74</w:t>
            </w:r>
          </w:hyperlink>
        </w:p>
        <w:p>
          <w:pPr>
            <w:pStyle w:val="TOC1"/>
            <w:tabs>
              <w:tab w:val="clear" w:pos="9923"/>
              <w:tab w:val="left" w:pos="851" w:leader="none"/>
              <w:tab w:val="right" w:pos="9922" w:leader="dot"/>
            </w:tabs>
            <w:rPr/>
          </w:pPr>
          <w:hyperlink w:anchor="__RefHeading___Toc97600_534302689">
            <w:r>
              <w:rPr>
                <w:webHidden/>
                <w:rStyle w:val="Style20"/>
                <w:vanish w:val="false"/>
              </w:rPr>
              <w:t>15.</w:t>
              <w:tab/>
              <w:t>Приложение № 10 – Форма Заявки на аккредитацию</w:t>
              <w:tab/>
              <w:t>75</w:t>
            </w:r>
          </w:hyperlink>
        </w:p>
        <w:p>
          <w:pPr>
            <w:pStyle w:val="TOC2"/>
            <w:tabs>
              <w:tab w:val="clear" w:pos="9923"/>
              <w:tab w:val="left" w:pos="851" w:leader="none"/>
              <w:tab w:val="right" w:pos="9922" w:leader="dot"/>
            </w:tabs>
            <w:rPr/>
          </w:pPr>
          <w:hyperlink w:anchor="__RefHeading___Toc97602_534302689">
            <w:r>
              <w:rPr>
                <w:webHidden/>
                <w:rStyle w:val="Style20"/>
                <w:vanish w:val="false"/>
              </w:rPr>
              <w:t>15.1</w:t>
              <w:tab/>
              <w:t>Пояснения к форме Заявки на аккредитацию</w:t>
              <w:tab/>
              <w:t>75</w:t>
            </w:r>
          </w:hyperlink>
        </w:p>
        <w:p>
          <w:pPr>
            <w:pStyle w:val="TOC1"/>
            <w:tabs>
              <w:tab w:val="clear" w:pos="9923"/>
              <w:tab w:val="left" w:pos="851" w:leader="none"/>
              <w:tab w:val="right" w:pos="9922" w:leader="dot"/>
            </w:tabs>
            <w:rPr/>
          </w:pPr>
          <w:hyperlink w:anchor="__RefHeading___Toc97604_534302689">
            <w:r>
              <w:rPr>
                <w:webHidden/>
                <w:rStyle w:val="Style20"/>
                <w:vanish w:val="false"/>
              </w:rPr>
              <w:t>16.</w:t>
              <w:tab/>
              <w:t>Приложение № 11 – форма Данных бухгалтерской (финансовой) отчетности</w:t>
              <w:tab/>
              <w:t>76</w:t>
            </w:r>
          </w:hyperlink>
        </w:p>
        <w:p>
          <w:pPr>
            <w:pStyle w:val="TOC2"/>
            <w:tabs>
              <w:tab w:val="clear" w:pos="9923"/>
              <w:tab w:val="left" w:pos="851" w:leader="none"/>
              <w:tab w:val="right" w:pos="9922" w:leader="dot"/>
            </w:tabs>
            <w:rPr/>
          </w:pPr>
          <w:hyperlink w:anchor="__RefHeading___Toc97606_534302689">
            <w:r>
              <w:rPr>
                <w:webHidden/>
                <w:rStyle w:val="Style20"/>
                <w:vanish w:val="false"/>
              </w:rPr>
              <w:t>16.1</w:t>
              <w:tab/>
              <w:t>Пояснения к форме Данных бухгалтерской (финансовой) отчетности</w:t>
              <w:tab/>
              <w:t>76</w:t>
            </w:r>
          </w:hyperlink>
          <w:r>
            <w:rPr>
              <w:rStyle w:val="Style20"/>
              <w:vanish w:val="false"/>
            </w:rPr>
            <w:fldChar w:fldCharType="end"/>
          </w:r>
        </w:p>
      </w:sdtContent>
    </w:sdt>
    <w:p>
      <w:pPr>
        <w:pStyle w:val="Style31"/>
        <w:jc w:val="both"/>
        <w:rPr/>
      </w:pPr>
      <w:r>
        <w:rPr/>
      </w:r>
    </w:p>
    <w:p>
      <w:pPr>
        <w:pStyle w:val="Style31"/>
        <w:keepNext w:val="true"/>
        <w:spacing w:before="60" w:after="0"/>
        <w:rPr>
          <w:rStyle w:val="Style17"/>
        </w:rPr>
      </w:pPr>
      <w:r>
        <w:rPr>
          <w:rStyle w:val="Style17"/>
        </w:rPr>
        <w:t xml:space="preserve">[Примечание (дополнительные удобства работы с Документацией о закупке; Microsoft Word | </w:t>
      </w:r>
      <w:r>
        <w:rPr>
          <w:rStyle w:val="Style17"/>
          <w:color w:val="4472C4" w:themeColor="accent1"/>
        </w:rPr>
        <w:t>AlterOffice AText – отмечены отличая для данного текстового редактора</w:t>
      </w:r>
      <w:r>
        <w:rPr>
          <w:rStyle w:val="Style17"/>
        </w:rPr>
        <w:t>):</w:t>
      </w:r>
    </w:p>
    <w:p>
      <w:pPr>
        <w:pStyle w:val="Style31"/>
        <w:numPr>
          <w:ilvl w:val="0"/>
          <w:numId w:val="10"/>
        </w:numPr>
        <w:spacing w:before="60" w:after="0"/>
        <w:ind w:left="284" w:hanging="284"/>
        <w:rPr>
          <w:rStyle w:val="Style17"/>
        </w:rPr>
      </w:pPr>
      <w:r>
        <w:rPr>
          <w:rStyle w:val="Style17"/>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7"/>
          <w:color w:val="4472C4" w:themeColor="accent1"/>
        </w:rPr>
        <w:t>включается на вкладке «Вид» опцией «Навигатор»</w:t>
      </w:r>
      <w:r>
        <w:rPr>
          <w:rStyle w:val="Style17"/>
        </w:rPr>
        <w:t>;</w:t>
      </w:r>
    </w:p>
    <w:p>
      <w:pPr>
        <w:pStyle w:val="Style31"/>
        <w:numPr>
          <w:ilvl w:val="0"/>
          <w:numId w:val="10"/>
        </w:numPr>
        <w:spacing w:before="60" w:after="0"/>
        <w:ind w:left="284" w:hanging="284"/>
        <w:rPr>
          <w:rStyle w:val="Style17"/>
        </w:rPr>
      </w:pPr>
      <w:r>
        <w:rPr>
          <w:rStyle w:val="Style17"/>
        </w:rPr>
        <w:t>переход по перекрестным и другим ссылкам осуществляется левым кликом мыши с</w:t>
      </w:r>
      <w:r>
        <w:rPr>
          <w:rStyle w:val="Style17"/>
          <w:lang w:val="en-US"/>
        </w:rPr>
        <w:t> </w:t>
      </w:r>
      <w:r>
        <w:rPr>
          <w:rStyle w:val="Style17"/>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7"/>
          <w:color w:val="4472C4" w:themeColor="accent1"/>
        </w:rPr>
        <w:t>(обратный переход функционально не реализован в AlterOffice AText, пользуйтесь функциональностью «Навигатор»)</w:t>
      </w:r>
      <w:r>
        <w:rPr>
          <w:rStyle w:val="Style17"/>
        </w:rPr>
        <w:t>;</w:t>
      </w:r>
    </w:p>
    <w:p>
      <w:pPr>
        <w:pStyle w:val="Style31"/>
        <w:numPr>
          <w:ilvl w:val="0"/>
          <w:numId w:val="10"/>
        </w:numPr>
        <w:spacing w:before="60" w:after="0"/>
        <w:ind w:left="284" w:hanging="284"/>
        <w:rPr>
          <w:rStyle w:val="Style17"/>
        </w:rPr>
      </w:pPr>
      <w:r>
        <w:rPr>
          <w:rStyle w:val="Style17"/>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7"/>
          <w:lang w:val="en-US"/>
        </w:rPr>
        <w:t> </w:t>
      </w:r>
      <w:r>
        <w:rPr>
          <w:rStyle w:val="Style17"/>
        </w:rPr>
        <w:t>тексте;</w:t>
      </w:r>
    </w:p>
    <w:p>
      <w:pPr>
        <w:pStyle w:val="Style31"/>
        <w:numPr>
          <w:ilvl w:val="0"/>
          <w:numId w:val="10"/>
        </w:numPr>
        <w:spacing w:before="60" w:after="0"/>
        <w:ind w:left="284" w:hanging="284"/>
        <w:rPr>
          <w:rStyle w:val="Style17"/>
        </w:rPr>
      </w:pPr>
      <w:r>
        <w:rPr>
          <w:rStyle w:val="Style17"/>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7"/>
        </w:rPr>
        <w:t>.]</w:t>
      </w:r>
    </w:p>
    <w:p>
      <w:pPr>
        <w:pStyle w:val="Style30"/>
        <w:numPr>
          <w:ilvl w:val="0"/>
          <w:numId w:val="0"/>
        </w:numPr>
        <w:ind w:left="0" w:hanging="0"/>
        <w:outlineLvl w:val="0"/>
        <w:rPr/>
      </w:pPr>
      <w:bookmarkStart w:id="0" w:name="__RefHeading___Toc97470_534302689"/>
      <w:bookmarkStart w:id="1" w:name="_Toc229567026"/>
      <w:bookmarkEnd w:id="0"/>
      <w:r>
        <w:rPr/>
        <w:t>Сокращения</w:t>
      </w:r>
      <w:bookmarkEnd w:id="1"/>
    </w:p>
    <w:p>
      <w:pPr>
        <w:pStyle w:val="Style31"/>
        <w:ind w:firstLine="567"/>
        <w:rPr/>
      </w:pPr>
      <w:r>
        <w:rPr>
          <w:b/>
          <w:bCs/>
        </w:rPr>
        <w:t>ГК РФ</w:t>
      </w:r>
      <w:r>
        <w:rPr/>
        <w:t xml:space="preserve"> – Гражданской кодекс Российской Федерации.</w:t>
      </w:r>
    </w:p>
    <w:p>
      <w:pPr>
        <w:pStyle w:val="Style31"/>
        <w:ind w:firstLine="567"/>
        <w:rPr/>
      </w:pPr>
      <w:r>
        <w:rPr>
          <w:b/>
          <w:bCs/>
        </w:rPr>
        <w:t>ЕАЭС</w:t>
      </w:r>
      <w:r>
        <w:rPr/>
        <w:t xml:space="preserve"> – Евразийский экономический союз.</w:t>
      </w:r>
    </w:p>
    <w:p>
      <w:pPr>
        <w:pStyle w:val="Style31"/>
        <w:ind w:firstLine="567"/>
        <w:rPr/>
      </w:pPr>
      <w:r>
        <w:rPr>
          <w:b/>
          <w:bCs/>
        </w:rPr>
        <w:t>ЕГРИП</w:t>
      </w:r>
      <w:r>
        <w:rPr/>
        <w:t xml:space="preserve"> – Единый государственный реестр индивидуальных предпринимателей.</w:t>
      </w:r>
    </w:p>
    <w:p>
      <w:pPr>
        <w:pStyle w:val="Style31"/>
        <w:ind w:firstLine="567"/>
        <w:rPr/>
      </w:pPr>
      <w:r>
        <w:rPr>
          <w:b/>
          <w:bCs/>
        </w:rPr>
        <w:t>ЕГРЮЛ</w:t>
      </w:r>
      <w:r>
        <w:rPr/>
        <w:t xml:space="preserve"> – Единый государственный реестр юридических лиц.</w:t>
      </w:r>
    </w:p>
    <w:p>
      <w:pPr>
        <w:pStyle w:val="Style31"/>
        <w:ind w:firstLine="567"/>
        <w:rPr/>
      </w:pPr>
      <w:r>
        <w:rPr>
          <w:b/>
          <w:bCs/>
        </w:rPr>
        <w:t>ЕИС</w:t>
      </w:r>
      <w:r>
        <w:rPr/>
        <w:t xml:space="preserve"> – Единая информационная система в сфере закупок.</w:t>
      </w:r>
    </w:p>
    <w:p>
      <w:pPr>
        <w:pStyle w:val="Style31"/>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1"/>
        <w:ind w:firstLine="567"/>
        <w:rPr/>
      </w:pPr>
      <w:r>
        <w:rPr>
          <w:b/>
          <w:bCs/>
        </w:rPr>
        <w:t>Извещение</w:t>
      </w:r>
      <w:r>
        <w:rPr/>
        <w:t xml:space="preserve"> – извещение о проведении настоящей закупки.</w:t>
      </w:r>
    </w:p>
    <w:p>
      <w:pPr>
        <w:pStyle w:val="Style31"/>
        <w:ind w:firstLine="567"/>
        <w:rPr/>
      </w:pPr>
      <w:r>
        <w:rPr>
          <w:b/>
          <w:bCs/>
        </w:rPr>
        <w:t>ИНН</w:t>
      </w:r>
      <w:r>
        <w:rPr/>
        <w:t xml:space="preserve"> – идентификационный номер налогоплательщика.</w:t>
      </w:r>
    </w:p>
    <w:p>
      <w:pPr>
        <w:pStyle w:val="Style31"/>
        <w:ind w:firstLine="567"/>
        <w:rPr/>
      </w:pPr>
      <w:r>
        <w:rPr>
          <w:b/>
          <w:bCs/>
        </w:rPr>
        <w:t>ИФНС</w:t>
      </w:r>
      <w:r>
        <w:rPr/>
        <w:t xml:space="preserve"> – инспекция Федеральной налоговой службы Российской Федерации.</w:t>
      </w:r>
    </w:p>
    <w:p>
      <w:pPr>
        <w:pStyle w:val="Style31"/>
        <w:ind w:firstLine="567"/>
        <w:rPr/>
      </w:pPr>
      <w:r>
        <w:rPr>
          <w:b/>
          <w:bCs/>
        </w:rPr>
        <w:t>МТР</w:t>
      </w:r>
      <w:r>
        <w:rPr/>
        <w:t xml:space="preserve"> – материально-технические ресурсы.</w:t>
      </w:r>
    </w:p>
    <w:p>
      <w:pPr>
        <w:pStyle w:val="Style31"/>
        <w:ind w:firstLine="567"/>
        <w:rPr/>
      </w:pPr>
      <w:r>
        <w:rPr>
          <w:b/>
          <w:bCs/>
        </w:rPr>
        <w:t>НДС</w:t>
      </w:r>
      <w:r>
        <w:rPr/>
        <w:t xml:space="preserve"> – налог на добавленную стоимость.</w:t>
      </w:r>
    </w:p>
    <w:p>
      <w:pPr>
        <w:pStyle w:val="Style31"/>
        <w:ind w:firstLine="567"/>
        <w:rPr/>
      </w:pPr>
      <w:r>
        <w:rPr>
          <w:b/>
          <w:bCs/>
        </w:rPr>
        <w:t>НМЦ</w:t>
      </w:r>
      <w:r>
        <w:rPr/>
        <w:t xml:space="preserve"> – начальная (максимальная) цена договора.</w:t>
      </w:r>
    </w:p>
    <w:p>
      <w:pPr>
        <w:pStyle w:val="Style31"/>
        <w:ind w:firstLine="567"/>
        <w:rPr/>
      </w:pPr>
      <w:r>
        <w:rPr>
          <w:b/>
          <w:bCs/>
        </w:rPr>
        <w:t>Оператор ЭП</w:t>
      </w:r>
      <w:r>
        <w:rPr/>
        <w:t xml:space="preserve"> – оператор электронной площадки.</w:t>
      </w:r>
    </w:p>
    <w:p>
      <w:pPr>
        <w:pStyle w:val="Style3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1"/>
        <w:ind w:firstLine="567"/>
        <w:rPr/>
      </w:pPr>
      <w:r>
        <w:rPr>
          <w:b/>
          <w:bCs/>
        </w:rPr>
        <w:t>Положение о закупке</w:t>
      </w:r>
      <w:r>
        <w:rPr/>
        <w:t xml:space="preserve"> – Единое Положение о закупке продукции для нужд Группы РусГидро.</w:t>
      </w:r>
    </w:p>
    <w:p>
      <w:pPr>
        <w:pStyle w:val="Style3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1"/>
        <w:ind w:firstLine="567"/>
        <w:rPr/>
      </w:pPr>
      <w:r>
        <w:rPr>
          <w:b/>
          <w:bCs/>
        </w:rPr>
        <w:t>Система ЭДО</w:t>
      </w:r>
      <w:r>
        <w:rPr>
          <w:rStyle w:val="FootnoteReference"/>
          <w:b/>
          <w:bCs/>
        </w:rPr>
        <w:footnoteReference w:id="2"/>
      </w:r>
      <w:r>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3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1"/>
        <w:ind w:firstLine="567"/>
        <w:rPr/>
      </w:pPr>
      <w:r>
        <w:rPr>
          <w:b/>
          <w:bCs/>
        </w:rPr>
        <w:t>Субъект МСП</w:t>
      </w:r>
      <w:r>
        <w:rPr/>
        <w:t xml:space="preserve"> – субъект малого и среднего предпринимательства.</w:t>
      </w:r>
    </w:p>
    <w:p>
      <w:pPr>
        <w:pStyle w:val="Style31"/>
        <w:ind w:firstLine="567"/>
        <w:rPr/>
      </w:pPr>
      <w:r>
        <w:rPr>
          <w:b/>
          <w:bCs/>
        </w:rPr>
        <w:t>ЭП</w:t>
      </w:r>
      <w:r>
        <w:rPr/>
        <w:t xml:space="preserve"> – электронная площадка.</w:t>
      </w:r>
    </w:p>
    <w:p>
      <w:pPr>
        <w:pStyle w:val="Style30"/>
        <w:numPr>
          <w:ilvl w:val="0"/>
          <w:numId w:val="0"/>
        </w:numPr>
        <w:ind w:left="0" w:hanging="0"/>
        <w:outlineLvl w:val="0"/>
        <w:rPr/>
      </w:pPr>
      <w:bookmarkStart w:id="2" w:name="__RefHeading___Toc97472_534302689"/>
      <w:bookmarkStart w:id="3" w:name="_Toc229567027"/>
      <w:bookmarkEnd w:id="2"/>
      <w:r>
        <w:rPr/>
        <w:t>Термины и определения</w:t>
      </w:r>
      <w:bookmarkEnd w:id="3"/>
    </w:p>
    <w:p>
      <w:pPr>
        <w:pStyle w:val="Style3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1"/>
        <w:ind w:firstLine="567"/>
        <w:rPr/>
      </w:pPr>
      <w:r>
        <w:rPr>
          <w:b/>
          <w:bCs/>
        </w:rPr>
        <w:t>Альтернативное предложение</w:t>
      </w:r>
      <w:r>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3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1"/>
        <w:ind w:firstLine="567"/>
        <w:rPr>
          <w:szCs w:val="26"/>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1"/>
        <w:ind w:firstLine="567"/>
        <w:rPr/>
      </w:pPr>
      <w:r>
        <w:rPr>
          <w:b/>
          <w:bCs/>
        </w:rPr>
        <w:t>Официальное размещение</w:t>
      </w:r>
      <w:r>
        <w:rPr/>
        <w:t xml:space="preserve"> – размещение информации о закупке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1"/>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31"/>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(или единственного критерия оценки, если условия закупки не предполагают два и более критерия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1"/>
        <w:ind w:firstLine="567"/>
        <w:rPr/>
      </w:pPr>
      <w:r>
        <w:rPr>
          <w:b/>
          <w:bCs/>
        </w:rPr>
        <w:t>Постквалификация</w:t>
      </w:r>
      <w:r>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3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3"/>
      </w:r>
      <w:r>
        <w:rPr/>
        <w:t>, если иное не установлено в Документации о закупке.</w:t>
      </w:r>
    </w:p>
    <w:p>
      <w:pPr>
        <w:pStyle w:val="Style3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1"/>
        <w:ind w:firstLine="567"/>
        <w:rPr/>
      </w:pPr>
      <w:r>
        <w:rPr>
          <w:b/>
          <w:bCs/>
        </w:rPr>
        <w:t>Участник</w:t>
      </w:r>
      <w:r>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5"/>
        <w:rPr/>
      </w:pPr>
      <w:bookmarkStart w:id="4" w:name="__RefHeading___Toc97474_534302689"/>
      <w:bookmarkStart w:id="5" w:name="_Ref125359988"/>
      <w:bookmarkStart w:id="6" w:name="_Toc229567028"/>
      <w:bookmarkEnd w:id="4"/>
      <w:r>
        <w:rPr/>
        <w:t>Основные сведения о закупке</w:t>
      </w:r>
      <w:bookmarkEnd w:id="5"/>
      <w:bookmarkEnd w:id="6"/>
    </w:p>
    <w:p>
      <w:pPr>
        <w:pStyle w:val="Style26"/>
        <w:rPr/>
      </w:pPr>
      <w:bookmarkStart w:id="7" w:name="__RefHeading___Toc97476_534302689"/>
      <w:bookmarkStart w:id="8" w:name="_Toc229567029"/>
      <w:bookmarkEnd w:id="7"/>
      <w:r>
        <w:rPr/>
        <w:t>Статус настоящего раздела</w:t>
      </w:r>
      <w:bookmarkEnd w:id="8"/>
    </w:p>
    <w:p>
      <w:pPr>
        <w:pStyle w:val="Style27"/>
        <w:rPr/>
      </w:pPr>
      <w:r>
        <w:rPr/>
        <w:t>В настоящем разделе содержатся основные сведения о предмете, способе и иных ключевых условиях проводимой закупки.</w:t>
      </w:r>
    </w:p>
    <w:p>
      <w:pPr>
        <w:pStyle w:val="Style27"/>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4"/>
          </w:rPr>
          <w:t>Технических требованиях (Приложение № 1)</w:t>
        </w:r>
      </w:hyperlink>
      <w:r>
        <w:rPr>
          <w:rStyle w:val="Style14"/>
        </w:rPr>
        <w:t>,</w:t>
      </w:r>
      <w:r>
        <w:rPr/>
        <w:t xml:space="preserve"> в </w:t>
      </w:r>
      <w:hyperlink w:anchor="Прил02_ПроектДоговора">
        <w:r>
          <w:rPr>
            <w:rStyle w:val="Style14"/>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7"/>
        <w:rPr/>
      </w:pPr>
      <w:bookmarkStart w:id="9" w:name="_Ref136768031"/>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bookmarkEnd w:id="9"/>
    </w:p>
    <w:p>
      <w:pPr>
        <w:pStyle w:val="Style26"/>
        <w:spacing w:before="360" w:after="120"/>
        <w:rPr/>
      </w:pPr>
      <w:bookmarkStart w:id="10" w:name="__RefHeading___Toc97478_534302689"/>
      <w:bookmarkStart w:id="11" w:name="_Ref125359973"/>
      <w:bookmarkStart w:id="12" w:name="_Ref127270076"/>
      <w:bookmarkStart w:id="13" w:name="_Toc229567030"/>
      <w:bookmarkEnd w:id="10"/>
      <w:r>
        <w:rPr/>
        <w:t>Информация о проводимой закупке</w:t>
      </w:r>
      <w:bookmarkEnd w:id="11"/>
      <w:bookmarkEnd w:id="12"/>
      <w:bookmarkEnd w:id="13"/>
    </w:p>
    <w:tbl>
      <w:tblPr>
        <w:tblStyle w:val="af6"/>
        <w:tblW w:w="9754"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836"/>
        <w:gridCol w:w="3242"/>
        <w:gridCol w:w="5676"/>
      </w:tblGrid>
      <w:tr>
        <w:trPr>
          <w:cnfStyle w:val="100000000000" w:firstRow="1" w:lastRow="0" w:firstColumn="0" w:lastColumn="0" w:oddVBand="0" w:evenVBand="0" w:oddHBand="0" w:evenHBand="0" w:firstRowFirstColumn="0" w:firstRowLastColumn="0" w:lastRowFirstColumn="0" w:lastRowLastColumn="0"/>
        </w:trPr>
        <w:tc>
          <w:tcPr>
            <w:tcW w:w="836"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3242"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676"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0980"/>
            <w:bookmarkStart w:id="15" w:name="_Ref125360980"/>
            <w:bookmarkEnd w:id="15"/>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Состязательный отбор в электронной форме, участниками которого могут быть только субъекты МСП.</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996"/>
            <w:bookmarkStart w:id="17" w:name="_Ref125360996"/>
            <w:bookmarkEnd w:id="17"/>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676" w:type="dxa"/>
            <w:tcBorders/>
          </w:tcPr>
          <w:p>
            <w:pPr>
              <w:pStyle w:val="Normal"/>
              <w:widowControl w:val="false"/>
              <w:suppressAutoHyphens w:val="true"/>
              <w:spacing w:before="60" w:after="60"/>
              <w:jc w:val="left"/>
              <w:rPr/>
            </w:pPr>
            <w:r>
              <w:rPr/>
              <w:t>Лот № 121002-ТО ПРОД-2027-ККГЭС «ОКПД2 28.29.12.190. _Техническое обслуживание станции глубокой биологической очистки хозяйственно-бытовых сточных вод, оборудования очистных сооружений и систем очистки автомоек, ливневой канализации, очистных сооружений ливневых вод  филиала ПАО “РусГидро”-“Каскад Кубанских ГЭС»</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35729276"/>
            <w:bookmarkStart w:id="19" w:name="_Ref135729276"/>
            <w:bookmarkEnd w:id="19"/>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4"/>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7124"/>
            <w:bookmarkStart w:id="21" w:name="_Ref125367124"/>
            <w:bookmarkEnd w:id="21"/>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764"/>
            <w:bookmarkStart w:id="23" w:name="_Ref125360764"/>
            <w:bookmarkEnd w:id="23"/>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676"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 xml:space="preserve">Электронная площадка: Акционерное общество «Российский Аукционный Дом» </w:t>
            </w:r>
            <w:hyperlink r:id="rId2">
              <w:r>
                <w:rPr>
                  <w:rStyle w:val="Hyperlink"/>
                  <w:rFonts w:eastAsia="Calibri" w:cs=""/>
                  <w:kern w:val="0"/>
                  <w:sz w:val="26"/>
                  <w:szCs w:val="22"/>
                  <w:lang w:val="ru-RU" w:eastAsia="en-US" w:bidi="ar-SA"/>
                </w:rPr>
                <w:t>https://tender.lot-online.ru/</w:t>
              </w:r>
            </w:hyperlink>
          </w:p>
          <w:p>
            <w:pPr>
              <w:pStyle w:val="Style31"/>
              <w:widowControl w:val="false"/>
              <w:suppressAutoHyphens w:val="true"/>
              <w:spacing w:before="60" w:after="60"/>
              <w:rPr/>
            </w:pPr>
            <w:r>
              <w:rPr>
                <w:rFonts w:eastAsia="Calibri" w:cs=""/>
                <w:kern w:val="0"/>
                <w:sz w:val="26"/>
                <w:szCs w:val="22"/>
                <w:lang w:val="ru-RU" w:eastAsia="en-US" w:bidi="ar-SA"/>
              </w:rPr>
              <w:t xml:space="preserve">Регламент ЭП, в соответствии с которым проводится закупка, размещен по адресу: </w:t>
            </w:r>
            <w:hyperlink r:id="rId3">
              <w:r>
                <w:rPr>
                  <w:rStyle w:val="Hyperlink"/>
                  <w:rFonts w:eastAsia="Calibri" w:cs=""/>
                  <w:kern w:val="0"/>
                  <w:sz w:val="26"/>
                  <w:szCs w:val="22"/>
                  <w:lang w:val="ru-RU" w:eastAsia="en-US" w:bidi="ar-SA"/>
                </w:rPr>
                <w:t>https://tender.lot-online.ru/etp/reglament_223.pdf</w:t>
              </w:r>
            </w:hyperlink>
            <w:r>
              <w:rPr>
                <w:rFonts w:eastAsia="Calibri" w:cs=""/>
                <w:kern w:val="0"/>
                <w:sz w:val="26"/>
                <w:szCs w:val="22"/>
                <w:lang w:val="ru-RU" w:eastAsia="en-US" w:bidi="ar-SA"/>
              </w:rPr>
              <w:t>.</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0970"/>
            <w:bookmarkStart w:id="25" w:name="_Ref125360970"/>
            <w:bookmarkEnd w:id="25"/>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1"/>
              <w:widowControl w:val="false"/>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4"/>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0988"/>
            <w:bookmarkStart w:id="27" w:name="_Ref125360988"/>
            <w:bookmarkEnd w:id="27"/>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676" w:type="dxa"/>
            <w:tcBorders/>
          </w:tcPr>
          <w:p>
            <w:pPr>
              <w:pStyle w:val="Style31"/>
              <w:widowControl w:val="false"/>
              <w:suppressAutoHyphens w:val="true"/>
              <w:spacing w:before="120" w:after="60"/>
              <w:rPr>
                <w:rFonts w:eastAsia="Calibri"/>
              </w:rPr>
            </w:pPr>
            <w:r>
              <w:rPr>
                <w:rFonts w:eastAsia="Calibri" w:cs=""/>
                <w:kern w:val="0"/>
                <w:sz w:val="26"/>
                <w:szCs w:val="22"/>
                <w:lang w:val="ru-RU" w:eastAsia="en-US" w:bidi="ar-SA"/>
              </w:rPr>
              <w:t>Наименование (полное и сокращенное): Филиал Публичного акционерного общества «Федеральная гидрогенерирующая компания – РусГидро» - «Каскад Кубанских ГЭС» (Филиал ПАО «РусГидро» - «Каскад Кубанских ГЭС»)</w:t>
            </w:r>
          </w:p>
          <w:p>
            <w:pPr>
              <w:pStyle w:val="Style31"/>
              <w:widowControl w:val="false"/>
              <w:suppressAutoHyphens w:val="true"/>
              <w:spacing w:before="120" w:after="60"/>
              <w:rPr>
                <w:rFonts w:eastAsia="Calibri"/>
              </w:rPr>
            </w:pPr>
            <w:r>
              <w:rPr>
                <w:rFonts w:eastAsia="Calibri" w:cs=""/>
                <w:kern w:val="0"/>
                <w:sz w:val="26"/>
                <w:szCs w:val="22"/>
                <w:lang w:val="ru-RU" w:eastAsia="en-US" w:bidi="ar-SA"/>
              </w:rPr>
              <w:t>Место нахождения: 357115, Ставропольский край, г. Невинномысск, ул. Водопроводная, д. 360а</w:t>
            </w:r>
          </w:p>
          <w:p>
            <w:pPr>
              <w:pStyle w:val="Style31"/>
              <w:widowControl w:val="false"/>
              <w:suppressAutoHyphens w:val="true"/>
              <w:spacing w:before="120" w:after="60"/>
              <w:rPr>
                <w:rFonts w:eastAsia="Calibri"/>
              </w:rPr>
            </w:pPr>
            <w:r>
              <w:rPr>
                <w:rFonts w:eastAsia="Calibri" w:cs=""/>
                <w:kern w:val="0"/>
                <w:sz w:val="26"/>
                <w:szCs w:val="22"/>
                <w:lang w:val="ru-RU" w:eastAsia="en-US" w:bidi="ar-SA"/>
              </w:rPr>
              <w:t>Почтовый адрес: 357115, Ставропольский край, г. Невинномысск, ул. Водопроводная, д. 360а</w:t>
            </w:r>
          </w:p>
          <w:p>
            <w:pPr>
              <w:pStyle w:val="Style31"/>
              <w:widowControl w:val="false"/>
              <w:suppressAutoHyphens w:val="true"/>
              <w:spacing w:before="120" w:after="60"/>
              <w:rPr/>
            </w:pPr>
            <w:r>
              <w:rPr>
                <w:rFonts w:eastAsia="Calibri" w:cs=""/>
                <w:kern w:val="0"/>
                <w:sz w:val="26"/>
                <w:szCs w:val="22"/>
                <w:lang w:val="ru-RU" w:eastAsia="en-US" w:bidi="ar-SA"/>
              </w:rPr>
              <w:t xml:space="preserve">Адрес электронной почты: </w:t>
            </w:r>
            <w:hyperlink r:id="rId4">
              <w:r>
                <w:rPr>
                  <w:rStyle w:val="Hyperlink"/>
                  <w:rFonts w:eastAsia="Calibri" w:cs=""/>
                  <w:kern w:val="0"/>
                  <w:sz w:val="26"/>
                  <w:szCs w:val="22"/>
                  <w:lang w:val="ru-RU" w:eastAsia="en-US" w:bidi="ar-SA"/>
                </w:rPr>
                <w:t>kkges@rushydro.ru</w:t>
              </w:r>
            </w:hyperlink>
          </w:p>
          <w:p>
            <w:pPr>
              <w:pStyle w:val="Style31"/>
              <w:widowControl w:val="false"/>
              <w:suppressAutoHyphens w:val="true"/>
              <w:spacing w:before="60" w:after="60"/>
              <w:rPr>
                <w:rFonts w:eastAsia="Calibri"/>
              </w:rPr>
            </w:pPr>
            <w:r>
              <w:rPr>
                <w:rFonts w:eastAsia="Calibri" w:cs=""/>
                <w:kern w:val="0"/>
                <w:sz w:val="26"/>
                <w:szCs w:val="22"/>
                <w:lang w:val="ru-RU" w:eastAsia="en-US" w:bidi="ar-SA"/>
              </w:rPr>
              <w:t>Контактный телефон: +78655468901</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54"/>
            <w:bookmarkStart w:id="29" w:name="_Ref125360954"/>
            <w:bookmarkEnd w:id="29"/>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676"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Наименование (полное и сокращенное): Филиал Публичного акционерного общества «Федеральная гидрогенерирующая компания – РусГидро» - «Каскад Кубанских ГЭС» (Филиал ПАО «РусГидро» - «Каскад Кубанских ГЭС»)</w:t>
            </w:r>
          </w:p>
          <w:p>
            <w:pPr>
              <w:pStyle w:val="Style31"/>
              <w:widowControl w:val="false"/>
              <w:suppressAutoHyphens w:val="true"/>
              <w:spacing w:before="60" w:after="60"/>
              <w:rPr>
                <w:rFonts w:eastAsia="Calibri"/>
              </w:rPr>
            </w:pPr>
            <w:r>
              <w:rPr>
                <w:rFonts w:eastAsia="Calibri" w:cs=""/>
                <w:kern w:val="0"/>
                <w:sz w:val="26"/>
                <w:szCs w:val="22"/>
                <w:lang w:val="ru-RU" w:eastAsia="en-US" w:bidi="ar-SA"/>
              </w:rPr>
              <w:t>Место нахождения: 357115, Ставропольский край, г. Невинномысск, ул. Водопроводная, д. 360а</w:t>
            </w:r>
          </w:p>
          <w:p>
            <w:pPr>
              <w:pStyle w:val="Style31"/>
              <w:widowControl w:val="false"/>
              <w:suppressAutoHyphens w:val="true"/>
              <w:spacing w:before="60" w:after="60"/>
              <w:rPr>
                <w:rFonts w:eastAsia="Calibri"/>
              </w:rPr>
            </w:pPr>
            <w:r>
              <w:rPr>
                <w:rFonts w:eastAsia="Calibri" w:cs=""/>
                <w:kern w:val="0"/>
                <w:sz w:val="26"/>
                <w:szCs w:val="22"/>
                <w:lang w:val="ru-RU" w:eastAsia="en-US" w:bidi="ar-SA"/>
              </w:rPr>
              <w:t>Почтовый адрес: 357115, Ставропольский край, г. Невинномысск, ул. Водопроводная, д. 360а</w:t>
            </w:r>
          </w:p>
          <w:p>
            <w:pPr>
              <w:pStyle w:val="Style31"/>
              <w:widowControl w:val="false"/>
              <w:suppressAutoHyphens w:val="true"/>
              <w:spacing w:before="60" w:after="60"/>
              <w:rPr>
                <w:rFonts w:eastAsia="Calibri"/>
              </w:rPr>
            </w:pPr>
            <w:r>
              <w:rPr>
                <w:rFonts w:eastAsia="Calibri" w:cs=""/>
                <w:kern w:val="0"/>
                <w:sz w:val="26"/>
                <w:szCs w:val="22"/>
                <w:lang w:val="ru-RU" w:eastAsia="en-US" w:bidi="ar-SA"/>
              </w:rPr>
              <w:t xml:space="preserve">Адрес электронной почты: </w:t>
            </w:r>
            <w:hyperlink r:id="rId5">
              <w:r>
                <w:rPr>
                  <w:rStyle w:val="Hyperlink"/>
                  <w:rFonts w:eastAsia="Calibri" w:cs=""/>
                  <w:kern w:val="0"/>
                  <w:sz w:val="26"/>
                  <w:szCs w:val="22"/>
                  <w:lang w:val="ru-RU" w:eastAsia="en-US" w:bidi="ar-SA"/>
                </w:rPr>
                <w:t>kkges@rushydro.ru</w:t>
              </w:r>
            </w:hyperlink>
          </w:p>
          <w:p>
            <w:pPr>
              <w:pStyle w:val="Style31"/>
              <w:widowControl w:val="false"/>
              <w:suppressAutoHyphens w:val="true"/>
              <w:spacing w:before="60" w:after="60"/>
              <w:rPr>
                <w:rFonts w:eastAsia="Calibri"/>
              </w:rPr>
            </w:pPr>
            <w:r>
              <w:rPr>
                <w:rFonts w:eastAsia="Calibri" w:cs=""/>
                <w:kern w:val="0"/>
                <w:sz w:val="26"/>
                <w:szCs w:val="22"/>
                <w:lang w:val="ru-RU" w:eastAsia="en-US" w:bidi="ar-SA"/>
              </w:rPr>
              <w:t>Контактный телефон: +78655468901</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1238"/>
            <w:bookmarkStart w:id="31" w:name="_Ref125361238"/>
            <w:bookmarkEnd w:id="31"/>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676"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Контактное лицо (Ф.И.О.): Карпова Лариса Ивановна</w:t>
            </w:r>
          </w:p>
          <w:p>
            <w:pPr>
              <w:pStyle w:val="Style31"/>
              <w:widowControl w:val="false"/>
              <w:suppressAutoHyphens w:val="true"/>
              <w:spacing w:before="60" w:after="60"/>
              <w:rPr>
                <w:rFonts w:eastAsia="Calibri"/>
              </w:rPr>
            </w:pPr>
            <w:r>
              <w:rPr>
                <w:rFonts w:eastAsia="Calibri" w:cs=""/>
                <w:kern w:val="0"/>
                <w:sz w:val="26"/>
                <w:szCs w:val="22"/>
                <w:lang w:val="ru-RU" w:eastAsia="en-US" w:bidi="ar-SA"/>
              </w:rPr>
              <w:t>Контактный телефон: +7(865)544-15-28</w:t>
            </w:r>
          </w:p>
          <w:p>
            <w:pPr>
              <w:pStyle w:val="Style31"/>
              <w:widowControl w:val="false"/>
              <w:suppressAutoHyphens w:val="true"/>
              <w:spacing w:before="60" w:after="60"/>
              <w:rPr>
                <w:rFonts w:eastAsia="Calibri"/>
              </w:rPr>
            </w:pPr>
            <w:r>
              <w:rPr>
                <w:rFonts w:eastAsia="Calibri" w:cs=""/>
                <w:kern w:val="0"/>
                <w:sz w:val="26"/>
                <w:szCs w:val="22"/>
                <w:lang w:val="ru-RU" w:eastAsia="en-US" w:bidi="ar-SA"/>
              </w:rPr>
              <w:t>Адрес электронной почты:</w:t>
            </w:r>
          </w:p>
          <w:p>
            <w:pPr>
              <w:pStyle w:val="Style31"/>
              <w:widowControl w:val="false"/>
              <w:suppressAutoHyphens w:val="true"/>
              <w:spacing w:before="60" w:after="60"/>
              <w:rPr>
                <w:rFonts w:eastAsia="Calibri"/>
              </w:rPr>
            </w:pPr>
            <w:hyperlink r:id="rId6">
              <w:r>
                <w:rPr>
                  <w:rStyle w:val="Hyperlink"/>
                </w:rPr>
                <w:t>KarpovaLI@rushydro.ru</w:t>
              </w:r>
            </w:hyperlink>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2694"/>
            <w:bookmarkStart w:id="33" w:name="_Ref125362694"/>
            <w:bookmarkEnd w:id="33"/>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на ЭП и доступна для ознакомления любым заинтересованным лицам. Официальным источником информации о ходе проведения закупки является ЭП, указанная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0963"/>
            <w:bookmarkStart w:id="35" w:name="_Ref125360963"/>
            <w:bookmarkEnd w:id="35"/>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28.09.2026 г.</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362837"/>
            <w:bookmarkStart w:id="37" w:name="_Ref125362837"/>
            <w:bookmarkEnd w:id="37"/>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676" w:type="dxa"/>
            <w:tcBorders/>
          </w:tcPr>
          <w:p>
            <w:pPr>
              <w:pStyle w:val="Style31"/>
              <w:widowControl w:val="false"/>
              <w:suppressAutoHyphens w:val="true"/>
              <w:spacing w:before="60" w:after="60"/>
              <w:rPr>
                <w:rStyle w:val="Style11"/>
              </w:rPr>
            </w:pPr>
            <w:r>
              <w:rPr>
                <w:rFonts w:eastAsia="Calibri" w:cs=""/>
                <w:kern w:val="0"/>
                <w:sz w:val="26"/>
                <w:szCs w:val="22"/>
                <w:lang w:val="ru-RU" w:eastAsia="en-US" w:bidi="ar-SA"/>
              </w:rPr>
              <w:t>НМЦ составляет 8 365 139,52 руб</w:t>
            </w:r>
            <w:r>
              <w:rPr>
                <w:rFonts w:eastAsia="Calibri" w:cs="" w:cstheme="minorBidi" w:eastAsiaTheme="minorHAnsi"/>
                <w:kern w:val="0"/>
                <w:sz w:val="26"/>
                <w:szCs w:val="22"/>
                <w:shd w:fill="auto" w:val="clear"/>
                <w:lang w:val="ru-RU" w:eastAsia="en-US" w:bidi="ar-SA"/>
              </w:rPr>
              <w:t>.</w:t>
            </w:r>
            <w:r>
              <w:rPr>
                <w:rFonts w:eastAsia="Calibri" w:cs=""/>
                <w:kern w:val="0"/>
                <w:sz w:val="26"/>
                <w:szCs w:val="22"/>
                <w:lang w:val="ru-RU" w:eastAsia="en-US" w:bidi="ar-SA"/>
              </w:rPr>
              <w:t>, без учета НДС.</w:t>
            </w:r>
          </w:p>
          <w:p>
            <w:pPr>
              <w:pStyle w:val="Style31"/>
              <w:widowControl w:val="false"/>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4"/>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3076"/>
            <w:bookmarkStart w:id="39" w:name="_Ref125363076"/>
            <w:bookmarkEnd w:id="39"/>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Внимание! 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362995"/>
            <w:bookmarkStart w:id="41" w:name="_Ref125362995"/>
            <w:bookmarkEnd w:id="41"/>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676" w:type="dxa"/>
            <w:tcBorders/>
          </w:tcPr>
          <w:p>
            <w:pPr>
              <w:pStyle w:val="ListParagraph"/>
              <w:widowControl w:val="false"/>
              <w:tabs>
                <w:tab w:val="clear" w:pos="708"/>
                <w:tab w:val="left" w:pos="295" w:leader="none"/>
              </w:tabs>
              <w:suppressAutoHyphens w:val="false"/>
              <w:spacing w:before="0" w:after="0"/>
              <w:ind w:left="0" w:hanging="0"/>
              <w:contextualSpacing w:val="false"/>
              <w:jc w:val="both"/>
              <w:rPr>
                <w:sz w:val="26"/>
                <w:szCs w:val="26"/>
              </w:rPr>
            </w:pPr>
            <w:r>
              <w:rPr>
                <w:rFonts w:eastAsia="Times New Roman" w:cs=""/>
                <w:kern w:val="0"/>
                <w:sz w:val="26"/>
                <w:szCs w:val="26"/>
                <w:lang w:val="ru-RU" w:eastAsia="ru-RU" w:bidi="ar-SA"/>
              </w:rPr>
              <w:t>согласие (декларация) Участника на поставку продукции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 – по форме Технического предложения, установленной в Документации о закупке</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Национальный режим предоставляется.</w:t>
            </w:r>
          </w:p>
          <w:p>
            <w:pPr>
              <w:pStyle w:val="Style31"/>
              <w:widowControl w:val="false"/>
              <w:suppressAutoHyphens w:val="true"/>
              <w:spacing w:before="60" w:after="60"/>
              <w:rPr/>
            </w:pPr>
            <w:r>
              <w:rPr>
                <w:rFonts w:eastAsia="Calibri" w:cs=""/>
                <w:kern w:val="0"/>
                <w:sz w:val="26"/>
                <w:szCs w:val="22"/>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533737"/>
            <w:bookmarkStart w:id="43" w:name="_Ref125533737"/>
            <w:bookmarkEnd w:id="43"/>
          </w:p>
        </w:tc>
        <w:tc>
          <w:tcPr>
            <w:tcW w:w="3242" w:type="dxa"/>
            <w:tcBorders/>
          </w:tcPr>
          <w:p>
            <w:pPr>
              <w:pStyle w:val="Normal"/>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подачи альтернативных предложений:</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предусмотрена.</w:t>
            </w:r>
          </w:p>
          <w:p>
            <w:pPr>
              <w:pStyle w:val="Style34"/>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25475086"/>
            <w:bookmarkStart w:id="45" w:name="_Ref125475086"/>
            <w:bookmarkEnd w:id="45"/>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 подачи заявок:</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0779"/>
            <w:bookmarkStart w:id="47" w:name="_Ref125360779"/>
            <w:bookmarkEnd w:id="47"/>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676"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Дата начала подачи заявок:</w:t>
            </w:r>
          </w:p>
          <w:p>
            <w:pPr>
              <w:pStyle w:val="Style31"/>
              <w:widowControl w:val="false"/>
              <w:suppressAutoHyphens w:val="true"/>
              <w:spacing w:before="60" w:after="60"/>
              <w:rPr>
                <w:rFonts w:eastAsia="Calibri"/>
              </w:rPr>
            </w:pPr>
            <w:r>
              <w:rPr>
                <w:rFonts w:eastAsia="Calibri" w:cs=""/>
                <w:kern w:val="0"/>
                <w:sz w:val="26"/>
                <w:szCs w:val="22"/>
                <w:lang w:val="ru-RU" w:eastAsia="en-US" w:bidi="ar-SA"/>
              </w:rPr>
              <w:t>28.09.2026 г.</w:t>
            </w:r>
          </w:p>
          <w:p>
            <w:pPr>
              <w:pStyle w:val="Style31"/>
              <w:widowControl w:val="false"/>
              <w:suppressAutoHyphens w:val="true"/>
              <w:spacing w:before="60" w:after="60"/>
              <w:rPr>
                <w:rFonts w:eastAsia="Calibri"/>
              </w:rPr>
            </w:pPr>
            <w:r>
              <w:rPr>
                <w:rFonts w:eastAsia="Calibri" w:cs=""/>
                <w:kern w:val="0"/>
                <w:sz w:val="26"/>
                <w:szCs w:val="22"/>
                <w:lang w:val="ru-RU" w:eastAsia="en-US" w:bidi="ar-SA"/>
              </w:rPr>
              <w:t>Дата и время окончания срока подачи заявок:</w:t>
            </w:r>
          </w:p>
          <w:p>
            <w:pPr>
              <w:pStyle w:val="Style31"/>
              <w:widowControl w:val="false"/>
              <w:suppressAutoHyphens w:val="true"/>
              <w:spacing w:before="60" w:after="60"/>
              <w:rPr>
                <w:rFonts w:eastAsia="Calibri"/>
              </w:rPr>
            </w:pPr>
            <w:r>
              <w:rPr>
                <w:rFonts w:eastAsia="Calibri" w:cs=""/>
                <w:kern w:val="0"/>
                <w:sz w:val="26"/>
                <w:szCs w:val="22"/>
                <w:lang w:val="ru-RU" w:eastAsia="en-US" w:bidi="ar-SA"/>
              </w:rPr>
              <w:t>1</w:t>
            </w:r>
            <w:r>
              <w:rPr>
                <w:rFonts w:eastAsia="Calibri" w:cs=""/>
                <w:kern w:val="0"/>
                <w:sz w:val="26"/>
                <w:szCs w:val="22"/>
                <w:lang w:val="ru-RU" w:eastAsia="en-US" w:bidi="ar-SA"/>
              </w:rPr>
              <w:t>5</w:t>
            </w:r>
            <w:r>
              <w:rPr>
                <w:rFonts w:eastAsia="Calibri" w:cs=""/>
                <w:kern w:val="0"/>
                <w:sz w:val="26"/>
                <w:szCs w:val="22"/>
                <w:lang w:val="ru-RU" w:eastAsia="en-US" w:bidi="ar-SA"/>
              </w:rPr>
              <w:t>.</w:t>
            </w:r>
            <w:r>
              <w:rPr>
                <w:rFonts w:eastAsia="Calibri" w:cs=""/>
                <w:kern w:val="0"/>
                <w:sz w:val="26"/>
                <w:szCs w:val="22"/>
                <w:lang w:val="ru-RU" w:eastAsia="en-US" w:bidi="ar-SA"/>
              </w:rPr>
              <w:t>11</w:t>
            </w:r>
            <w:r>
              <w:rPr>
                <w:rFonts w:eastAsia="Calibri" w:cs=""/>
                <w:kern w:val="0"/>
                <w:sz w:val="26"/>
                <w:szCs w:val="22"/>
                <w:lang w:val="ru-RU" w:eastAsia="en-US" w:bidi="ar-SA"/>
              </w:rPr>
              <w:t>.2026 г. в 11 ч. 00 мин.</w:t>
            </w:r>
          </w:p>
          <w:p>
            <w:pPr>
              <w:pStyle w:val="Style31"/>
              <w:widowControl w:val="false"/>
              <w:suppressAutoHyphens w:val="true"/>
              <w:spacing w:before="60" w:after="60"/>
              <w:rPr>
                <w:rFonts w:eastAsia="Calibri"/>
              </w:rPr>
            </w:pPr>
            <w:r>
              <w:rPr/>
              <w:t>(по московскому времени).</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31"/>
              <w:widowControl w:val="false"/>
              <w:suppressAutoHyphens w:val="true"/>
              <w:spacing w:before="60" w:after="60"/>
              <w:rPr>
                <w:rFonts w:eastAsia="Calibri"/>
              </w:rPr>
            </w:pPr>
            <w:r>
              <w:rPr>
                <w:rFonts w:eastAsia="Calibri" w:cs=""/>
                <w:kern w:val="0"/>
                <w:sz w:val="26"/>
                <w:szCs w:val="22"/>
                <w:lang w:val="ru-RU" w:eastAsia="en-US" w:bidi="ar-SA"/>
              </w:rPr>
              <w:t>15.10.202</w:t>
            </w:r>
            <w:r>
              <w:rPr/>
              <w:t>6 г. в 11 ч. 00 мин.</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_Ref125360779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1.2.18</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476197"/>
            <w:bookmarkStart w:id="49" w:name="_Ref125476197"/>
            <w:bookmarkEnd w:id="49"/>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2733"/>
            <w:bookmarkStart w:id="51" w:name="_Ref125362733"/>
            <w:bookmarkEnd w:id="51"/>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заявок:</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16.11.2026 г.</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проведения процедуры переторжки:</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Не предусмотрено.</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2757"/>
            <w:bookmarkStart w:id="53" w:name="_Ref125362757"/>
            <w:bookmarkEnd w:id="53"/>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16.11.2026 г.</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1769"/>
            <w:bookmarkStart w:id="55" w:name="_Ref125361769"/>
            <w:bookmarkEnd w:id="55"/>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p>
            <w:pPr>
              <w:pStyle w:val="Style34"/>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w:t>
              <w:br/>
              <w:t>итогов закупки:</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6606"/>
            <w:bookmarkStart w:id="57" w:name="_Ref125366606"/>
            <w:bookmarkEnd w:id="57"/>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Один победитель.</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8" w:name="_Ref125533374"/>
            <w:bookmarkStart w:id="59" w:name="_Ref125533374"/>
            <w:bookmarkEnd w:id="59"/>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Форма заключения Договора:</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бумажной или электронной форме (подробный порядок заключения Договора содержится в 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_Ref126142429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1"/>
              <w:widowControl w:val="false"/>
              <w:suppressAutoHyphens w:val="true"/>
              <w:spacing w:before="60" w:after="60"/>
              <w:rPr/>
            </w:pPr>
            <w:r>
              <w:rPr>
                <w:rFonts w:eastAsia="Calibri" w:cs=""/>
                <w:kern w:val="0"/>
                <w:sz w:val="26"/>
                <w:szCs w:val="22"/>
                <w:lang w:val="ru-RU" w:eastAsia="en-US" w:bidi="ar-SA"/>
              </w:rPr>
              <w:t>Если договор будет заключаться в электронной форме посредством информационной системы электронного документооборота ЭДО «Контур. Диадок»,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60" w:name="_Ref125366813"/>
            <w:bookmarkStart w:id="61" w:name="_Ref125366813"/>
            <w:bookmarkEnd w:id="61"/>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31"/>
              <w:widowControl w:val="false"/>
              <w:suppressAutoHyphens w:val="true"/>
              <w:spacing w:before="60" w:after="60"/>
              <w:rPr>
                <w:rStyle w:val="Style11"/>
              </w:rPr>
            </w:pPr>
            <w:r>
              <w:rPr>
                <w:rFonts w:eastAsia="Calibri" w:cs=""/>
                <w:kern w:val="0"/>
                <w:sz w:val="26"/>
                <w:szCs w:val="22"/>
                <w:lang w:val="ru-RU" w:eastAsia="en-US" w:bidi="ar-SA"/>
              </w:rPr>
              <w:t>Для подачи документов в бумажной форме: Контактное лицо (Ф.И.О.):</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Бондаренко Игорь Владимирович</w:t>
            </w:r>
          </w:p>
          <w:p>
            <w:pPr>
              <w:pStyle w:val="Style31"/>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Почтовый адрес:</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357115, Ставропольский край, г. Невинномысск, ул. Водопроводная, д. 360а</w:t>
            </w:r>
          </w:p>
          <w:p>
            <w:pPr>
              <w:pStyle w:val="Style31"/>
              <w:widowControl w:val="false"/>
              <w:suppressAutoHyphens w:val="true"/>
              <w:spacing w:before="12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Для подачи документов в электронной форме:</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bookmarkStart w:id="62" w:name="_Hlk193278855"/>
            <w:r>
              <w:rPr>
                <w:rFonts w:eastAsia="Calibri" w:cs=""/>
                <w:kern w:val="0"/>
                <w:sz w:val="26"/>
                <w:szCs w:val="22"/>
                <w:lang w:val="ru-RU" w:eastAsia="en-US" w:bidi="ar-SA"/>
              </w:rPr>
              <w:t>Корпоративный сайт ПАО «РусГидро»</w:t>
            </w:r>
            <w:bookmarkEnd w:id="62"/>
            <w:r>
              <w:rPr>
                <w:rFonts w:eastAsia="Calibri" w:cs=""/>
                <w:kern w:val="0"/>
                <w:sz w:val="26"/>
                <w:szCs w:val="22"/>
                <w:lang w:val="ru-RU" w:eastAsia="en-US" w:bidi="ar-SA"/>
              </w:rPr>
              <w:t>, через специально созданную учетную запись (подробный порядок содержится в 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_Ref126142429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63" w:name="_Ref125368490"/>
            <w:bookmarkStart w:id="64" w:name="_Ref125368490"/>
            <w:bookmarkEnd w:id="64"/>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Отсутствуют.</w:t>
            </w:r>
          </w:p>
        </w:tc>
      </w:tr>
      <w:tr>
        <w:trPr/>
        <w:tc>
          <w:tcPr>
            <w:tcW w:w="836"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2"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Не требуется.</w:t>
            </w:r>
          </w:p>
        </w:tc>
      </w:tr>
    </w:tbl>
    <w:p>
      <w:pPr>
        <w:pStyle w:val="Style25"/>
        <w:rPr/>
      </w:pPr>
      <w:bookmarkStart w:id="65" w:name="__RefHeading___Toc97480_534302689"/>
      <w:bookmarkStart w:id="66" w:name="_Ref125360073"/>
      <w:bookmarkStart w:id="67" w:name="_Ref125360337"/>
      <w:bookmarkStart w:id="68" w:name="_Toc229567031"/>
      <w:bookmarkEnd w:id="65"/>
      <w:r>
        <w:rPr/>
        <w:t>Общие положения</w:t>
      </w:r>
      <w:bookmarkEnd w:id="66"/>
      <w:bookmarkEnd w:id="67"/>
      <w:bookmarkEnd w:id="68"/>
    </w:p>
    <w:p>
      <w:pPr>
        <w:pStyle w:val="Style26"/>
        <w:rPr/>
      </w:pPr>
      <w:bookmarkStart w:id="69" w:name="__RefHeading___Toc97482_534302689"/>
      <w:bookmarkStart w:id="70" w:name="_Toc229567032"/>
      <w:bookmarkEnd w:id="69"/>
      <w:r>
        <w:rPr/>
        <w:t>Общие сведения о закупке</w:t>
      </w:r>
      <w:bookmarkEnd w:id="70"/>
    </w:p>
    <w:p>
      <w:pPr>
        <w:pStyle w:val="Style27"/>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7"/>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7"/>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4"/>
          </w:rPr>
          <w:t>Технических требованиях (Приложение № 1)</w:t>
        </w:r>
      </w:hyperlink>
      <w:r>
        <w:rPr/>
        <w:t xml:space="preserve">. </w:t>
      </w:r>
      <w:hyperlink w:anchor="Прил02_ПроектДоговора">
        <w:r>
          <w:rPr>
            <w:rStyle w:val="Style14"/>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4"/>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p>
    <w:p>
      <w:pPr>
        <w:pStyle w:val="Style27"/>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4"/>
          </w:rPr>
          <w:t>№ 4</w:t>
        </w:r>
      </w:hyperlink>
      <w:r>
        <w:rPr/>
        <w:t xml:space="preserve">, </w:t>
      </w:r>
      <w:hyperlink w:anchor="Прил05_ФормыПобедителя">
        <w:r>
          <w:rPr>
            <w:rStyle w:val="Style14"/>
          </w:rPr>
          <w:t>№ 5</w:t>
        </w:r>
      </w:hyperlink>
      <w:r>
        <w:rPr/>
        <w:t>.</w:t>
      </w:r>
    </w:p>
    <w:p>
      <w:pPr>
        <w:pStyle w:val="Style26"/>
        <w:rPr/>
      </w:pPr>
      <w:bookmarkStart w:id="71" w:name="__RefHeading___Toc97484_534302689"/>
      <w:bookmarkStart w:id="72" w:name="_Toc229567033"/>
      <w:bookmarkEnd w:id="71"/>
      <w:r>
        <w:rPr/>
        <w:t>Правовой статус документов</w:t>
      </w:r>
      <w:bookmarkEnd w:id="72"/>
    </w:p>
    <w:p>
      <w:pPr>
        <w:pStyle w:val="Style27"/>
        <w:rPr/>
      </w:pPr>
      <w:r>
        <w:rPr/>
        <w:t>Состязательный отбор не является конкурентной процедурой в соответствии с действующим законодательством.</w:t>
      </w:r>
    </w:p>
    <w:p>
      <w:pPr>
        <w:pStyle w:val="Style27"/>
        <w:rPr/>
      </w:pPr>
      <w:r>
        <w:rPr/>
        <w:t>Документация о закупке вместе с Извещением, являющимся ее неотъемлемой частью, являются приглашением Организатора делать оферты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pPr>
        <w:pStyle w:val="Style27"/>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7"/>
        <w:keepNext w:val="true"/>
        <w:rPr/>
      </w:pPr>
      <w:bookmarkStart w:id="7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73"/>
      <w:r>
        <w:rPr/>
        <w:t>.</w:t>
      </w:r>
    </w:p>
    <w:p>
      <w:pPr>
        <w:pStyle w:val="Style27"/>
        <w:rPr/>
      </w:pPr>
      <w:r>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27"/>
        <w:rPr/>
      </w:pPr>
      <w:r>
        <w:rPr/>
        <w:t>Во всем, что не урегулировано Извещением и Документацией о закупке, стороны руководствуются Положением о закупке (в редакции, действующей на дату официального размещения Извещения).</w:t>
      </w:r>
    </w:p>
    <w:p>
      <w:pPr>
        <w:pStyle w:val="Style27"/>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7"/>
        <w:rPr/>
      </w:pPr>
      <w:r>
        <w:rPr/>
        <w:t>Иные документы Организатора и Участников не определяют права и обязанности сторон в связи с данной закупкой.</w:t>
      </w:r>
    </w:p>
    <w:p>
      <w:pPr>
        <w:pStyle w:val="Style27"/>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6"/>
        <w:rPr/>
      </w:pPr>
      <w:bookmarkStart w:id="74" w:name="__RefHeading___Toc97486_534302689"/>
      <w:bookmarkStart w:id="75" w:name="_Ref125363536"/>
      <w:bookmarkStart w:id="76" w:name="_Toc229567034"/>
      <w:bookmarkEnd w:id="74"/>
      <w:r>
        <w:rPr/>
        <w:t>Обжалование</w:t>
      </w:r>
      <w:bookmarkEnd w:id="75"/>
      <w:bookmarkEnd w:id="76"/>
    </w:p>
    <w:p>
      <w:pPr>
        <w:pStyle w:val="Style27"/>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7"/>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7"/>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8"/>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8"/>
        <w:rPr/>
      </w:pPr>
      <w:r>
        <w:rPr/>
        <w:t>признать заявление Участника необоснованным.</w:t>
      </w:r>
    </w:p>
    <w:p>
      <w:pPr>
        <w:pStyle w:val="Style27"/>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с учетом того, что настоящая закупка не является торгами.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7"/>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8"/>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8"/>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7" w:name="_Hlk219296876"/>
      <w:bookmarkStart w:id="78" w:name="_Hlk219301278"/>
      <w:r>
        <w:rPr/>
        <w:t>Красноярского края</w:t>
      </w:r>
      <w:bookmarkEnd w:id="77"/>
      <w:bookmarkEnd w:id="78"/>
      <w:r>
        <w:rPr/>
        <w:t>.</w:t>
      </w:r>
    </w:p>
    <w:p>
      <w:pPr>
        <w:pStyle w:val="Style31"/>
        <w:ind w:left="1134" w:hanging="0"/>
        <w:rPr/>
      </w:pPr>
      <w:r>
        <w:rPr/>
        <w:t>Закупочная комиссия определяется в соответствии с Положением о закупке.</w:t>
      </w:r>
    </w:p>
    <w:p>
      <w:pPr>
        <w:pStyle w:val="Style26"/>
        <w:rPr/>
      </w:pPr>
      <w:bookmarkStart w:id="79" w:name="__RefHeading___Toc97488_534302689"/>
      <w:bookmarkStart w:id="80" w:name="_Ref125472658"/>
      <w:bookmarkStart w:id="81" w:name="_Toc229567035"/>
      <w:bookmarkEnd w:id="79"/>
      <w:r>
        <w:rPr/>
        <w:t>Особые положения при проведении закупки с использованием ЭП</w:t>
      </w:r>
      <w:bookmarkEnd w:id="80"/>
      <w:bookmarkEnd w:id="81"/>
    </w:p>
    <w:p>
      <w:pPr>
        <w:pStyle w:val="Style27"/>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7"/>
        <w:rPr/>
      </w:pPr>
      <w:r>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27"/>
        <w:rPr/>
      </w:pPr>
      <w:bookmarkStart w:id="82" w:name="_Ref135748672"/>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82"/>
    </w:p>
    <w:p>
      <w:pPr>
        <w:pStyle w:val="Style27"/>
        <w:rPr/>
      </w:pPr>
      <w:bookmarkStart w:id="83" w:name="_Ref135748741"/>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83"/>
    </w:p>
    <w:p>
      <w:pPr>
        <w:pStyle w:val="Style26"/>
        <w:rPr/>
      </w:pPr>
      <w:bookmarkStart w:id="84" w:name="__RefHeading___Toc97490_534302689"/>
      <w:bookmarkStart w:id="85" w:name="_Toc229567036"/>
      <w:bookmarkEnd w:id="84"/>
      <w:r>
        <w:rPr/>
        <w:t>Прочие положения</w:t>
      </w:r>
      <w:bookmarkEnd w:id="85"/>
    </w:p>
    <w:p>
      <w:pPr>
        <w:pStyle w:val="Style27"/>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7"/>
        <w:rPr/>
      </w:pPr>
      <w:bookmarkStart w:id="86" w:name="_Ref136257236"/>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86"/>
    </w:p>
    <w:p>
      <w:pPr>
        <w:pStyle w:val="Style27"/>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5"/>
        <w:rPr/>
      </w:pPr>
      <w:bookmarkStart w:id="87" w:name="__RefHeading___Toc97492_534302689"/>
      <w:bookmarkStart w:id="88" w:name="_Ref125361210"/>
      <w:bookmarkStart w:id="89" w:name="_Toc229567037"/>
      <w:bookmarkEnd w:id="87"/>
      <w:r>
        <w:rPr/>
        <w:t>Требования к Участникам</w:t>
      </w:r>
      <w:bookmarkEnd w:id="88"/>
      <w:bookmarkEnd w:id="89"/>
    </w:p>
    <w:p>
      <w:pPr>
        <w:pStyle w:val="Style26"/>
        <w:rPr/>
      </w:pPr>
      <w:bookmarkStart w:id="90" w:name="__RefHeading___Toc97494_534302689"/>
      <w:bookmarkStart w:id="91" w:name="_Ref127524530"/>
      <w:bookmarkStart w:id="92" w:name="_Toc229567038"/>
      <w:bookmarkEnd w:id="90"/>
      <w:r>
        <w:rPr/>
        <w:t>Общие требования к Участникам</w:t>
      </w:r>
      <w:bookmarkEnd w:id="91"/>
      <w:bookmarkEnd w:id="92"/>
    </w:p>
    <w:p>
      <w:pPr>
        <w:pStyle w:val="Style27"/>
        <w:rPr/>
      </w:pPr>
      <w:bookmarkStart w:id="93"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93"/>
    </w:p>
    <w:p>
      <w:pPr>
        <w:pStyle w:val="Style27"/>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27"/>
        <w:rPr/>
      </w:pPr>
      <w:r>
        <w:rPr/>
        <w:t xml:space="preserve">Требования к Участникам установлены с учетом предмета договора, </w:t>
      </w:r>
      <w:hyperlink w:anchor="Прил01_ТехТребования">
        <w:r>
          <w:rPr>
            <w:rStyle w:val="Style14"/>
          </w:rPr>
          <w:t>Технических требований (Приложение № 1)</w:t>
        </w:r>
      </w:hyperlink>
      <w:r>
        <w:rPr/>
        <w:t xml:space="preserve"> и </w:t>
      </w:r>
      <w:hyperlink w:anchor="Прил02_ПроектДоговора">
        <w:r>
          <w:rPr>
            <w:rStyle w:val="Style14"/>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p>
    <w:p>
      <w:pPr>
        <w:pStyle w:val="Style27"/>
        <w:keepNext w:val="true"/>
        <w:rPr/>
      </w:pPr>
      <w:r>
        <w:rPr/>
        <w:t>Установлены следующие требования к Участникам, которые приведены в </w:t>
      </w:r>
      <w:hyperlink w:anchor="Прил03_ТребованияУчастникам">
        <w:r>
          <w:rPr>
            <w:rStyle w:val="Style14"/>
          </w:rPr>
          <w:t>Приложении № 3</w:t>
        </w:r>
      </w:hyperlink>
      <w:r>
        <w:rPr/>
        <w:t>:</w:t>
      </w:r>
    </w:p>
    <w:p>
      <w:pPr>
        <w:pStyle w:val="Style28"/>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8"/>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8"/>
        <w:rPr/>
      </w:pPr>
      <w:r>
        <w:rPr/>
        <w:t>квалификационные требования – Участники должны им соответствовать, если они установлены (подраздел </w:t>
      </w:r>
      <w:r>
        <w:rPr/>
        <w:fldChar w:fldCharType="begin"/>
      </w:r>
      <w:r>
        <w:rPr/>
        <w:instrText xml:space="preserve"> REF _Ref125709154 \r \h </w:instrText>
      </w:r>
      <w:r>
        <w:rPr/>
        <w:fldChar w:fldCharType="separate"/>
      </w:r>
      <w:r>
        <w:rPr/>
        <w:t>8.4</w:t>
      </w:r>
      <w:r>
        <w:rPr/>
        <w:fldChar w:fldCharType="end"/>
      </w:r>
      <w:r>
        <w:rPr/>
        <w:t>).</w:t>
      </w:r>
    </w:p>
    <w:p>
      <w:pPr>
        <w:pStyle w:val="Style27"/>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7"/>
        <w:rPr/>
      </w:pPr>
      <w:bookmarkStart w:id="94" w:name="_Ref125361969"/>
      <w:bookmarkStart w:id="95" w:name="_Ref125361976"/>
      <w:bookmarkEnd w:id="94"/>
      <w:bookmarkEnd w:id="95"/>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4"/>
          </w:rPr>
          <w:t>Требованиях к Участникам (Приложение № 3)</w:t>
        </w:r>
      </w:hyperlink>
      <w:r>
        <w:rPr/>
        <w:t>, если иное не установлено в Документации о закупке.</w:t>
      </w:r>
    </w:p>
    <w:p>
      <w:pPr>
        <w:pStyle w:val="Style26"/>
        <w:rPr/>
      </w:pPr>
      <w:bookmarkStart w:id="96" w:name="__RefHeading___Toc97496_534302689"/>
      <w:bookmarkStart w:id="97" w:name="_Ref125361969_Копия_1"/>
      <w:bookmarkStart w:id="98" w:name="_Ref125361976_Копия_1"/>
      <w:bookmarkStart w:id="99" w:name="_Ref125361702"/>
      <w:bookmarkStart w:id="100" w:name="_Toc229567039"/>
      <w:bookmarkEnd w:id="96"/>
      <w:bookmarkEnd w:id="97"/>
      <w:bookmarkEnd w:id="98"/>
      <w:r>
        <w:rPr/>
        <w:t>Генеральные подрядчики</w:t>
      </w:r>
      <w:bookmarkEnd w:id="99"/>
      <w:bookmarkEnd w:id="100"/>
    </w:p>
    <w:p>
      <w:pPr>
        <w:pStyle w:val="Style27"/>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рассмотрение и оценка заявок Участников с учетом привлекаемых субподрядчиков.</w:t>
      </w:r>
    </w:p>
    <w:p>
      <w:pPr>
        <w:pStyle w:val="Style27"/>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8.5</w:t>
      </w:r>
      <w:r>
        <w:rPr/>
        <w:fldChar w:fldCharType="end"/>
      </w:r>
      <w:r>
        <w:rPr/>
        <w:t xml:space="preserve"> </w:t>
      </w:r>
      <w:hyperlink w:anchor="Прил03_ТребованияУчастникам">
        <w:r>
          <w:rPr>
            <w:rStyle w:val="Style14"/>
          </w:rPr>
          <w:t>Требований к Участникам (Приложение № 3)</w:t>
        </w:r>
      </w:hyperlink>
      <w:r>
        <w:rPr/>
        <w:t>.</w:t>
      </w:r>
    </w:p>
    <w:p>
      <w:pPr>
        <w:pStyle w:val="Style27"/>
        <w:keepNext w:val="true"/>
        <w:rPr/>
      </w:pPr>
      <w:r>
        <w:rPr/>
        <w:t>Генеральный подрядчик:</w:t>
      </w:r>
    </w:p>
    <w:p>
      <w:pPr>
        <w:pStyle w:val="Style28"/>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8"/>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8"/>
        <w:rPr/>
      </w:pPr>
      <w:r>
        <w:rPr/>
        <w:t>в рамках остальных специальных требований и квалификационных требований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r>
          <w:rPr>
            <w:rStyle w:val="Style14"/>
          </w:rPr>
          <w:t>Приложение № 4</w:t>
        </w:r>
      </w:hyperlink>
      <w:r>
        <w:rPr/>
        <w:t>).</w:t>
      </w:r>
    </w:p>
    <w:p>
      <w:pPr>
        <w:pStyle w:val="Style27"/>
        <w:keepNext w:val="true"/>
        <w:rPr/>
      </w:pPr>
      <w:r>
        <w:rPr/>
        <w:t>Каждый субподрядчик из привлекаемых Генеральным подрядчиком должен отвечать:</w:t>
      </w:r>
    </w:p>
    <w:p>
      <w:pPr>
        <w:pStyle w:val="Style28"/>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8"/>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8"/>
        <w:rPr/>
      </w:pPr>
      <w:r>
        <w:rPr/>
        <w:t>квалификационным требованиям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w:t>
      </w:r>
    </w:p>
    <w:p>
      <w:pPr>
        <w:pStyle w:val="Style31"/>
        <w:ind w:left="1134" w:hanging="0"/>
        <w:rPr/>
      </w:pPr>
      <w:bookmarkStart w:id="101" w:name="_Ref125368863"/>
      <w:r>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101"/>
      <w:r>
        <w:rPr/>
        <w:t>в соответствии с Планом распределения объемов поставки продукции (форма 10) (</w:t>
      </w:r>
      <w:hyperlink w:anchor="Прил04_ФормыЗаявки">
        <w:r>
          <w:rPr>
            <w:rStyle w:val="Style14"/>
          </w:rPr>
          <w:t>Приложение № 4</w:t>
        </w:r>
      </w:hyperlink>
      <w:r>
        <w:rPr/>
        <w:t>).</w:t>
      </w:r>
    </w:p>
    <w:p>
      <w:pPr>
        <w:pStyle w:val="Style27"/>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4"/>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7"/>
        <w:rPr/>
      </w:pPr>
      <w:bookmarkStart w:id="102"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2"/>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8.5</w:t>
      </w:r>
      <w:r>
        <w:rPr/>
        <w:fldChar w:fldCharType="end"/>
      </w:r>
      <w:r>
        <w:rPr/>
        <w:t xml:space="preserve"> </w:t>
      </w:r>
      <w:hyperlink w:anchor="Прил03_ТребованияУчастникам">
        <w:r>
          <w:rPr>
            <w:rStyle w:val="Style14"/>
          </w:rPr>
          <w:t>Требований к Участникам (Приложение № 3)</w:t>
        </w:r>
      </w:hyperlink>
      <w:r>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5"/>
        <w:rPr/>
      </w:pPr>
      <w:bookmarkStart w:id="103" w:name="__RefHeading___Toc97498_534302689"/>
      <w:bookmarkStart w:id="104" w:name="_Ref125361211"/>
      <w:bookmarkStart w:id="105" w:name="_Ref125367098"/>
      <w:bookmarkStart w:id="106" w:name="_Ref125367107"/>
      <w:bookmarkStart w:id="107" w:name="_Ref125367974"/>
      <w:bookmarkStart w:id="108" w:name="_Toc229567040"/>
      <w:bookmarkEnd w:id="103"/>
      <w:r>
        <w:rPr/>
        <w:t>Порядок проведения закупки</w:t>
      </w:r>
      <w:bookmarkEnd w:id="104"/>
      <w:bookmarkEnd w:id="105"/>
      <w:bookmarkEnd w:id="106"/>
      <w:bookmarkEnd w:id="107"/>
      <w:bookmarkEnd w:id="108"/>
    </w:p>
    <w:p>
      <w:pPr>
        <w:pStyle w:val="Style26"/>
        <w:rPr/>
      </w:pPr>
      <w:bookmarkStart w:id="109" w:name="__RefHeading___Toc97500_534302689"/>
      <w:bookmarkStart w:id="110" w:name="_Ref126141932"/>
      <w:bookmarkStart w:id="111" w:name="_Toc229567041"/>
      <w:bookmarkEnd w:id="109"/>
      <w:r>
        <w:rPr/>
        <w:t>Общий порядок проведения закупки</w:t>
      </w:r>
      <w:bookmarkEnd w:id="110"/>
      <w:bookmarkEnd w:id="111"/>
    </w:p>
    <w:p>
      <w:pPr>
        <w:pStyle w:val="Style27"/>
        <w:keepNext w:val="true"/>
        <w:spacing w:before="120" w:after="120"/>
        <w:rPr/>
      </w:pPr>
      <w:r>
        <w:rPr/>
        <w:t>Закупка проводится в следующем порядке:</w:t>
      </w:r>
    </w:p>
    <w:tbl>
      <w:tblPr>
        <w:tblStyle w:val="af6"/>
        <w:tblW w:w="14003"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428"/>
        <w:gridCol w:w="3333"/>
        <w:gridCol w:w="1109"/>
        <w:gridCol w:w="2226"/>
        <w:gridCol w:w="2409"/>
        <w:gridCol w:w="2267"/>
        <w:gridCol w:w="2230"/>
      </w:tblGrid>
      <w:tr>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pPr>
              <w:pStyle w:val="Style31"/>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574" w:type="dxa"/>
            <w:gridSpan w:val="6"/>
            <w:tcBorders>
              <w:right w:val="nil"/>
            </w:tcBorders>
          </w:tcPr>
          <w:p>
            <w:pPr>
              <w:pStyle w:val="Style31"/>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68" w:type="dxa"/>
            <w:gridSpan w:val="3"/>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_Ref130394802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restart"/>
            <w:tcBorders>
              <w:right w:val="nil"/>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3" w:type="dxa"/>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5"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9"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vAlign w:val="bottom"/>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44" w:type="dxa"/>
            <w:gridSpan w:val="5"/>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заявкам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_Ref130221619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0" w:type="dxa"/>
            <w:vMerge w:val="restart"/>
            <w:tcBorders>
              <w:right w:val="nil"/>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3" w:type="dxa"/>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5"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(предоставление</w:t>
              <w:br/>
              <w:t>национального режима / запрета, ограничения)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68" w:type="dxa"/>
            <w:gridSpan w:val="3"/>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Переторжка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_Ref127536359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9"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rHeight w:val="881" w:hRule="atLeast"/>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3" w:type="dxa"/>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5"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077" w:type="dxa"/>
            <w:gridSpan w:val="4"/>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u w:val="single"/>
              </w:rPr>
            </w:pPr>
            <w:r>
              <w:rPr>
                <w:rFonts w:eastAsia="Wingdings 3" w:cs="Wingdings 3" w:ascii="Wingdings 3" w:hAnsi="Wingdings 3"/>
                <w:bCs/>
                <w:kern w:val="0"/>
                <w:sz w:val="24"/>
                <w:szCs w:val="24"/>
                <w:u w:val="single"/>
                <w:lang w:val="ru-RU" w:eastAsia="en-US" w:bidi="ar-SA"/>
              </w:rPr>
              <w:sym w:font="Wingdings 3" w:char="f0d4"/>
            </w:r>
          </w:p>
        </w:tc>
        <w:tc>
          <w:tcPr>
            <w:tcW w:w="4442"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_Ref138232981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1"/>
              <w:widowControl w:val="false"/>
              <w:suppressAutoHyphens w:val="true"/>
              <w:spacing w:before="40" w:after="40"/>
              <w:jc w:val="center"/>
              <w:rPr>
                <w:bCs/>
                <w:sz w:val="24"/>
                <w:szCs w:val="24"/>
              </w:rPr>
            </w:pPr>
            <w:r>
              <w:rPr>
                <w:bCs/>
                <w:sz w:val="24"/>
                <w:szCs w:val="24"/>
              </w:rPr>
            </w:r>
          </w:p>
        </w:tc>
        <w:tc>
          <w:tcPr>
            <w:tcW w:w="4635"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Проведение преддоговорных переговоров</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_Ref125552570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4497" w:type="dxa"/>
            <w:gridSpan w:val="2"/>
            <w:tcBorders>
              <w:right w:val="nil"/>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w:t>
              <w:br/>
              <w:t>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6"/>
        <w:rPr/>
      </w:pPr>
      <w:bookmarkStart w:id="112" w:name="__RefHeading___Toc97502_534302689"/>
      <w:bookmarkStart w:id="113" w:name="_Ref130286532"/>
      <w:bookmarkStart w:id="114" w:name="_Toc229567042"/>
      <w:bookmarkEnd w:id="112"/>
      <w:r>
        <w:rPr/>
        <w:t>Официальное размещение Извещения и Документации о закупке</w:t>
      </w:r>
      <w:bookmarkEnd w:id="113"/>
      <w:bookmarkEnd w:id="114"/>
    </w:p>
    <w:p>
      <w:pPr>
        <w:pStyle w:val="Style27"/>
        <w:rPr/>
      </w:pPr>
      <w:r>
        <w:rPr/>
        <w:t>Извещение и Документация о закупке официально размещены на ЭП и доступны для ознакомления без взимания платы. Иные публикации не влекут для Организатора никаких последствий.</w:t>
      </w:r>
    </w:p>
    <w:p>
      <w:pPr>
        <w:pStyle w:val="Style27"/>
        <w:rPr/>
      </w:pPr>
      <w:r>
        <w:rPr/>
        <w:t>При возникновении технических или иных неполадок, блокирующих доступ к ЭП в течение более чем 1 (одного) рабочего дня, информация размещается на официальном сайте Заказчика с последующим размещением ее на ЭП в течение 1 (одного) рабочего дня со дня устранения указанных неполадок.</w:t>
      </w:r>
    </w:p>
    <w:p>
      <w:pPr>
        <w:pStyle w:val="Style27"/>
        <w:rPr/>
      </w:pPr>
      <w:bookmarkStart w:id="115" w:name="_Ref125362785"/>
      <w:r>
        <w:rPr/>
        <w:t>Порядок получения информации через ЭП определяется Регламентом ЭП, с использованием которой проводится закупка.</w:t>
      </w:r>
      <w:bookmarkEnd w:id="115"/>
    </w:p>
    <w:p>
      <w:pPr>
        <w:pStyle w:val="Style27"/>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6"/>
        <w:rPr/>
      </w:pPr>
      <w:bookmarkStart w:id="116" w:name="__RefHeading___Toc97504_534302689"/>
      <w:bookmarkStart w:id="117" w:name="_Ref130281199"/>
      <w:bookmarkStart w:id="118" w:name="_Ref130394681"/>
      <w:bookmarkStart w:id="119" w:name="_Toc229567043"/>
      <w:bookmarkEnd w:id="116"/>
      <w:r>
        <w:rPr/>
        <w:t>Подготовка заявки</w:t>
      </w:r>
      <w:bookmarkEnd w:id="117"/>
      <w:bookmarkEnd w:id="118"/>
      <w:bookmarkEnd w:id="119"/>
    </w:p>
    <w:p>
      <w:pPr>
        <w:pStyle w:val="Style27"/>
        <w:rPr/>
      </w:pPr>
      <w:r>
        <w:rPr/>
        <w:t>Участник должен подготовить заявку с учетом требований Документации о закупке.</w:t>
      </w:r>
    </w:p>
    <w:p>
      <w:pPr>
        <w:pStyle w:val="Style27"/>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7"/>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4"/>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4"/>
          </w:rPr>
          <w:t>Приложение № 4</w:t>
        </w:r>
      </w:hyperlink>
      <w:r>
        <w:rPr/>
        <w:t>.</w:t>
      </w:r>
    </w:p>
    <w:p>
      <w:pPr>
        <w:pStyle w:val="Style27"/>
        <w:rPr/>
      </w:pPr>
      <w:bookmarkStart w:id="120" w:name="_Ref130394854"/>
      <w:bookmarkStart w:id="121"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20"/>
      <w:bookmarkEnd w:id="121"/>
    </w:p>
    <w:p>
      <w:pPr>
        <w:pStyle w:val="Style27"/>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4"/>
          </w:rPr>
          <w:t>Приложение № 4</w:t>
        </w:r>
      </w:hyperlink>
      <w:r>
        <w:rPr/>
        <w:t>) может служить основанием для отклонения заявки.</w:t>
      </w:r>
    </w:p>
    <w:p>
      <w:pPr>
        <w:pStyle w:val="Style27"/>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7"/>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7"/>
        <w:rPr/>
      </w:pPr>
      <w:bookmarkStart w:id="122" w:name="_Ref125370700"/>
      <w:bookmarkStart w:id="123"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7"/>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4"/>
          </w:rPr>
          <w:t>Техническими требованиями (Приложение № 1)</w:t>
        </w:r>
      </w:hyperlink>
      <w:r>
        <w:rPr/>
        <w:t xml:space="preserve"> и </w:t>
      </w:r>
      <w:hyperlink w:anchor="Прил02_ПроектДоговора">
        <w:r>
          <w:rPr>
            <w:rStyle w:val="Style14"/>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2"/>
      <w:bookmarkEnd w:id="123"/>
    </w:p>
    <w:p>
      <w:pPr>
        <w:pStyle w:val="Style27"/>
        <w:rPr/>
      </w:pPr>
      <w:bookmarkStart w:id="124" w:name="_Ref130379863"/>
      <w:r>
        <w:rPr/>
        <w:t xml:space="preserve">Участник в составе заявки предоставляет по установленной форме Технического предложения (форма 4; </w:t>
      </w:r>
      <w:hyperlink w:anchor="Прил04_ФормыЗаявки">
        <w:r>
          <w:rPr>
            <w:rStyle w:val="Style14"/>
          </w:rPr>
          <w:t>Приложение № 4</w:t>
        </w:r>
      </w:hyperlink>
      <w:r>
        <w:rPr/>
        <w:t xml:space="preserve">) подробное предложение в отношении поставляемой продукции на условиях, указанных в Документации о закупке, в том числе в </w:t>
      </w:r>
      <w:hyperlink w:anchor="Прил01_ТехТребования">
        <w:r>
          <w:rPr>
            <w:rStyle w:val="Style14"/>
          </w:rPr>
          <w:t>Технических требованиях (Приложение № 1)</w:t>
        </w:r>
      </w:hyperlink>
      <w:r>
        <w:rPr/>
        <w:t>.</w:t>
      </w:r>
      <w:bookmarkEnd w:id="124"/>
    </w:p>
    <w:p>
      <w:pPr>
        <w:pStyle w:val="Style27"/>
        <w:rPr/>
      </w:pPr>
      <w:r>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r>
          <w:rPr>
            <w:rStyle w:val="Style14"/>
          </w:rPr>
          <w:t>Технических требованиях (Приложение № 1)</w:t>
        </w:r>
      </w:hyperlink>
      <w:r>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pPr>
        <w:pStyle w:val="Style27"/>
        <w:rPr/>
      </w:pPr>
      <w:r>
        <w:rPr/>
        <w:t xml:space="preserve">Если в </w:t>
      </w:r>
      <w:hyperlink w:anchor="Прил01_ТехТребования">
        <w:r>
          <w:rPr>
            <w:rStyle w:val="Style14"/>
          </w:rPr>
          <w:t>Технических требованиях (Приложение № 1)</w:t>
        </w:r>
      </w:hyperlink>
      <w:r>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r>
          <w:rPr>
            <w:rStyle w:val="Style14"/>
          </w:rPr>
          <w:t>Технических требованиях (Приложение № 1)</w:t>
        </w:r>
      </w:hyperlink>
      <w:r>
        <w:rPr/>
        <w:t>.</w:t>
      </w:r>
    </w:p>
    <w:p>
      <w:pPr>
        <w:pStyle w:val="Style27"/>
        <w:rPr/>
      </w:pPr>
      <w:bookmarkStart w:id="125" w:name="_Ref130379876"/>
      <w:r>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r>
          <w:rPr>
            <w:rStyle w:val="Style14"/>
          </w:rPr>
          <w:t>Техническими требованиями (Приложение № 1)</w:t>
        </w:r>
      </w:hyperlink>
      <w:r>
        <w:rPr/>
        <w:t>.</w:t>
      </w:r>
      <w:bookmarkEnd w:id="125"/>
    </w:p>
    <w:p>
      <w:pPr>
        <w:pStyle w:val="Style27"/>
        <w:rPr/>
      </w:pPr>
      <w:bookmarkStart w:id="126" w:name="_Ref130455500"/>
      <w:r>
        <w:rPr/>
        <w:t>В случае нарушения Участником требований к описанию продукции (пункты </w:t>
      </w:r>
      <w:r>
        <w:rPr/>
        <w:fldChar w:fldCharType="begin"/>
      </w:r>
      <w:r>
        <w:rPr/>
        <w:instrText xml:space="preserve"> REF _Ref130379863 \r \h </w:instrText>
      </w:r>
      <w:r>
        <w:rPr/>
        <w:fldChar w:fldCharType="separate"/>
      </w:r>
      <w:r>
        <w:rPr/>
        <w:t>4.3.10</w:t>
      </w:r>
      <w:r>
        <w:rPr/>
        <w:fldChar w:fldCharType="end"/>
      </w:r>
      <w:r>
        <w:rPr/>
        <w:t xml:space="preserve"> – </w:t>
      </w:r>
      <w:r>
        <w:rPr/>
        <w:fldChar w:fldCharType="begin"/>
      </w:r>
      <w:r>
        <w:rPr/>
        <w:instrText xml:space="preserve"> REF _Ref130379876 \r \h </w:instrText>
      </w:r>
      <w:r>
        <w:rPr/>
        <w:fldChar w:fldCharType="separate"/>
      </w:r>
      <w:r>
        <w:rPr/>
        <w:t>4.3.13</w:t>
      </w:r>
      <w:r>
        <w:rPr/>
        <w:fldChar w:fldCharType="end"/>
      </w:r>
      <w:r>
        <w:rPr/>
        <w:t>) Организатор вправе отклонить заявку такого Участника от дальнейшего участия в закупке.</w:t>
      </w:r>
      <w:bookmarkEnd w:id="126"/>
    </w:p>
    <w:p>
      <w:pPr>
        <w:pStyle w:val="Style27"/>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7"/>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8"/>
        <w:rPr/>
      </w:pPr>
      <w:r>
        <w:rPr/>
        <w:t>внутренние противоречия между различными частями и (или) документами заявки, в том числе по тексту внутри одного документа;</w:t>
      </w:r>
    </w:p>
    <w:p>
      <w:pPr>
        <w:pStyle w:val="Style28"/>
        <w:rPr/>
      </w:pPr>
      <w:bookmarkStart w:id="127" w:name="_Ref125370398"/>
      <w:bookmarkStart w:id="128" w:name="_Ref125714384"/>
      <w:r>
        <w:rPr/>
        <w:t>противоречия между документами заявки и сведениями, указанными Участником в структурированных формах на ЭП.</w:t>
      </w:r>
      <w:bookmarkEnd w:id="127"/>
      <w:bookmarkEnd w:id="128"/>
    </w:p>
    <w:p>
      <w:pPr>
        <w:pStyle w:val="Style27"/>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8"/>
        <w:rPr/>
      </w:pPr>
      <w:r>
        <w:rPr/>
        <w:t>полномочий таких органов / лиц на оформление этих документов;</w:t>
      </w:r>
    </w:p>
    <w:p>
      <w:pPr>
        <w:pStyle w:val="Style28"/>
        <w:rPr/>
      </w:pPr>
      <w:r>
        <w:rPr/>
        <w:t>формы, объема и содержания этих документов.</w:t>
      </w:r>
    </w:p>
    <w:p>
      <w:pPr>
        <w:pStyle w:val="Style27"/>
        <w:keepNext w:val="true"/>
        <w:rPr/>
      </w:pPr>
      <w:r>
        <w:rPr/>
        <w:t>Участник должен подготовить заявку с соблюдением следующих условий:</w:t>
      </w:r>
    </w:p>
    <w:p>
      <w:pPr>
        <w:pStyle w:val="Style28"/>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и т.п.),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8"/>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8"/>
        <w:rPr/>
      </w:pPr>
      <w:r>
        <w:rPr/>
        <w:t>все файлы не должны иметь защиты от их открытия, изменения, копирования их содержимого или их печати;</w:t>
      </w:r>
    </w:p>
    <w:p>
      <w:pPr>
        <w:pStyle w:val="Style28"/>
        <w:rPr/>
      </w:pPr>
      <w:r>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8"/>
        <w:rPr/>
      </w:pPr>
      <w:r>
        <w:rPr/>
        <w:t>если какой-либо документ представлен в нечитаемом виде, данный документ считается непредставленным.</w:t>
      </w:r>
    </w:p>
    <w:p>
      <w:pPr>
        <w:pStyle w:val="Style27"/>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6"/>
        <w:rPr/>
      </w:pPr>
      <w:bookmarkStart w:id="129" w:name="__RefHeading___Toc97506_534302689"/>
      <w:bookmarkStart w:id="130" w:name="_Ref130394802"/>
      <w:bookmarkStart w:id="131" w:name="_Ref125361260"/>
      <w:bookmarkStart w:id="132" w:name="_Ref130394205"/>
      <w:bookmarkStart w:id="133" w:name="_Ref125362071"/>
      <w:bookmarkStart w:id="134" w:name="_Ref125366672"/>
      <w:bookmarkStart w:id="135" w:name="_Toc229567044"/>
      <w:bookmarkStart w:id="136" w:name="_Ref130394785"/>
      <w:bookmarkEnd w:id="129"/>
      <w:r>
        <w:rPr/>
        <w:t>Разъяснение Документации о закупке</w:t>
      </w:r>
      <w:bookmarkEnd w:id="130"/>
      <w:bookmarkEnd w:id="131"/>
      <w:bookmarkEnd w:id="132"/>
      <w:bookmarkEnd w:id="133"/>
      <w:bookmarkEnd w:id="134"/>
      <w:bookmarkEnd w:id="135"/>
      <w:bookmarkEnd w:id="136"/>
    </w:p>
    <w:p>
      <w:pPr>
        <w:pStyle w:val="Style27"/>
        <w:rPr/>
      </w:pPr>
      <w:r>
        <w:rPr/>
        <w:t>Участники вправе обратиться к Организатору за разъяснениями Документации о закупке.</w:t>
      </w:r>
    </w:p>
    <w:p>
      <w:pPr>
        <w:pStyle w:val="Style27"/>
        <w:rPr/>
      </w:pPr>
      <w:r>
        <w:rPr/>
        <w:t>Запросы подаются в соответствии с Регламентами и инструкциями Оператора ЭП, опубликованными на сайте соответствующей ЭП.</w:t>
      </w:r>
    </w:p>
    <w:p>
      <w:pPr>
        <w:pStyle w:val="Style27"/>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7"/>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7"/>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7"/>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4"/>
          </w:rPr>
          <w:t>Проекта договора (Приложения № 2)</w:t>
        </w:r>
      </w:hyperlink>
      <w:r>
        <w:rPr>
          <w:rStyle w:val="Style14"/>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7"/>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6"/>
        <w:rPr/>
      </w:pPr>
      <w:bookmarkStart w:id="137" w:name="__RefHeading___Toc97508_534302689"/>
      <w:bookmarkStart w:id="138" w:name="_Ref125363891"/>
      <w:bookmarkStart w:id="139" w:name="_Ref125362076"/>
      <w:bookmarkStart w:id="140" w:name="_Toc229567045"/>
      <w:bookmarkStart w:id="141" w:name="_Ref125364404"/>
      <w:bookmarkEnd w:id="137"/>
      <w:r>
        <w:rPr/>
        <w:t>Изменения Извещения и (или) Документации о закупке</w:t>
      </w:r>
      <w:bookmarkEnd w:id="138"/>
      <w:bookmarkEnd w:id="139"/>
      <w:bookmarkEnd w:id="140"/>
      <w:bookmarkEnd w:id="141"/>
    </w:p>
    <w:p>
      <w:pPr>
        <w:pStyle w:val="Style27"/>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7"/>
        <w:rPr/>
      </w:pPr>
      <w:bookmarkStart w:id="142" w:name="_Ref125550844"/>
      <w:r>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fldChar w:fldCharType="begin"/>
      </w:r>
      <w:r>
        <w:rPr/>
        <w:instrText xml:space="preserve"> REF _Ref125359973 \r \h </w:instrText>
      </w:r>
      <w:r>
        <w:rPr/>
        <w:fldChar w:fldCharType="separate"/>
      </w:r>
      <w:r>
        <w:rPr/>
        <w:t>1.2</w:t>
      </w:r>
      <w:r>
        <w:rPr/>
        <w:fldChar w:fldCharType="end"/>
      </w:r>
      <w:r>
        <w:rPr/>
        <w:t>) в пределах срока действия заявок и с уведомлением Участников, подавших заявки.</w:t>
      </w:r>
      <w:bookmarkEnd w:id="142"/>
    </w:p>
    <w:p>
      <w:pPr>
        <w:pStyle w:val="Style27"/>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7"/>
        <w:rPr/>
      </w:pPr>
      <w:bookmarkStart w:id="143" w:name="_Hlk135643673"/>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t>4.5.2</w:t>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43"/>
      <w:r>
        <w:rPr/>
        <w:t xml:space="preserve"> 4 (четырех) рабочих дней.</w:t>
      </w:r>
    </w:p>
    <w:p>
      <w:pPr>
        <w:pStyle w:val="Style27"/>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6"/>
        <w:rPr/>
      </w:pPr>
      <w:bookmarkStart w:id="144" w:name="__RefHeading___Toc97510_534302689"/>
      <w:bookmarkStart w:id="145" w:name="_Ref125362119"/>
      <w:bookmarkStart w:id="146" w:name="_Toc229567046"/>
      <w:bookmarkEnd w:id="144"/>
      <w:r>
        <w:rPr/>
        <w:t>Подача заявок и их прием</w:t>
      </w:r>
      <w:bookmarkEnd w:id="145"/>
      <w:bookmarkEnd w:id="146"/>
    </w:p>
    <w:p>
      <w:pPr>
        <w:pStyle w:val="Style27"/>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Заявки, поданные позднее установленного срока, не могут быть приняты Организатором, независимо от причин опоздания.</w:t>
      </w:r>
    </w:p>
    <w:p>
      <w:pPr>
        <w:pStyle w:val="Style27"/>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7"/>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7"/>
        <w:rPr/>
      </w:pPr>
      <w:r>
        <w:rPr/>
        <w:t xml:space="preserve">Заявка должна быть подписана </w:t>
      </w:r>
      <w:bookmarkStart w:id="147" w:name="_Hlk219296949"/>
      <w:r>
        <w:rPr/>
        <w:t xml:space="preserve">усиленной квалифицированной </w:t>
      </w:r>
      <w:bookmarkEnd w:id="147"/>
      <w:r>
        <w:rPr/>
        <w:t>электронной подписью лица, которое является уполномоченным представителем Участника.</w:t>
      </w:r>
    </w:p>
    <w:p>
      <w:pPr>
        <w:pStyle w:val="Style27"/>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7"/>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7"/>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6"/>
        <w:rPr/>
      </w:pPr>
      <w:bookmarkStart w:id="148" w:name="__RefHeading___Toc97512_534302689"/>
      <w:bookmarkStart w:id="149" w:name="_Ref125362130"/>
      <w:bookmarkStart w:id="150" w:name="_Ref125362192"/>
      <w:bookmarkStart w:id="151" w:name="_Ref125363819"/>
      <w:bookmarkStart w:id="152" w:name="_Ref125365136"/>
      <w:bookmarkStart w:id="153" w:name="_Toc229567047"/>
      <w:bookmarkEnd w:id="148"/>
      <w:r>
        <w:rPr/>
        <w:t>Изменение и отзыв заявок</w:t>
      </w:r>
      <w:bookmarkEnd w:id="149"/>
      <w:bookmarkEnd w:id="150"/>
      <w:bookmarkEnd w:id="151"/>
      <w:bookmarkEnd w:id="152"/>
      <w:bookmarkEnd w:id="153"/>
    </w:p>
    <w:p>
      <w:pPr>
        <w:pStyle w:val="Style27"/>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7"/>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7"/>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7"/>
        <w:rPr/>
      </w:pPr>
      <w:r>
        <w:rPr/>
        <w:t>Изменения и отзыв заявки осуществляется посредством функционала ЭП (подробный порядок определяется Регламентом ЭП).</w:t>
      </w:r>
    </w:p>
    <w:p>
      <w:pPr>
        <w:pStyle w:val="Style26"/>
        <w:rPr/>
      </w:pPr>
      <w:bookmarkStart w:id="154" w:name="__RefHeading___Toc97514_534302689"/>
      <w:bookmarkStart w:id="155" w:name="_Toc229567048"/>
      <w:bookmarkStart w:id="156" w:name="_Ref130221619"/>
      <w:bookmarkStart w:id="157" w:name="_Ref125364340"/>
      <w:bookmarkEnd w:id="154"/>
      <w:bookmarkEnd w:id="157"/>
      <w:r>
        <w:rPr/>
        <w:t>Открытие доступа к заявкам</w:t>
      </w:r>
      <w:bookmarkEnd w:id="155"/>
      <w:bookmarkEnd w:id="156"/>
    </w:p>
    <w:p>
      <w:pPr>
        <w:pStyle w:val="Style27"/>
        <w:rPr/>
      </w:pPr>
      <w:r>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7"/>
        <w:rPr/>
      </w:pPr>
      <w:r>
        <w:rPr/>
        <w:t>Оператор ЭП предоставляет Организатору доступ одновременно ко всем поданным заявкам в полном объеме.</w:t>
      </w:r>
    </w:p>
    <w:p>
      <w:pPr>
        <w:pStyle w:val="Style27"/>
        <w:keepNext w:val="true"/>
        <w:rPr/>
      </w:pPr>
      <w:r>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rPr>
        <w:footnoteReference w:id="4"/>
      </w:r>
      <w:r>
        <w:rPr/>
        <w:t>:</w:t>
      </w:r>
    </w:p>
    <w:p>
      <w:pPr>
        <w:pStyle w:val="Style28"/>
        <w:rPr/>
      </w:pPr>
      <w:r>
        <w:rPr/>
        <w:t>дата подписания протокола;</w:t>
      </w:r>
    </w:p>
    <w:p>
      <w:pPr>
        <w:pStyle w:val="Style28"/>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pPr>
      <w:r>
        <w:rPr/>
        <w:t>идентификационные номера заявок Участников, присваиваемые Оператором ЭП;</w:t>
      </w:r>
    </w:p>
    <w:p>
      <w:pPr>
        <w:pStyle w:val="Style28"/>
        <w:rPr/>
      </w:pPr>
      <w:r>
        <w:rPr/>
        <w:t>стоимости заявок (или иное указание на общую стоимость заявки);</w:t>
      </w:r>
    </w:p>
    <w:p>
      <w:pPr>
        <w:pStyle w:val="Style28"/>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31"/>
        <w:ind w:left="1134" w:hanging="0"/>
        <w:rPr/>
      </w:pPr>
      <w:r>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27"/>
        <w:rPr/>
      </w:pPr>
      <w:r>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27"/>
        <w:rPr/>
      </w:pPr>
      <w:r>
        <w:rPr/>
        <w:t>Порядок получения Участниками информации о поступивших заявках через ЭП определяется Регламентом ЭП.</w:t>
      </w:r>
    </w:p>
    <w:p>
      <w:pPr>
        <w:pStyle w:val="Style26"/>
        <w:rPr/>
      </w:pPr>
      <w:bookmarkStart w:id="158" w:name="__RefHeading___Toc97516_534302689"/>
      <w:bookmarkStart w:id="159" w:name="_Ref125362364"/>
      <w:bookmarkStart w:id="160" w:name="_Ref135749133"/>
      <w:bookmarkStart w:id="161" w:name="_Ref125366689"/>
      <w:bookmarkStart w:id="162" w:name="_Ref125364340_Копия_1"/>
      <w:bookmarkStart w:id="163" w:name="_Toc229567049"/>
      <w:bookmarkEnd w:id="158"/>
      <w:bookmarkEnd w:id="162"/>
      <w:r>
        <w:rPr/>
        <w:t>Рассмотрение заявок (отборочная стадия)</w:t>
      </w:r>
      <w:bookmarkEnd w:id="159"/>
      <w:bookmarkEnd w:id="161"/>
      <w:r>
        <w:rPr/>
        <w:t>, в том числе (при необходимости) проведение аккредитации</w:t>
      </w:r>
      <w:bookmarkEnd w:id="160"/>
      <w:bookmarkEnd w:id="163"/>
    </w:p>
    <w:p>
      <w:pPr>
        <w:pStyle w:val="Style27"/>
        <w:rPr/>
      </w:pPr>
      <w:r>
        <w:rPr/>
        <w:t>Дата окончания срока рассмотрения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7"/>
        <w:rPr/>
      </w:pPr>
      <w:r>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Style14"/>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7"/>
        <w:rPr/>
      </w:pPr>
      <w:r>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7"/>
        <w:keepNext w:val="true"/>
        <w:rPr/>
      </w:pPr>
      <w:bookmarkStart w:id="164" w:name="_Ref224839089"/>
      <w:r>
        <w:rPr/>
        <w:t>При выявлении в рамках рассмотрения заявок наличия арифметических ошибок, в том числе:</w:t>
      </w:r>
      <w:bookmarkEnd w:id="164"/>
    </w:p>
    <w:p>
      <w:pPr>
        <w:pStyle w:val="Style28"/>
        <w:rPr/>
      </w:pPr>
      <w:r>
        <w:rPr/>
        <w:t>в результате суммирования единичных расценок;</w:t>
      </w:r>
    </w:p>
    <w:p>
      <w:pPr>
        <w:pStyle w:val="Style28"/>
        <w:rPr/>
      </w:pPr>
      <w:r>
        <w:rPr/>
        <w:t>в итогах умножения единичных расценок на объем продукции;</w:t>
      </w:r>
    </w:p>
    <w:p>
      <w:pPr>
        <w:pStyle w:val="Style28"/>
        <w:rPr/>
      </w:pPr>
      <w:r>
        <w:rPr/>
        <w:t>в вычислении суммы НДС и итоговой стоимости заявки с учетом НДС;</w:t>
      </w:r>
    </w:p>
    <w:p>
      <w:pPr>
        <w:pStyle w:val="Style28"/>
        <w:rPr/>
      </w:pPr>
      <w:r>
        <w:rPr/>
        <w:t>иных внутренних противоречий в составе заявки,</w:t>
      </w:r>
    </w:p>
    <w:p>
      <w:pPr>
        <w:pStyle w:val="Style31"/>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7"/>
        <w:keepNext w:val="true"/>
        <w:rPr/>
      </w:pPr>
      <w:bookmarkStart w:id="165" w:name="_Ref125551456"/>
      <w:r>
        <w:rPr/>
        <w:t>По результатам рассмотрения заявок (проведения отборочной стадии) Закупочная комиссия отклоняет заявки по следующим основаниям:</w:t>
      </w:r>
      <w:bookmarkEnd w:id="165"/>
    </w:p>
    <w:p>
      <w:pPr>
        <w:pStyle w:val="Style28"/>
        <w:rPr/>
      </w:pPr>
      <w:r>
        <w:rPr/>
        <w:t>несоответствие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9"/>
        <w:rPr/>
      </w:pPr>
      <w:r>
        <w:rPr/>
        <w:t>недостоверных сведений</w:t>
      </w:r>
      <w:r>
        <w:rPr>
          <w:rStyle w:val="FootnoteReference"/>
        </w:rPr>
        <w:footnoteReference w:id="6"/>
      </w:r>
      <w:r>
        <w:rPr/>
        <w:t xml:space="preserve"> или намеренно искаженной информации или документов;</w:t>
      </w:r>
    </w:p>
    <w:p>
      <w:pPr>
        <w:pStyle w:val="Style29"/>
        <w:rPr/>
      </w:pPr>
      <w:r>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fldChar w:fldCharType="begin"/>
      </w:r>
      <w:r>
        <w:rPr/>
        <w:instrText xml:space="preserve"> REF _Ref224839089 \r \h </w:instrText>
      </w:r>
      <w:r>
        <w:rPr/>
        <w:fldChar w:fldCharType="separate"/>
      </w:r>
      <w:r>
        <w:rPr/>
        <w:t>4.9.4</w:t>
      </w:r>
      <w:r>
        <w:rPr/>
        <w:fldChar w:fldCharType="end"/>
      </w:r>
      <w:r>
        <w:rPr/>
        <w:t>);</w:t>
      </w:r>
    </w:p>
    <w:p>
      <w:pPr>
        <w:pStyle w:val="Style28"/>
        <w:rPr/>
      </w:pPr>
      <w:r>
        <w:rPr/>
        <w:t>несоответствие Участников требованиям Документации о закупке;</w:t>
      </w:r>
    </w:p>
    <w:p>
      <w:pPr>
        <w:pStyle w:val="Style28"/>
        <w:rPr/>
      </w:pPr>
      <w:r>
        <w:rPr/>
        <w:t>несоответствие привлекаемых субподрядчиков (соисполнителей) требованиям Документации о закупке;</w:t>
      </w:r>
    </w:p>
    <w:p>
      <w:pPr>
        <w:pStyle w:val="Style28"/>
        <w:rPr/>
      </w:pPr>
      <w:r>
        <w:rPr/>
        <w:t>несоответствие предлагаемой продукции требованиям Документации о закупке, в том числе порядка описания такой продукции;</w:t>
      </w:r>
    </w:p>
    <w:p>
      <w:pPr>
        <w:pStyle w:val="Style28"/>
        <w:rPr/>
      </w:pPr>
      <w:r>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8"/>
        <w:rPr/>
      </w:pPr>
      <w:r>
        <w:rPr/>
        <w:t>несоответствие размера, формы, условий и порядка предоставления обеспечения заявки.</w:t>
      </w:r>
    </w:p>
    <w:p>
      <w:pPr>
        <w:pStyle w:val="Style27"/>
        <w:rPr/>
      </w:pPr>
      <w:r>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fldChar w:fldCharType="begin"/>
      </w:r>
      <w:r>
        <w:rPr/>
        <w:instrText xml:space="preserve"> REF _Ref125362430 \r \h </w:instrText>
      </w:r>
      <w:r>
        <w:rPr/>
        <w:fldChar w:fldCharType="separate"/>
      </w:r>
      <w:r>
        <w:rPr/>
        <w:t>4.11</w:t>
      </w:r>
      <w:r>
        <w:rPr/>
        <w:fldChar w:fldCharType="end"/>
      </w:r>
      <w:r>
        <w:rPr/>
        <w:t>). В данном случае оценка и сопоставление заявок, а также их предварительная ранжировка осуществляются в соответствии с подразделами </w:t>
      </w:r>
      <w:r>
        <w:rPr/>
        <w:fldChar w:fldCharType="begin"/>
      </w:r>
      <w:r>
        <w:rPr/>
        <w:instrText xml:space="preserve"> REF _Ref125362626 \w \h </w:instrText>
      </w:r>
      <w:r>
        <w:rPr/>
        <w:fldChar w:fldCharType="separate"/>
      </w:r>
      <w:r>
        <w:rPr/>
        <w:t>4.12</w:t>
      </w:r>
      <w:r>
        <w:rPr/>
        <w:fldChar w:fldCharType="end"/>
      </w:r>
      <w:r>
        <w:rPr/>
        <w:t xml:space="preserve">, </w:t>
      </w:r>
      <w:r>
        <w:rPr/>
        <w:fldChar w:fldCharType="begin"/>
      </w:r>
      <w:r>
        <w:rPr/>
        <w:instrText xml:space="preserve"> REF _Ref130985951 \r \h </w:instrText>
      </w:r>
      <w:r>
        <w:rPr/>
        <w:fldChar w:fldCharType="separate"/>
      </w:r>
      <w:r>
        <w:rPr/>
        <w:t>4.13</w:t>
      </w:r>
      <w:r>
        <w:rPr/>
        <w:fldChar w:fldCharType="end"/>
      </w:r>
      <w:r>
        <w:rPr/>
        <w:t>, на основании представленных в составе заявки документов и сведений (включая стоимость заявки (цену Договора)).</w:t>
      </w:r>
    </w:p>
    <w:p>
      <w:pPr>
        <w:pStyle w:val="Style27"/>
        <w:keepNext w:val="true"/>
        <w:rPr/>
      </w:pPr>
      <w:r>
        <w:rPr/>
        <w:t>Решение Закупочной комиссии по рассмотрению заявок оформляется протоколом, в котором, как минимум, указываются</w:t>
      </w:r>
      <w:r>
        <w:rPr>
          <w:rStyle w:val="FootnoteReference"/>
        </w:rPr>
        <w:footnoteReference w:id="7"/>
      </w:r>
      <w:r>
        <w:rPr/>
        <w:t>:</w:t>
      </w:r>
    </w:p>
    <w:p>
      <w:pPr>
        <w:pStyle w:val="Style28"/>
        <w:rPr/>
      </w:pPr>
      <w:r>
        <w:rPr/>
        <w:t>дата подписания протокола;</w:t>
      </w:r>
    </w:p>
    <w:p>
      <w:pPr>
        <w:pStyle w:val="Style28"/>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pPr>
      <w:r>
        <w:rPr/>
        <w:t>идентификационные номера заявок Участников, присваиваемые Оператором ЭП;</w:t>
      </w:r>
    </w:p>
    <w:p>
      <w:pPr>
        <w:pStyle w:val="Style28"/>
        <w:keepNext w:val="true"/>
        <w:rPr/>
      </w:pPr>
      <w:r>
        <w:rPr/>
        <w:t>результаты рассмотрения заявок с указанием, в том числе:</w:t>
      </w:r>
    </w:p>
    <w:p>
      <w:pPr>
        <w:pStyle w:val="Style29"/>
        <w:rPr/>
      </w:pPr>
      <w:r>
        <w:rPr/>
        <w:t>количества заявок, которые были отклонены;</w:t>
      </w:r>
    </w:p>
    <w:p>
      <w:pPr>
        <w:pStyle w:val="Style29"/>
        <w:rPr/>
      </w:pPr>
      <w:r>
        <w:rPr/>
        <w:t>оснований отклонения каждой заявки с указанием положений Документации о закупке, которым не соответствует такая заявка;</w:t>
      </w:r>
    </w:p>
    <w:p>
      <w:pPr>
        <w:pStyle w:val="Style28"/>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8"/>
        <w:keepNext w:val="true"/>
        <w:rPr/>
      </w:pPr>
      <w:r>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29"/>
        <w:rPr/>
      </w:pPr>
      <w:r>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29"/>
        <w:rPr/>
      </w:pPr>
      <w:r>
        <w:rPr/>
        <w:t>порядкового номера каждой допущенной заявки в предварительной ранжировке заявок, включая стоимость заявки (цену Договора);</w:t>
      </w:r>
    </w:p>
    <w:p>
      <w:pPr>
        <w:pStyle w:val="Style28"/>
        <w:rPr/>
      </w:pPr>
      <w:bookmarkStart w:id="166" w:name="_Ref125551524"/>
      <w:r>
        <w:rPr/>
        <w:t>решение о проведении или непроведении переторжки,</w:t>
      </w:r>
      <w:bookmarkEnd w:id="166"/>
    </w:p>
    <w:p>
      <w:pPr>
        <w:pStyle w:val="Style31"/>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7"/>
        <w:rPr/>
      </w:pPr>
      <w:r>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_Ref130394785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7"/>
        <w:rPr/>
      </w:pPr>
      <w:r>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27"/>
        <w:rPr/>
      </w:pPr>
      <w:r>
        <w:rPr/>
        <w:t>Если основания для отклонения заявки, указанные в пункте </w:t>
      </w:r>
      <w:r>
        <w:rPr/>
        <w:fldChar w:fldCharType="begin"/>
      </w:r>
      <w:r>
        <w:rPr/>
        <w:instrText xml:space="preserve"> REF _Ref125551456 \w \h </w:instrText>
      </w:r>
      <w:r>
        <w:rPr/>
        <w:fldChar w:fldCharType="separate"/>
      </w:r>
      <w:r>
        <w:rPr/>
        <w:t>4.9.5</w:t>
      </w:r>
      <w:r>
        <w:rPr/>
        <w:fldChar w:fldCharType="end"/>
      </w:r>
      <w:r>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26"/>
        <w:rPr/>
      </w:pPr>
      <w:bookmarkStart w:id="167" w:name="__RefHeading___Toc97518_534302689"/>
      <w:bookmarkStart w:id="168" w:name="_Ref125362610"/>
      <w:bookmarkStart w:id="169" w:name="_Ref125362381"/>
      <w:bookmarkStart w:id="170" w:name="_Ref125362425"/>
      <w:bookmarkStart w:id="171" w:name="_Toc229567050"/>
      <w:bookmarkStart w:id="172" w:name="_Ref125362464"/>
      <w:bookmarkEnd w:id="167"/>
      <w:r>
        <w:rPr/>
        <w:t>Дополнительные запросы разъяснений заявок</w:t>
      </w:r>
      <w:bookmarkEnd w:id="168"/>
      <w:bookmarkEnd w:id="169"/>
      <w:bookmarkEnd w:id="170"/>
      <w:bookmarkEnd w:id="171"/>
      <w:bookmarkEnd w:id="172"/>
    </w:p>
    <w:p>
      <w:pPr>
        <w:pStyle w:val="Style27"/>
        <w:rPr/>
      </w:pPr>
      <w:bookmarkStart w:id="173" w:name="_Ref125365611"/>
      <w:r>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73"/>
    </w:p>
    <w:p>
      <w:pPr>
        <w:pStyle w:val="Style28"/>
        <w:keepNext w:val="true"/>
        <w:rPr/>
      </w:pPr>
      <w:r>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9"/>
        <w:rPr/>
      </w:pPr>
      <w:r>
        <w:rPr/>
        <w:t>соответствия Участника требованиям Документации о закупке;</w:t>
      </w:r>
    </w:p>
    <w:p>
      <w:pPr>
        <w:pStyle w:val="Style29"/>
        <w:rPr/>
      </w:pPr>
      <w:r>
        <w:rPr/>
        <w:t>наличия соответствующих полномочий на подписание заявки от имени Участника у лица, подписавшего заявку;</w:t>
      </w:r>
    </w:p>
    <w:p>
      <w:pPr>
        <w:pStyle w:val="Style29"/>
        <w:rPr/>
      </w:pPr>
      <w:r>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_Ref186128193 \r \h </w:instrText>
      </w:r>
      <w:r>
        <w:rPr/>
        <w:fldChar w:fldCharType="separate"/>
      </w:r>
      <w:r>
        <w:rPr/>
        <w:t>4.13</w:t>
      </w:r>
      <w:r>
        <w:rPr/>
        <w:fldChar w:fldCharType="end"/>
      </w:r>
      <w:r>
        <w:rPr/>
        <w:t>)), договорных условий и расчета цены Договора;</w:t>
      </w:r>
    </w:p>
    <w:p>
      <w:pPr>
        <w:pStyle w:val="Style28"/>
        <w:rPr/>
      </w:pPr>
      <w:bookmarkStart w:id="174" w:name="_Ref134702259"/>
      <w:r>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8"/>
        <w:rPr/>
      </w:pPr>
      <w:r>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8"/>
      </w:r>
      <w:r>
        <w:rPr/>
        <w:t>) требованиям Документации о закупке или осуществить оценку и сопоставление заявок.</w:t>
      </w:r>
      <w:bookmarkEnd w:id="174"/>
    </w:p>
    <w:p>
      <w:pPr>
        <w:pStyle w:val="Style27"/>
        <w:rPr/>
      </w:pPr>
      <w:r>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_Ref134702259 \r \h </w:instrText>
      </w:r>
      <w:r>
        <w:rPr/>
        <w:fldChar w:fldCharType="separate"/>
      </w:r>
      <w:r>
        <w:rPr/>
        <w:t>4.10.1б)</w:t>
      </w:r>
      <w:r>
        <w:rPr/>
        <w:fldChar w:fldCharType="end"/>
      </w:r>
      <w:r>
        <w:rPr/>
        <w:t>).</w:t>
      </w:r>
    </w:p>
    <w:p>
      <w:pPr>
        <w:pStyle w:val="Style27"/>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7"/>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7"/>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fldChar w:fldCharType="begin"/>
      </w:r>
      <w:r>
        <w:rPr/>
        <w:instrText xml:space="preserve"> REF _Ref125551456 \w \h </w:instrText>
      </w:r>
      <w:r>
        <w:rPr/>
        <w:fldChar w:fldCharType="separate"/>
      </w:r>
      <w:r>
        <w:rPr/>
        <w:t>4.9.5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4.10.1</w:t>
      </w:r>
      <w:r>
        <w:rPr/>
        <w:fldChar w:fldCharType="end"/>
      </w:r>
      <w:r>
        <w:rPr/>
        <w:t>.</w:t>
      </w:r>
    </w:p>
    <w:p>
      <w:pPr>
        <w:pStyle w:val="Style27"/>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7"/>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7"/>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fldChar w:fldCharType="begin"/>
      </w:r>
      <w:r>
        <w:rPr/>
        <w:instrText xml:space="preserve"> REF _Ref125551456 \w \h </w:instrText>
      </w:r>
      <w:r>
        <w:rPr/>
        <w:fldChar w:fldCharType="separate"/>
      </w:r>
      <w:r>
        <w:rPr/>
        <w:t>4.9.5</w:t>
      </w:r>
      <w:r>
        <w:rPr/>
        <w:fldChar w:fldCharType="end"/>
      </w:r>
      <w:r>
        <w:rPr/>
        <w:t>.</w:t>
      </w:r>
    </w:p>
    <w:p>
      <w:pPr>
        <w:pStyle w:val="Style26"/>
        <w:rPr/>
      </w:pPr>
      <w:bookmarkStart w:id="175" w:name="__RefHeading___Toc97520_534302689"/>
      <w:bookmarkStart w:id="176" w:name="_Ref127536359"/>
      <w:bookmarkStart w:id="177" w:name="_Toc229567051"/>
      <w:bookmarkStart w:id="178" w:name="_Ref125362430"/>
      <w:bookmarkStart w:id="179" w:name="_Ref125362537"/>
      <w:bookmarkEnd w:id="175"/>
      <w:r>
        <w:rPr/>
        <w:t>Переторжка</w:t>
      </w:r>
      <w:bookmarkEnd w:id="176"/>
      <w:bookmarkEnd w:id="177"/>
      <w:bookmarkEnd w:id="178"/>
      <w:bookmarkEnd w:id="179"/>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27"/>
        <w:rPr/>
      </w:pPr>
      <w:r>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27"/>
        <w:keepNext w:val="true"/>
        <w:rPr/>
      </w:pPr>
      <w:r>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28"/>
        <w:rPr/>
      </w:pPr>
      <w:r>
        <w:rPr/>
        <w:t>стоимость заявки (цена Договора) / цена за единицу продукции;</w:t>
      </w:r>
    </w:p>
    <w:p>
      <w:pPr>
        <w:pStyle w:val="Style28"/>
        <w:rPr/>
      </w:pPr>
      <w:r>
        <w:rPr/>
        <w:t>сроки поставки продукции;</w:t>
      </w:r>
    </w:p>
    <w:p>
      <w:pPr>
        <w:pStyle w:val="Style28"/>
        <w:rPr/>
      </w:pPr>
      <w:r>
        <w:rPr/>
        <w:t>условия оплаты;</w:t>
      </w:r>
    </w:p>
    <w:p>
      <w:pPr>
        <w:pStyle w:val="Style28"/>
        <w:rPr/>
      </w:pPr>
      <w:r>
        <w:rPr/>
        <w:t>иные условия, которые являются критериями оценки заявок.</w:t>
      </w:r>
    </w:p>
    <w:p>
      <w:pPr>
        <w:pStyle w:val="Style31"/>
        <w:ind w:left="1134" w:hanging="0"/>
        <w:rPr/>
      </w:pPr>
      <w:r>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27"/>
        <w:rPr/>
      </w:pPr>
      <w:r>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27"/>
        <w:rPr/>
      </w:pPr>
      <w:r>
        <w:rPr/>
        <w:t>В переторжке может принять участие любой Участник, заявка которого не была отклонена по результатам рассмотрения заявок.</w:t>
      </w:r>
    </w:p>
    <w:p>
      <w:pPr>
        <w:pStyle w:val="Style27"/>
        <w:rPr/>
      </w:pPr>
      <w:r>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r>
          <w:rPr>
            <w:rStyle w:val="Style14"/>
          </w:rPr>
          <w:t>Приложение № 4</w:t>
        </w:r>
      </w:hyperlink>
      <w:r>
        <w:rPr/>
        <w:t>).</w:t>
      </w:r>
    </w:p>
    <w:p>
      <w:pPr>
        <w:pStyle w:val="Style27"/>
        <w:rPr/>
      </w:pPr>
      <w:r>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27"/>
        <w:rPr/>
      </w:pPr>
      <w:r>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27"/>
        <w:rPr/>
      </w:pPr>
      <w:r>
        <w:rPr/>
        <w:t>Участник не вправе изменять и (или) отзывать поданные предложения на переторжку после окончания ее проведения.</w:t>
      </w:r>
    </w:p>
    <w:p>
      <w:pPr>
        <w:pStyle w:val="Style27"/>
        <w:rPr/>
      </w:pPr>
      <w:r>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27"/>
        <w:rPr/>
      </w:pPr>
      <w:r>
        <w:rPr/>
        <w:t>Процедура переторжки проводится на ЭП в порядке, предусмотренном настоящим подразделом и Регламентом ЭП.</w:t>
      </w:r>
    </w:p>
    <w:p>
      <w:pPr>
        <w:pStyle w:val="Style27"/>
        <w:keepNext w:val="true"/>
        <w:rPr/>
      </w:pPr>
      <w:r>
        <w:rPr/>
        <w:t>В зависимости от правил, предусмотренных Регламентом ЭП, переторжка может проводиться:</w:t>
      </w:r>
    </w:p>
    <w:p>
      <w:pPr>
        <w:pStyle w:val="Style28"/>
        <w:rPr/>
      </w:pPr>
      <w:r>
        <w:rPr/>
        <w:t>в заочной форме путем однократной подачи предложения на переторжку к установленному сроку;</w:t>
      </w:r>
    </w:p>
    <w:p>
      <w:pPr>
        <w:pStyle w:val="Style28"/>
        <w:rPr/>
      </w:pPr>
      <w:r>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27"/>
        <w:rPr/>
      </w:pPr>
      <w:r>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27"/>
        <w:rPr/>
      </w:pPr>
      <w:r>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27"/>
        <w:rPr/>
      </w:pPr>
      <w:bookmarkStart w:id="180" w:name="_Ref136245191"/>
      <w:r>
        <w:rPr/>
        <w:t>При заочной форме переторжки Участник вместе с предложением на переторжку размещает на ЭП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w:t>
      </w:r>
      <w:bookmarkEnd w:id="180"/>
    </w:p>
    <w:p>
      <w:pPr>
        <w:pStyle w:val="Style27"/>
        <w:rPr/>
      </w:pPr>
      <w:r>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fldChar w:fldCharType="begin"/>
      </w:r>
      <w:r>
        <w:rPr/>
        <w:instrText xml:space="preserve"> REF _Ref138232981 \r \h </w:instrText>
      </w:r>
      <w:r>
        <w:rPr/>
        <w:fldChar w:fldCharType="separate"/>
      </w:r>
      <w:r>
        <w:rPr/>
        <w:t>5.2</w:t>
      </w:r>
      <w:r>
        <w:rPr/>
        <w:fldChar w:fldCharType="end"/>
      </w:r>
      <w:r>
        <w:rPr/>
        <w:t>,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27"/>
        <w:keepNext w:val="true"/>
        <w:rPr/>
      </w:pPr>
      <w:bookmarkStart w:id="181" w:name="_Ref136244167"/>
      <w:r>
        <w:rPr/>
        <w:t>Документы заявки, подлежащие корректировке по результатам переторжки:</w:t>
      </w:r>
      <w:bookmarkEnd w:id="181"/>
    </w:p>
    <w:p>
      <w:pPr>
        <w:pStyle w:val="Style28"/>
        <w:rPr/>
      </w:pPr>
      <w:r>
        <w:rPr/>
        <w:t>Письмо о подаче оферты (форма 2) (</w:t>
      </w:r>
      <w:hyperlink w:anchor="Прил04_ФормыЗаявки">
        <w:r>
          <w:rPr>
            <w:rStyle w:val="Style14"/>
          </w:rPr>
          <w:t>Приложение № 4</w:t>
        </w:r>
      </w:hyperlink>
      <w:r>
        <w:rPr/>
        <w:t>);</w:t>
      </w:r>
    </w:p>
    <w:p>
      <w:pPr>
        <w:pStyle w:val="Style28"/>
        <w:rPr/>
      </w:pPr>
      <w:r>
        <w:rPr/>
        <w:t>Коммерческое предложение (форма 3) (</w:t>
      </w:r>
      <w:hyperlink w:anchor="Прил04_ФормыЗаявки">
        <w:r>
          <w:rPr>
            <w:rStyle w:val="Style14"/>
          </w:rPr>
          <w:t>Приложение № 4</w:t>
        </w:r>
      </w:hyperlink>
      <w:r>
        <w:rPr/>
        <w:t xml:space="preserve">); также дополнительно предоставляется подтверждающая документация, составленная в соответствии с </w:t>
      </w:r>
      <w:hyperlink w:anchor="Прил01_ТехТребования">
        <w:r>
          <w:rPr>
            <w:rStyle w:val="Style14"/>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28"/>
        <w:rPr/>
      </w:pPr>
      <w:r>
        <w:rPr/>
        <w:t>План распределения объемов поставки продукции (форма 10) (</w:t>
      </w:r>
      <w:hyperlink w:anchor="Прил04_ФормыЗаявки">
        <w:r>
          <w:rPr>
            <w:rStyle w:val="Style14"/>
          </w:rPr>
          <w:t>Приложение № 4</w:t>
        </w:r>
      </w:hyperlink>
      <w:r>
        <w:rPr/>
        <w:t>) – только если заявка подана Генеральным подрядчиком;</w:t>
      </w:r>
    </w:p>
    <w:p>
      <w:pPr>
        <w:pStyle w:val="Style28"/>
        <w:rPr/>
      </w:pPr>
      <w:bookmarkStart w:id="182" w:name="_Ref130376111"/>
      <w:r>
        <w:rPr/>
        <w:t>иной документ, указанный в протоколе закупки (которым назначена переторжка), связанный с предметом проводимой переторжки.</w:t>
      </w:r>
      <w:bookmarkEnd w:id="182"/>
    </w:p>
    <w:p>
      <w:pPr>
        <w:pStyle w:val="Style27"/>
        <w:rPr/>
      </w:pPr>
      <w:r>
        <w:rPr/>
        <w:t>Если Участник, принявший участие в переторжке в заочной форме, не предоставил документы, в соответствии с пунктом </w:t>
      </w:r>
      <w:r>
        <w:rPr/>
        <w:fldChar w:fldCharType="begin"/>
      </w:r>
      <w:r>
        <w:rPr/>
        <w:instrText xml:space="preserve"> REF _Ref136245191 \r \h </w:instrText>
      </w:r>
      <w:r>
        <w:rPr/>
        <w:fldChar w:fldCharType="separate"/>
      </w:r>
      <w:r>
        <w:rPr/>
        <w:t>4.11.15</w:t>
      </w:r>
      <w:r>
        <w:rPr/>
        <w:fldChar w:fldCharType="end"/>
      </w:r>
      <w:r>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27"/>
        <w:rPr/>
      </w:pPr>
      <w:r>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27"/>
        <w:rPr/>
      </w:pPr>
      <w:r>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26"/>
        <w:rPr/>
      </w:pPr>
      <w:bookmarkStart w:id="183" w:name="__RefHeading___Toc97522_534302689"/>
      <w:bookmarkStart w:id="184" w:name="_Ref125365335"/>
      <w:bookmarkStart w:id="185" w:name="_Ref125369041"/>
      <w:bookmarkStart w:id="186" w:name="_Ref125369308"/>
      <w:bookmarkStart w:id="187" w:name="_Ref125365519"/>
      <w:bookmarkStart w:id="188" w:name="_Ref125362626"/>
      <w:bookmarkStart w:id="189" w:name="_Ref125366534"/>
      <w:bookmarkStart w:id="190" w:name="_Toc229567052"/>
      <w:bookmarkEnd w:id="183"/>
      <w:r>
        <w:rPr/>
        <w:t>Оценка и сопоставление заявок</w:t>
      </w:r>
      <w:bookmarkEnd w:id="184"/>
      <w:bookmarkEnd w:id="185"/>
      <w:bookmarkEnd w:id="186"/>
      <w:bookmarkEnd w:id="187"/>
      <w:bookmarkEnd w:id="188"/>
      <w:bookmarkEnd w:id="189"/>
      <w:bookmarkEnd w:id="190"/>
    </w:p>
    <w:p>
      <w:pPr>
        <w:pStyle w:val="Style27"/>
        <w:rPr/>
      </w:pPr>
      <w:r>
        <w:rPr/>
        <w:t>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_Ref125362364 \w \h </w:instrText>
      </w:r>
      <w:r>
        <w:rPr/>
        <w:fldChar w:fldCharType="separate"/>
      </w:r>
      <w:r>
        <w:rPr/>
        <w:t>4.9</w:t>
      </w:r>
      <w:r>
        <w:rPr/>
        <w:fldChar w:fldCharType="end"/>
      </w:r>
      <w:r>
        <w:rPr/>
        <w:t xml:space="preserve">), осуществляется в соответствии с </w:t>
      </w:r>
      <w:hyperlink w:anchor="Прил08_ПорядокОценки">
        <w:r>
          <w:rPr>
            <w:rStyle w:val="Style14"/>
          </w:rPr>
          <w:t>Порядком и критериями оценки и сопоставления заявок (Приложение № 8)</w:t>
        </w:r>
      </w:hyperlink>
      <w:r>
        <w:rPr/>
        <w:t>.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fldChar w:fldCharType="begin"/>
      </w:r>
      <w:r>
        <w:rPr/>
        <w:instrText xml:space="preserve"> REF _Ref125362430 \r \h </w:instrText>
      </w:r>
      <w:r>
        <w:rPr/>
        <w:fldChar w:fldCharType="separate"/>
      </w:r>
      <w:r>
        <w:rPr/>
        <w:t>4.11</w:t>
      </w:r>
      <w:r>
        <w:rPr/>
        <w:fldChar w:fldCharType="end"/>
      </w:r>
      <w:r>
        <w:rPr/>
        <w:t>), с учетом даты и времени последнего изменения заявки на ЭП, обусловленного переторжкой).</w:t>
      </w:r>
    </w:p>
    <w:p>
      <w:pPr>
        <w:pStyle w:val="Style27"/>
        <w:rPr/>
      </w:pPr>
      <w:r>
        <w:rPr/>
        <w:t xml:space="preserve">Если в соответствии с </w:t>
      </w:r>
      <w:hyperlink w:anchor="Прил08_ПорядокОценки">
        <w:r>
          <w:rPr>
            <w:rStyle w:val="Style14"/>
          </w:rPr>
          <w:t>Порядком и критериями оценки и сопоставления заявок (Приложение № 8)</w:t>
        </w:r>
      </w:hyperlink>
      <w:r>
        <w:rPr/>
        <w:t xml:space="preserve"> предусмотрен единственный ценовой критерий оценки (иные критерии оценки не предусмотрены), 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_Ref135749133 \r \h </w:instrText>
      </w:r>
      <w:r>
        <w:rPr/>
        <w:fldChar w:fldCharType="separate"/>
      </w:r>
      <w:r>
        <w:rPr/>
        <w:t>4.9</w:t>
      </w:r>
      <w:r>
        <w:rPr/>
        <w:fldChar w:fldCharType="end"/>
      </w:r>
      <w:r>
        <w:rPr/>
        <w:t>), осуществляется:</w:t>
      </w:r>
    </w:p>
    <w:p>
      <w:pPr>
        <w:pStyle w:val="Style28"/>
        <w:rPr/>
      </w:pPr>
      <w:r>
        <w:rPr/>
        <w:t>в соответствии с единственным ценовым критерием оценки (критерием выбора Победителя) – стоимость заявки (цена Договора);</w:t>
      </w:r>
    </w:p>
    <w:p>
      <w:pPr>
        <w:pStyle w:val="Style28"/>
        <w:rPr/>
      </w:pPr>
      <w:r>
        <w:rPr/>
        <w:t>в едином базисе без учета НДС;</w:t>
      </w:r>
    </w:p>
    <w:p>
      <w:pPr>
        <w:pStyle w:val="Style28"/>
        <w:rPr/>
      </w:pPr>
      <w:r>
        <w:rP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pPr>
        <w:pStyle w:val="Style27"/>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7"/>
        <w:rPr/>
      </w:pPr>
      <w:r>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27"/>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_Ref130985951 \r \h </w:instrText>
      </w:r>
      <w:r>
        <w:rPr/>
        <w:fldChar w:fldCharType="separate"/>
      </w:r>
      <w:r>
        <w:rPr/>
        <w:t>4.13</w:t>
      </w:r>
      <w:r>
        <w:rPr/>
        <w:fldChar w:fldCharType="end"/>
      </w:r>
      <w:r>
        <w:rPr/>
        <w:t>).</w:t>
      </w:r>
    </w:p>
    <w:p>
      <w:pPr>
        <w:pStyle w:val="Style27"/>
        <w:rPr/>
      </w:pPr>
      <w:r>
        <w:rPr/>
        <w:t>Результаты оценки и сопоставления заявок вносятся в итоговый протокол по результатам закупки.</w:t>
      </w:r>
    </w:p>
    <w:p>
      <w:pPr>
        <w:pStyle w:val="Style26"/>
        <w:rPr/>
      </w:pPr>
      <w:bookmarkStart w:id="191" w:name="__RefHeading___Toc97524_534302689"/>
      <w:bookmarkStart w:id="192" w:name="_Toc229567053"/>
      <w:bookmarkStart w:id="193" w:name="_Ref130985951"/>
      <w:bookmarkStart w:id="194" w:name="_Ref186128193"/>
      <w:bookmarkStart w:id="195" w:name="_Ref132894106"/>
      <w:bookmarkStart w:id="196" w:name="_Ref132894111"/>
      <w:bookmarkStart w:id="197" w:name="_Ref125369991"/>
      <w:bookmarkStart w:id="198" w:name="_Ref125370507"/>
      <w:bookmarkStart w:id="199" w:name="_Ref130458671"/>
      <w:bookmarkStart w:id="200" w:name="_Ref125366064"/>
      <w:bookmarkEnd w:id="191"/>
      <w:r>
        <w:rPr/>
        <w:t>Применение законодательства о национальном режиме</w:t>
      </w:r>
      <w:bookmarkEnd w:id="192"/>
      <w:bookmarkEnd w:id="193"/>
      <w:bookmarkEnd w:id="194"/>
      <w:bookmarkEnd w:id="195"/>
      <w:bookmarkEnd w:id="196"/>
      <w:bookmarkEnd w:id="197"/>
      <w:bookmarkEnd w:id="198"/>
      <w:bookmarkEnd w:id="199"/>
      <w:bookmarkEnd w:id="200"/>
    </w:p>
    <w:p>
      <w:pPr>
        <w:pStyle w:val="Style27"/>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7"/>
        <w:rPr/>
      </w:pPr>
      <w:bookmarkStart w:id="201" w:name="_Ref208480786"/>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201"/>
    </w:p>
    <w:p>
      <w:pPr>
        <w:pStyle w:val="Style27"/>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4.9).</w:t>
      </w:r>
    </w:p>
    <w:p>
      <w:pPr>
        <w:pStyle w:val="Style27"/>
        <w:rPr/>
      </w:pPr>
      <w:bookmarkStart w:id="202" w:name="_Ref19210109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w:t>
      </w:r>
      <w:bookmarkStart w:id="203" w:name="_Hlk198907172"/>
      <w:r>
        <w:rPr/>
        <w:t>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4.12</w:t>
      </w:r>
      <w:r>
        <w:rPr/>
        <w:fldChar w:fldCharType="end"/>
      </w:r>
      <w:r>
        <w:rPr/>
        <w:t>), осуществляется снижение</w:t>
      </w:r>
      <w:r>
        <w:rPr>
          <w:rStyle w:val="FootnoteReference"/>
        </w:rPr>
        <w:footnoteReference w:id="9"/>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w:t>
      </w:r>
      <w:bookmarkStart w:id="204" w:name="_Hlk198901350"/>
      <w:r>
        <w:rPr/>
        <w:t>(в том числе поставляемых при выполнении закупаемых работ, оказании закупаемых услуг))</w:t>
      </w:r>
      <w:bookmarkEnd w:id="204"/>
      <w:r>
        <w:rPr/>
        <w:t>, при условии наличия допущенной заявки с иностранной продукцией (на поставку товара иностранного происхождения)</w:t>
      </w:r>
      <w:bookmarkEnd w:id="203"/>
      <w:r>
        <w:rPr/>
        <w:t>.</w:t>
      </w:r>
      <w:bookmarkEnd w:id="202"/>
    </w:p>
    <w:p>
      <w:pPr>
        <w:pStyle w:val="Style27"/>
        <w:rPr/>
      </w:pPr>
      <w:bookmarkStart w:id="205" w:name="__RefNumPara__57527_534302689"/>
      <w:bookmarkStart w:id="206" w:name="_Ref192700787"/>
      <w:bookmarkStart w:id="207" w:name="_Ref196303561"/>
      <w:bookmarkEnd w:id="205"/>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206"/>
      <w:bookmarkEnd w:id="207"/>
    </w:p>
    <w:p>
      <w:pPr>
        <w:pStyle w:val="Style27"/>
        <w:rPr/>
      </w:pPr>
      <w:r>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_Ref208480786 \r \h </w:instrText>
      </w:r>
      <w:r>
        <w:rPr/>
        <w:fldChar w:fldCharType="separate"/>
      </w:r>
      <w:r>
        <w:rPr/>
        <w:t>4.13.2</w:t>
      </w:r>
      <w:r>
        <w:rPr/>
        <w:fldChar w:fldCharType="end"/>
      </w:r>
      <w:r>
        <w:rPr/>
        <w:t> – </w:t>
      </w:r>
      <w:r>
        <w:rPr/>
        <w:fldChar w:fldCharType="begin"/>
      </w:r>
      <w:r>
        <w:rPr/>
        <w:instrText xml:space="preserve"> REF _Ref192700787 \r \h </w:instrText>
      </w:r>
      <w:r>
        <w:rPr/>
        <w:fldChar w:fldCharType="separate"/>
      </w:r>
      <w:r>
        <w:rPr/>
        <w:t>4.13.5</w:t>
      </w:r>
      <w:r>
        <w:rPr/>
        <w:fldChar w:fldCharType="end"/>
      </w:r>
      <w:r>
        <w:rPr/>
        <w:t>), установлены в Структуре НМЦ (в составе Коммерческого предложения (форма 3) (</w:t>
      </w:r>
      <w:hyperlink w:anchor="Прил04_ФормыЗаявки">
        <w:r>
          <w:rPr>
            <w:rStyle w:val="Style14"/>
          </w:rPr>
          <w:t>Приложение № 4</w:t>
        </w:r>
      </w:hyperlink>
      <w:r>
        <w:rPr/>
        <w:t xml:space="preserve">), </w:t>
      </w:r>
      <w:bookmarkStart w:id="208" w:name="_Hlk207281039"/>
      <w:r>
        <w:rPr/>
        <w:t>а также в Технических требованиях (Приложение №1) в части установления требований к подтверждающим документам</w:t>
      </w:r>
      <w:bookmarkEnd w:id="208"/>
      <w:r>
        <w:rPr/>
        <w:t>.</w:t>
      </w:r>
    </w:p>
    <w:p>
      <w:pPr>
        <w:pStyle w:val="Style27"/>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8"/>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8"/>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7"/>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7"/>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7"/>
        <w:rPr/>
      </w:pPr>
      <w:bookmarkStart w:id="209" w:name="_Hlk191561456"/>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209"/>
      <w:r>
        <w:rPr/>
        <w:t>.</w:t>
      </w:r>
    </w:p>
    <w:p>
      <w:pPr>
        <w:pStyle w:val="Style27"/>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7"/>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7"/>
        <w:numPr>
          <w:ilvl w:val="0"/>
          <w:numId w:val="0"/>
        </w:numPr>
        <w:ind w:left="0" w:hanging="0"/>
        <w:outlineLvl w:val="9"/>
        <w:rPr/>
      </w:pPr>
      <w:r>
        <w:rPr/>
      </w:r>
    </w:p>
    <w:p>
      <w:pPr>
        <w:pStyle w:val="Style26"/>
        <w:rPr/>
      </w:pPr>
      <w:bookmarkStart w:id="210" w:name="__RefHeading___Toc97526_534302689"/>
      <w:bookmarkStart w:id="211" w:name="_Ref125366091"/>
      <w:bookmarkStart w:id="212" w:name="_Ref125367242"/>
      <w:bookmarkStart w:id="213" w:name="_Ref125362658"/>
      <w:bookmarkStart w:id="214" w:name="_Toc229567054"/>
      <w:bookmarkEnd w:id="210"/>
      <w:r>
        <w:rPr/>
        <w:t>Подведение итогов закупки (определение Победителя)</w:t>
      </w:r>
      <w:bookmarkEnd w:id="211"/>
      <w:bookmarkEnd w:id="212"/>
      <w:bookmarkEnd w:id="213"/>
      <w:bookmarkEnd w:id="214"/>
    </w:p>
    <w:p>
      <w:pPr>
        <w:pStyle w:val="Style27"/>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7"/>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7"/>
        <w:rPr/>
      </w:pPr>
      <w:r>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r>
          <w:rPr>
            <w:rStyle w:val="Style14"/>
          </w:rPr>
          <w:t>Приложение № 7</w:t>
        </w:r>
      </w:hyperlink>
      <w:r>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27"/>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7"/>
        <w:keepNext w:val="true"/>
        <w:rPr/>
      </w:pPr>
      <w:bookmarkStart w:id="215"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10"/>
      </w:r>
      <w:r>
        <w:rPr/>
        <w:t>:</w:t>
      </w:r>
      <w:bookmarkEnd w:id="215"/>
    </w:p>
    <w:p>
      <w:pPr>
        <w:pStyle w:val="Style28"/>
        <w:rPr/>
      </w:pPr>
      <w:r>
        <w:rPr/>
        <w:t>дата подписания протокола;</w:t>
      </w:r>
    </w:p>
    <w:p>
      <w:pPr>
        <w:pStyle w:val="Style28"/>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pPr>
      <w:r>
        <w:rPr/>
        <w:t>идентификационные номера заявок Участников, допущенных по результатам рассмотрения заявок, присваиваемые Оператором ЭП;</w:t>
      </w:r>
    </w:p>
    <w:p>
      <w:pPr>
        <w:pStyle w:val="Style28"/>
        <w:keepNext w:val="true"/>
        <w:rPr/>
      </w:pPr>
      <w:r>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29"/>
        <w:rPr/>
      </w:pPr>
      <w:r>
        <w:rPr/>
        <w:t>количества заявок, которые были отклонены;</w:t>
      </w:r>
    </w:p>
    <w:p>
      <w:pPr>
        <w:pStyle w:val="Style29"/>
        <w:rPr/>
      </w:pPr>
      <w:r>
        <w:rPr/>
        <w:t>оснований отклонения каждой заявки с указанием положений Документации о закупке, которым не соответствует такая заявка;</w:t>
      </w:r>
    </w:p>
    <w:p>
      <w:pPr>
        <w:pStyle w:val="Style28"/>
        <w:rPr/>
      </w:pPr>
      <w:r>
        <w:rPr/>
        <w:t xml:space="preserve">результаты оценки и сопоставления заявок с указанием, в том числе, если в соответствии с </w:t>
      </w:r>
      <w:hyperlink w:anchor="Прил08_ПорядокОценки">
        <w:r>
          <w:rPr>
            <w:rStyle w:val="Style14"/>
          </w:rPr>
          <w:t>Порядком и критериями оценки и сопоставления заявок (Приложение № 8)</w:t>
        </w:r>
      </w:hyperlink>
      <w:r>
        <w:rPr/>
        <w:t xml:space="preserve"> был предусмотрен многокритериальный порядок оценки,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8"/>
        <w:rPr/>
      </w:pPr>
      <w:r>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pPr>
        <w:pStyle w:val="Style28"/>
        <w:rPr/>
      </w:pPr>
      <w:r>
        <w:rPr/>
        <w:t>идентификационный номер заявки Победителя закупки или Единственного участника несостоявшейся закупки, с которым планируется заключить Договор;</w:t>
      </w:r>
    </w:p>
    <w:p>
      <w:pPr>
        <w:pStyle w:val="Style28"/>
        <w:rPr/>
      </w:pPr>
      <w:r>
        <w:rPr/>
        <w:t>причины, по которым закупка признана несостоявшейся (в случае ее признания таковой),</w:t>
      </w:r>
    </w:p>
    <w:p>
      <w:pPr>
        <w:pStyle w:val="Style31"/>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7"/>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7"/>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bookmarkStart w:id="216" w:name="__RefHeading___Toc97528_534302689"/>
      <w:bookmarkStart w:id="217" w:name="_Ref125366631"/>
      <w:bookmarkStart w:id="218" w:name="_Ref125366796"/>
      <w:bookmarkStart w:id="219" w:name="_Ref125364187"/>
      <w:bookmarkStart w:id="220" w:name="_Ref125365570"/>
      <w:bookmarkStart w:id="221" w:name="_Toc229567055"/>
      <w:bookmarkStart w:id="222" w:name="_Ref125365305"/>
      <w:bookmarkStart w:id="223" w:name="_Ref125364149"/>
      <w:bookmarkEnd w:id="216"/>
      <w:r>
        <w:rPr/>
        <w:t>Признание закупки несостоявшейся</w:t>
      </w:r>
      <w:bookmarkEnd w:id="217"/>
      <w:bookmarkEnd w:id="218"/>
      <w:bookmarkEnd w:id="219"/>
      <w:bookmarkEnd w:id="220"/>
      <w:bookmarkEnd w:id="221"/>
      <w:bookmarkEnd w:id="222"/>
      <w:bookmarkEnd w:id="223"/>
    </w:p>
    <w:p>
      <w:pPr>
        <w:pStyle w:val="Style27"/>
        <w:keepNext w:val="true"/>
        <w:rPr/>
      </w:pPr>
      <w:r>
        <w:rPr/>
        <w:t>Закупка признается несостоявшейся в следующих случаях:</w:t>
      </w:r>
    </w:p>
    <w:p>
      <w:pPr>
        <w:pStyle w:val="Style28"/>
        <w:rPr/>
      </w:pPr>
      <w:r>
        <w:rPr/>
        <w:t>если по окончанию срока подачи заявок поступило менее 2 (двух) заявок (с учетом возможных отзывов заявок);</w:t>
      </w:r>
    </w:p>
    <w:p>
      <w:pPr>
        <w:pStyle w:val="Style28"/>
        <w:rPr/>
      </w:pPr>
      <w:r>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8"/>
        <w:rPr/>
      </w:pPr>
      <w:bookmarkStart w:id="224"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5.4</w:t>
      </w:r>
      <w:r>
        <w:rPr/>
        <w:fldChar w:fldCharType="end"/>
      </w:r>
      <w:bookmarkEnd w:id="224"/>
      <w:r>
        <w:rPr/>
        <w:t>).</w:t>
      </w:r>
    </w:p>
    <w:p>
      <w:pPr>
        <w:pStyle w:val="Style27"/>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7"/>
        <w:keepNext w:val="true"/>
        <w:rPr/>
      </w:pPr>
      <w:r>
        <w:rPr/>
        <w:t>В случае признания закупки несостоявшейся (с учетом условий, предусмотренных Положением о закупке):</w:t>
      </w:r>
    </w:p>
    <w:p>
      <w:pPr>
        <w:pStyle w:val="Style28"/>
        <w:rPr/>
      </w:pPr>
      <w:r>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5"/>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2"/>
        <w:numPr>
          <w:ilvl w:val="0"/>
          <w:numId w:val="16"/>
        </w:numPr>
        <w:tabs>
          <w:tab w:val="clear" w:pos="2552"/>
        </w:tabs>
        <w:ind w:left="2127" w:hanging="426"/>
        <w:rPr>
          <w:sz w:val="26"/>
          <w:szCs w:val="26"/>
        </w:rPr>
      </w:pPr>
      <w:r>
        <w:rPr>
          <w:sz w:val="26"/>
          <w:szCs w:val="26"/>
        </w:rPr>
        <w:t>повторное проведение закупки;</w:t>
      </w:r>
    </w:p>
    <w:p>
      <w:pPr>
        <w:pStyle w:val="-2"/>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2"/>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2"/>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2"/>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2"/>
        <w:numPr>
          <w:ilvl w:val="0"/>
          <w:numId w:val="16"/>
        </w:numPr>
        <w:tabs>
          <w:tab w:val="clear" w:pos="2552"/>
        </w:tabs>
        <w:ind w:left="2127" w:hanging="426"/>
        <w:rPr>
          <w:sz w:val="26"/>
          <w:szCs w:val="26"/>
        </w:rPr>
      </w:pPr>
      <w:bookmarkStart w:id="225"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25"/>
    </w:p>
    <w:p>
      <w:pPr>
        <w:pStyle w:val="Style28"/>
        <w:rPr/>
      </w:pPr>
      <w:r>
        <w:rPr/>
        <w:t xml:space="preserve">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w:t>
      </w:r>
      <w:bookmarkStart w:id="226" w:name="_Hlk219297054"/>
      <w:bookmarkStart w:id="227" w:name="_Hlk219301655"/>
      <w:r>
        <w:rPr/>
        <w:t>либо по результатам проведения закупки от заключения договора уклонились все допущенные Участники</w:t>
      </w:r>
      <w:bookmarkEnd w:id="226"/>
      <w:bookmarkEnd w:id="227"/>
      <w:r>
        <w:rPr/>
        <w:t xml:space="preserve"> – Заказчик проводит повторную закупку.</w:t>
      </w:r>
    </w:p>
    <w:p>
      <w:pPr>
        <w:pStyle w:val="Style35"/>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2"/>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2"/>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2"/>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6"/>
        <w:rPr/>
      </w:pPr>
      <w:bookmarkStart w:id="228" w:name="__RefHeading___Toc97530_534302689"/>
      <w:bookmarkStart w:id="229" w:name="_Toc229567056"/>
      <w:bookmarkStart w:id="230" w:name="_Ref126141962"/>
      <w:bookmarkEnd w:id="228"/>
      <w:r>
        <w:rPr/>
        <w:t>Отказ от проведения закупки</w:t>
      </w:r>
      <w:bookmarkEnd w:id="230"/>
      <w:r>
        <w:rPr/>
        <w:t xml:space="preserve"> (отмена закупки)</w:t>
      </w:r>
      <w:bookmarkEnd w:id="229"/>
    </w:p>
    <w:p>
      <w:pPr>
        <w:pStyle w:val="Style27"/>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7"/>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7"/>
        <w:rPr/>
      </w:pPr>
      <w:r>
        <w:rPr/>
        <w:t>Дополнительно организатор уведомляет всех Участников об отмене закупки посредством ЭП.</w:t>
      </w:r>
    </w:p>
    <w:p>
      <w:pPr>
        <w:pStyle w:val="Style27"/>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6"/>
        <w:rPr/>
      </w:pPr>
      <w:bookmarkStart w:id="231" w:name="__RefHeading___Toc97532_534302689"/>
      <w:bookmarkStart w:id="232" w:name="_Ref130455226"/>
      <w:bookmarkStart w:id="233" w:name="_Toc229567057"/>
      <w:bookmarkEnd w:id="231"/>
      <w:r>
        <w:rPr/>
        <w:t>Особенности проведения закупки с необходимостью обеспечения заявки</w:t>
      </w:r>
      <w:bookmarkEnd w:id="232"/>
      <w:bookmarkEnd w:id="233"/>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7"/>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27"/>
        <w:rPr/>
      </w:pPr>
      <w:r>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28"/>
        <w:rPr/>
      </w:pPr>
      <w:r>
        <w:rPr/>
        <w:t>банковская гарантия должна быть безотзывной и безусловной (гарантия по первому требованию);</w:t>
      </w:r>
    </w:p>
    <w:p>
      <w:pPr>
        <w:pStyle w:val="Style28"/>
        <w:rPr/>
      </w:pPr>
      <w:r>
        <w:rPr/>
        <w:t>сумма банковской гарантии должна быть выражена в российских рублях и составлять не менее суммы в размере, указанном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8"/>
        <w:rPr/>
      </w:pPr>
      <w:r>
        <w:rPr/>
        <w:t>банковская гарантия должна действовать не менее 120 (ста двадцати)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8"/>
        <w:rPr/>
      </w:pPr>
      <w:r>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28"/>
        <w:rPr/>
      </w:pPr>
      <w:r>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fldChar w:fldCharType="begin"/>
      </w:r>
      <w:r>
        <w:rPr/>
        <w:instrText xml:space="preserve"> REF _Ref149576299 \r \h </w:instrText>
      </w:r>
      <w:r>
        <w:rPr/>
        <w:fldChar w:fldCharType="separate"/>
      </w:r>
      <w:r>
        <w:rPr/>
        <w:t>4.17.11</w:t>
      </w:r>
      <w:r>
        <w:rPr/>
        <w:fldChar w:fldCharType="end"/>
      </w:r>
      <w:r>
        <w:rPr/>
        <w:t>;</w:t>
      </w:r>
    </w:p>
    <w:p>
      <w:pPr>
        <w:pStyle w:val="Style28"/>
        <w:rPr/>
      </w:pPr>
      <w:r>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28"/>
        <w:rPr/>
      </w:pPr>
      <w:r>
        <w:rPr/>
        <w:t>платеж по банковской гарантии должен быть осуществлен в течение 10 (десяти) рабочих дней после обращения бенефициара;</w:t>
      </w:r>
    </w:p>
    <w:p>
      <w:pPr>
        <w:pStyle w:val="Style28"/>
        <w:rPr/>
      </w:pPr>
      <w:r>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28"/>
        <w:rPr/>
      </w:pPr>
      <w:r>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1"/>
      </w:r>
      <w:r>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28"/>
        <w:rPr/>
      </w:pPr>
      <w:r>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банковской гарантии.</w:t>
      </w:r>
    </w:p>
    <w:p>
      <w:pPr>
        <w:pStyle w:val="Style27"/>
        <w:rPr/>
      </w:pPr>
      <w:r>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7"/>
        <w:rPr/>
      </w:pPr>
      <w:r>
        <w:rPr/>
        <w:t>При многолотовой закупке (подраздел </w:t>
      </w:r>
      <w:r>
        <w:rPr/>
        <w:fldChar w:fldCharType="begin"/>
      </w:r>
      <w:r>
        <w:rPr/>
        <w:instrText xml:space="preserve"> REF _Ref149317414 \n \h </w:instrText>
      </w:r>
      <w:r>
        <w:rPr/>
        <w:fldChar w:fldCharType="separate"/>
      </w:r>
      <w:r>
        <w:rPr/>
        <w:t>4.18</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7"/>
        <w:rPr/>
      </w:pPr>
      <w:r>
        <w:rPr/>
        <w:t>При подаче заявки с альтернативными предложениями (подраздел </w:t>
      </w:r>
      <w:r>
        <w:rPr/>
        <w:fldChar w:fldCharType="begin"/>
      </w:r>
      <w:r>
        <w:rPr/>
        <w:instrText xml:space="preserve"> REF _Ref125550863 \r \h </w:instrText>
      </w:r>
      <w:r>
        <w:rPr/>
        <w:fldChar w:fldCharType="separate"/>
      </w:r>
      <w:r>
        <w:rPr/>
        <w:t>4.19</w:t>
      </w:r>
      <w:r>
        <w:rPr/>
        <w:fldChar w:fldCharType="end"/>
      </w:r>
      <w:r>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27"/>
        <w:rPr/>
      </w:pPr>
      <w:r>
        <w:rPr/>
        <w:t>Подать заявку (принять участие в закупке) могут только Участники, предоставившие надлежащее обеспечение их заявок.</w:t>
      </w:r>
    </w:p>
    <w:p>
      <w:pPr>
        <w:pStyle w:val="Style27"/>
        <w:rPr/>
      </w:pPr>
      <w:r>
        <w:rPr/>
        <w:t>Требование об обеспечении заявки в равной мере распространяется на всех Участников.</w:t>
      </w:r>
    </w:p>
    <w:p>
      <w:pPr>
        <w:pStyle w:val="Style27"/>
        <w:keepNext w:val="true"/>
        <w:rPr/>
      </w:pPr>
      <w:bookmarkStart w:id="234" w:name="_Ref149576299"/>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34"/>
    </w:p>
    <w:p>
      <w:pPr>
        <w:pStyle w:val="Style28"/>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4"/>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_Ref138232981 \r \h </w:instrText>
      </w:r>
      <w:r>
        <w:rPr/>
        <w:fldChar w:fldCharType="separate"/>
      </w:r>
      <w:r>
        <w:rPr/>
        <w:t>5.2</w:t>
      </w:r>
      <w:r>
        <w:rPr/>
        <w:fldChar w:fldCharType="end"/>
      </w:r>
      <w:r>
        <w:rPr/>
        <w:t>;</w:t>
      </w:r>
    </w:p>
    <w:p>
      <w:pPr>
        <w:pStyle w:val="Style28"/>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4"/>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4"/>
          </w:rPr>
          <w:t>Проектом договора</w:t>
        </w:r>
      </w:hyperlink>
      <w:r>
        <w:rPr/>
        <w:t>).</w:t>
      </w:r>
    </w:p>
    <w:p>
      <w:pPr>
        <w:pStyle w:val="Style27"/>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27"/>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8"/>
        <w:rPr/>
      </w:pPr>
      <w:r>
        <w:rPr/>
        <w:t>принятия решения об отказе от проведения закупки – всем Участникам, подавшим заявки к моменту принятия такого решения;</w:t>
      </w:r>
    </w:p>
    <w:p>
      <w:pPr>
        <w:pStyle w:val="Style28"/>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8"/>
        <w:rPr/>
      </w:pPr>
      <w:r>
        <w:rPr/>
        <w:t>официального размещения протокола рассмотрения заявок (при условии его оформления) – Участникам, чьи заявки были отклонены;</w:t>
      </w:r>
    </w:p>
    <w:p>
      <w:pPr>
        <w:pStyle w:val="Style28"/>
        <w:rPr/>
      </w:pPr>
      <w:r>
        <w:rPr/>
        <w:t>официального размещения итогового протокола по результатам закупки – всем Участникам, кроме Победителя;</w:t>
      </w:r>
    </w:p>
    <w:p>
      <w:pPr>
        <w:pStyle w:val="Style28"/>
        <w:rPr/>
      </w:pPr>
      <w:r>
        <w:rPr/>
        <w:t>заключения Договора по результатам закупки – Победителю, с которым заключен Договор;</w:t>
      </w:r>
    </w:p>
    <w:p>
      <w:pPr>
        <w:pStyle w:val="Style28"/>
        <w:rPr/>
      </w:pPr>
      <w:r>
        <w:rPr/>
        <w:t>признания закупки несостоявшейся – Участнику, которому обеспечение не было возвращено по иным основаниям.</w:t>
      </w:r>
    </w:p>
    <w:p>
      <w:pPr>
        <w:pStyle w:val="Style27"/>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26"/>
        <w:rPr/>
      </w:pPr>
      <w:bookmarkStart w:id="235" w:name="__RefHeading___Toc97534_534302689"/>
      <w:bookmarkStart w:id="236" w:name="_Ref149317414"/>
      <w:bookmarkStart w:id="237" w:name="_Toc229567058"/>
      <w:bookmarkStart w:id="238" w:name="_Ref130225422"/>
      <w:bookmarkEnd w:id="235"/>
      <w:r>
        <w:rPr/>
        <w:t>Особенности проведения многолотовой закупки</w:t>
      </w:r>
      <w:bookmarkEnd w:id="236"/>
      <w:bookmarkEnd w:id="237"/>
      <w:bookmarkEnd w:id="238"/>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7"/>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7"/>
        <w:keepNext w:val="true"/>
        <w:rPr/>
      </w:pPr>
      <w:r>
        <w:rPr/>
        <w:t>В случае подачи заявки на несколько лотов дополнительно должны быть соблюдены следующие требования:</w:t>
      </w:r>
    </w:p>
    <w:p>
      <w:pPr>
        <w:pStyle w:val="Style28"/>
        <w:rPr/>
      </w:pPr>
      <w:r>
        <w:rPr/>
        <w:t>Письмо о подаче оферты (форма 2) (</w:t>
      </w:r>
      <w:hyperlink w:anchor="Прил04_ФормыЗаявки">
        <w:r>
          <w:rPr>
            <w:rStyle w:val="Style14"/>
          </w:rPr>
          <w:t>Приложение № 4</w:t>
        </w:r>
      </w:hyperlink>
      <w:r>
        <w:rPr/>
        <w:t>) должно содержать указание номера и названия каждого лота, по каждому лоту должна быть указана его стоимость;</w:t>
      </w:r>
    </w:p>
    <w:p>
      <w:pPr>
        <w:pStyle w:val="Style28"/>
        <w:rPr/>
      </w:pPr>
      <w:r>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r>
          <w:rPr>
            <w:rStyle w:val="Style14"/>
          </w:rPr>
          <w:t>Приложение № 4</w:t>
        </w:r>
      </w:hyperlink>
      <w:r>
        <w:rPr/>
        <w:t>, должны быть подготовлены отдельно по каждому из лотов с указанием номера и названия лота.</w:t>
      </w:r>
    </w:p>
    <w:p>
      <w:pPr>
        <w:pStyle w:val="Style27"/>
        <w:rPr/>
      </w:pPr>
      <w:r>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6"/>
        <w:rPr/>
      </w:pPr>
      <w:bookmarkStart w:id="239" w:name="__RefHeading___Toc97536_534302689"/>
      <w:bookmarkStart w:id="240" w:name="_Ref125550863"/>
      <w:bookmarkStart w:id="241" w:name="_Toc229567059"/>
      <w:bookmarkEnd w:id="239"/>
      <w:r>
        <w:rPr/>
        <w:t>Особенности проведения закупки с возможностью подачи альтернативных предложений</w:t>
      </w:r>
      <w:bookmarkEnd w:id="240"/>
      <w:bookmarkEnd w:id="241"/>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возможность подачи альтернативных предложений.</w:t>
      </w:r>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fldChar w:fldCharType="begin"/>
      </w:r>
      <w:r>
        <w:rPr/>
        <w:instrText xml:space="preserve"> REF _Ref125359973 \r \h </w:instrText>
      </w:r>
      <w:r>
        <w:rPr/>
        <w:fldChar w:fldCharType="separate"/>
      </w:r>
      <w:r>
        <w:rPr/>
        <w:t>1.2</w:t>
      </w:r>
      <w:r>
        <w:rPr/>
        <w:fldChar w:fldCharType="end"/>
      </w:r>
      <w:r>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27"/>
        <w:rPr/>
      </w:pPr>
      <w:r>
        <w:rPr/>
        <w:t>Альтернативные предложения могут сопровождаться альтернативными ценами (не превышающими НМЦ, установленную в подразделе </w:t>
      </w:r>
      <w:r>
        <w:rPr/>
        <w:fldChar w:fldCharType="begin"/>
      </w:r>
      <w:r>
        <w:rPr/>
        <w:instrText xml:space="preserve"> REF _Ref125359973 \r \h </w:instrText>
      </w:r>
      <w:r>
        <w:rPr/>
        <w:fldChar w:fldCharType="separate"/>
      </w:r>
      <w:r>
        <w:rPr/>
        <w:t>1.2</w:t>
      </w:r>
      <w:r>
        <w:rPr/>
        <w:fldChar w:fldCharType="end"/>
      </w:r>
      <w:r>
        <w:rPr/>
        <w:t>). При этом альтернативные предложения, по сути отличающиеся от основного только ценой, рассматриваться не будут.</w:t>
      </w:r>
    </w:p>
    <w:p>
      <w:pPr>
        <w:pStyle w:val="Style27"/>
        <w:rPr/>
      </w:pPr>
      <w:r>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r>
          <w:rPr>
            <w:rStyle w:val="Style14"/>
          </w:rPr>
          <w:t>Приложение № 4</w:t>
        </w:r>
      </w:hyperlink>
      <w:r>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27"/>
        <w:rPr/>
      </w:pPr>
      <w:r>
        <w:rPr/>
        <w:t>При проведении переторжки (подраздел </w:t>
      </w:r>
      <w:r>
        <w:rPr/>
        <w:fldChar w:fldCharType="begin"/>
      </w:r>
      <w:r>
        <w:rPr/>
        <w:instrText xml:space="preserve"> REF _Ref127536359 \r \h </w:instrText>
      </w:r>
      <w:r>
        <w:rPr/>
        <w:fldChar w:fldCharType="separate"/>
      </w:r>
      <w:r>
        <w:rPr/>
        <w:t>4.11</w:t>
      </w:r>
      <w:r>
        <w:rPr/>
        <w:fldChar w:fldCharType="end"/>
      </w:r>
      <w:r>
        <w:rPr/>
        <w:t>) альтернативные предложения Участников допускаются к ней наравне с основными предложениями.</w:t>
      </w:r>
    </w:p>
    <w:p>
      <w:pPr>
        <w:pStyle w:val="Style27"/>
        <w:rPr/>
      </w:pPr>
      <w:r>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26"/>
        <w:rPr/>
      </w:pPr>
      <w:bookmarkStart w:id="242" w:name="__RefHeading___Toc97538_534302689"/>
      <w:bookmarkStart w:id="243" w:name="_Ref125366312"/>
      <w:bookmarkStart w:id="244" w:name="_Toc229567060"/>
      <w:bookmarkEnd w:id="242"/>
      <w:r>
        <w:rPr/>
        <w:t>Особенности проведения закупки с выбором нескольких победителей</w:t>
      </w:r>
      <w:bookmarkEnd w:id="243"/>
      <w:bookmarkEnd w:id="244"/>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Количество победителей, которое намерен определить Организатор по итогам проведения закупки в рамках одного лота, указано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7"/>
        <w:keepNext w:val="true"/>
        <w:rPr/>
      </w:pPr>
      <w:r>
        <w:rPr/>
        <w:t>В случае намерения Организатора выбрать нескольких Победителей, может быть предусмотрен один из следующих механизмов:</w:t>
      </w:r>
    </w:p>
    <w:p>
      <w:pPr>
        <w:pStyle w:val="Style28"/>
        <w:rPr/>
      </w:pPr>
      <w:bookmarkStart w:id="245" w:name="_Ref125367291"/>
      <w:r>
        <w:rPr/>
        <w:t>выбор нескольких Победителей с целью распределения по частям общего объема потребности Заказчика между Победителями – в этом случае Участник вправе подать заявку как на весь объем лота, так и на его часть;</w:t>
      </w:r>
      <w:bookmarkEnd w:id="245"/>
    </w:p>
    <w:p>
      <w:pPr>
        <w:pStyle w:val="Style28"/>
        <w:rPr/>
      </w:pPr>
      <w:bookmarkStart w:id="246" w:name="_Ref125367298"/>
      <w:r>
        <w:rPr/>
        <w:t>выбор нескольких Победителей с целью заключения договоров на</w:t>
      </w:r>
      <w:r>
        <w:rPr>
          <w:lang w:val="en-US"/>
        </w:rPr>
        <w:t> </w:t>
      </w:r>
      <w:r>
        <w:rPr/>
        <w:t>одинаковый объем потребности с каждым из Победителей в целях последующего распределения фактического объема поставок продукции в ходе исполнения обязательств по заключенным договорам – в этом случае у Заказчика отсутствует обязанность произвести полную выборку продукции, указанную в договоре, заключаемом с каждым Победителем.</w:t>
      </w:r>
      <w:bookmarkEnd w:id="246"/>
    </w:p>
    <w:p>
      <w:pPr>
        <w:pStyle w:val="Style27"/>
        <w:rPr/>
      </w:pPr>
      <w:r>
        <w:rPr/>
        <w:t>Конкретный механизм выбора нескольких Победителей и правила распределения объемов продукции среди них установлены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7"/>
        <w:rPr/>
      </w:pPr>
      <w:r>
        <w:rPr/>
        <w:t xml:space="preserve">Заказчик вправе в одностороннем порядке расторгнуть заключенный договор с любым Победителем в случае ненадлежащего исполнения последним принятых на себя обязательств в соответствии с условиями </w:t>
      </w:r>
      <w:hyperlink w:anchor="Прил02_ПроектДоговора">
        <w:r>
          <w:rPr>
            <w:rStyle w:val="Style14"/>
          </w:rPr>
          <w:t>Проекта договора (Приложение № 2)</w:t>
        </w:r>
      </w:hyperlink>
      <w:r>
        <w:rPr/>
        <w:t>.</w:t>
      </w:r>
    </w:p>
    <w:p>
      <w:pPr>
        <w:pStyle w:val="Style27"/>
        <w:rPr/>
      </w:pPr>
      <w:r>
        <w:rPr/>
        <w:t>Порядок определения нескольких Победителей, установленный в подразделе </w:t>
      </w:r>
      <w:r>
        <w:rPr/>
        <w:fldChar w:fldCharType="begin"/>
      </w:r>
      <w:r>
        <w:rPr/>
        <w:instrText xml:space="preserve"> REF _Ref125359973 \r \h </w:instrText>
      </w:r>
      <w:r>
        <w:rPr/>
        <w:fldChar w:fldCharType="separate"/>
      </w:r>
      <w:r>
        <w:rPr/>
        <w:t>1.2</w:t>
      </w:r>
      <w:r>
        <w:rPr/>
        <w:fldChar w:fldCharType="end"/>
      </w:r>
      <w:r>
        <w:rPr/>
        <w:t>, является приоритетным по отношении к общему порядку определения Победителя, предусмотренному в подразделе </w:t>
      </w:r>
      <w:r>
        <w:rPr/>
        <w:fldChar w:fldCharType="begin"/>
      </w:r>
      <w:r>
        <w:rPr/>
        <w:instrText xml:space="preserve"> REF _Ref125367242 \w \h </w:instrText>
      </w:r>
      <w:r>
        <w:rPr/>
        <w:fldChar w:fldCharType="separate"/>
      </w:r>
      <w:r>
        <w:rPr/>
        <w:t>4.14</w:t>
      </w:r>
      <w:r>
        <w:rPr/>
        <w:fldChar w:fldCharType="end"/>
      </w:r>
      <w:r>
        <w:rPr/>
        <w:t>.</w:t>
      </w:r>
    </w:p>
    <w:p>
      <w:pPr>
        <w:pStyle w:val="Style34"/>
        <w:rPr/>
      </w:pPr>
      <w:r>
        <w:rPr/>
      </w:r>
    </w:p>
    <w:p>
      <w:pPr>
        <w:pStyle w:val="Style25"/>
        <w:rPr/>
      </w:pPr>
      <w:bookmarkStart w:id="247" w:name="__RefHeading___Toc97540_534302689"/>
      <w:bookmarkStart w:id="248" w:name="_Ref126142429"/>
      <w:bookmarkStart w:id="249" w:name="_Ref130224037"/>
      <w:bookmarkStart w:id="250" w:name="_Toc229567061"/>
      <w:bookmarkStart w:id="251" w:name="_Ref125361212"/>
      <w:bookmarkStart w:id="252" w:name="_Ref125362671"/>
      <w:bookmarkStart w:id="253" w:name="_Ref125363439"/>
      <w:bookmarkStart w:id="254" w:name="_Ref125366769"/>
      <w:bookmarkStart w:id="255" w:name="_Ref125367083"/>
      <w:bookmarkStart w:id="256" w:name="_Ref125367087"/>
      <w:bookmarkEnd w:id="247"/>
      <w:r>
        <w:rPr/>
        <w:t>Порядок заключения Договора</w:t>
      </w:r>
      <w:bookmarkEnd w:id="248"/>
      <w:bookmarkEnd w:id="249"/>
      <w:bookmarkEnd w:id="250"/>
      <w:bookmarkEnd w:id="251"/>
      <w:bookmarkEnd w:id="252"/>
      <w:bookmarkEnd w:id="253"/>
      <w:bookmarkEnd w:id="254"/>
      <w:bookmarkEnd w:id="255"/>
      <w:bookmarkEnd w:id="256"/>
    </w:p>
    <w:p>
      <w:pPr>
        <w:pStyle w:val="Style26"/>
        <w:rPr/>
      </w:pPr>
      <w:bookmarkStart w:id="257" w:name="__RefHeading___Toc97542_534302689"/>
      <w:bookmarkStart w:id="258" w:name="_Toc229567062"/>
      <w:bookmarkStart w:id="259" w:name="_Ref139028625"/>
      <w:bookmarkEnd w:id="257"/>
      <w:r>
        <w:rPr/>
        <w:t>Общие положения</w:t>
      </w:r>
      <w:bookmarkEnd w:id="258"/>
      <w:bookmarkEnd w:id="259"/>
    </w:p>
    <w:p>
      <w:pPr>
        <w:pStyle w:val="Style27"/>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6"/>
        <w:rPr/>
      </w:pPr>
      <w:bookmarkStart w:id="260" w:name="__RefHeading___Toc97544_534302689"/>
      <w:bookmarkStart w:id="261" w:name="_Ref138232981"/>
      <w:bookmarkStart w:id="262" w:name="_Ref125368755"/>
      <w:bookmarkStart w:id="263" w:name="_Ref135736094"/>
      <w:bookmarkStart w:id="264" w:name="_Ref125366947"/>
      <w:bookmarkStart w:id="265" w:name="_Toc229567063"/>
      <w:bookmarkEnd w:id="260"/>
      <w:r>
        <w:rPr/>
        <w:t>Заключение Договора</w:t>
      </w:r>
      <w:bookmarkEnd w:id="261"/>
      <w:bookmarkEnd w:id="262"/>
      <w:bookmarkEnd w:id="263"/>
      <w:bookmarkEnd w:id="264"/>
      <w:bookmarkEnd w:id="265"/>
    </w:p>
    <w:p>
      <w:pPr>
        <w:pStyle w:val="Style27"/>
        <w:rPr/>
      </w:pPr>
      <w:bookmarkStart w:id="266" w:name="_Ref125362935"/>
      <w:bookmarkStart w:id="267"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66"/>
      <w:bookmarkEnd w:id="267"/>
    </w:p>
    <w:p>
      <w:pPr>
        <w:pStyle w:val="Style27"/>
        <w:rPr/>
      </w:pPr>
      <w:r>
        <w:rPr/>
        <w:t>Договор не может быть заключен, если это запрещено законодательством о национальном режиме.</w:t>
      </w:r>
    </w:p>
    <w:p>
      <w:pPr>
        <w:pStyle w:val="Style27"/>
        <w:rPr/>
      </w:pPr>
      <w:bookmarkStart w:id="268" w:name="_Ref125363464"/>
      <w:bookmarkStart w:id="269" w:name="_Hlk207281466"/>
      <w:bookmarkEnd w:id="269"/>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7"/>
        <w:rPr/>
      </w:pPr>
      <w:bookmarkStart w:id="270" w:name="_Hlk207281494"/>
      <w:bookmarkStart w:id="271" w:name="_Hlk207281466_Копия_1"/>
      <w:bookmarkEnd w:id="271"/>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4"/>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numPr>
          <w:ilvl w:val="0"/>
          <w:numId w:val="14"/>
        </w:numPr>
        <w:ind w:left="1701" w:hanging="56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70"/>
    </w:p>
    <w:p>
      <w:pPr>
        <w:pStyle w:val="Style27"/>
        <w:numPr>
          <w:ilvl w:val="0"/>
          <w:numId w:val="14"/>
        </w:numPr>
        <w:ind w:left="1701" w:hanging="56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4"/>
          </w:rPr>
          <w:t>Приложения № 4</w:t>
        </w:r>
      </w:hyperlink>
      <w:r>
        <w:rPr/>
        <w:t>)) адрес электронной почты ответственного лица).</w:t>
      </w:r>
      <w:bookmarkEnd w:id="268"/>
    </w:p>
    <w:p>
      <w:pPr>
        <w:pStyle w:val="Style27"/>
        <w:keepNext w:val="true"/>
        <w:rPr/>
      </w:pPr>
      <w:bookmarkStart w:id="272" w:name="_Ref125551776"/>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w:t>
      </w:r>
      <w:bookmarkStart w:id="273" w:name="_Hlk207281699"/>
      <w:r>
        <w:rPr/>
        <w:t xml:space="preserve">Portable Document Format </w:t>
      </w:r>
      <w:bookmarkEnd w:id="273"/>
      <w:r>
        <w:rPr/>
        <w:t>(*.</w:t>
      </w:r>
      <w:r>
        <w:rPr>
          <w:lang w:val="en-US"/>
        </w:rPr>
        <w:t>pdf</w:t>
      </w:r>
      <w:r>
        <w:rPr/>
        <w:t>)):</w:t>
      </w:r>
      <w:bookmarkEnd w:id="272"/>
    </w:p>
    <w:p>
      <w:pPr>
        <w:pStyle w:val="Style28"/>
        <w:rPr/>
      </w:pPr>
      <w:r>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8"/>
        <w:rPr/>
      </w:pPr>
      <w:bookmarkStart w:id="274" w:name="_Ref125552642"/>
      <w:r>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fldChar w:fldCharType="begin"/>
      </w:r>
      <w:r>
        <w:rPr/>
        <w:instrText xml:space="preserve"> REF _Ref127536359 \r \h </w:instrText>
      </w:r>
      <w:r>
        <w:rPr/>
        <w:fldChar w:fldCharType="separate"/>
      </w:r>
      <w:r>
        <w:rPr/>
        <w:t>4.11</w:t>
      </w:r>
      <w:r>
        <w:rPr/>
        <w:fldChar w:fldCharType="end"/>
      </w:r>
      <w:r>
        <w:rPr/>
        <w:t>)</w:t>
      </w:r>
      <w:bookmarkEnd w:id="274"/>
      <w:r>
        <w:rPr/>
        <w:t>.</w:t>
      </w:r>
    </w:p>
    <w:p>
      <w:pPr>
        <w:pStyle w:val="Style27"/>
        <w:keepNext w:val="true"/>
        <w:rPr/>
      </w:pPr>
      <w:bookmarkStart w:id="275"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4"/>
          </w:rPr>
          <w:t>Приложение № 3</w:t>
        </w:r>
      </w:hyperlink>
      <w:r>
        <w:rPr/>
        <w:t>), следующие документы (скан-копии в формате Portable Document Format (*.</w:t>
      </w:r>
      <w:r>
        <w:rPr>
          <w:lang w:val="en-US"/>
        </w:rPr>
        <w:t>pdf</w:t>
      </w:r>
      <w:r>
        <w:rPr/>
        <w:t>)):</w:t>
      </w:r>
      <w:bookmarkEnd w:id="275"/>
    </w:p>
    <w:p>
      <w:pPr>
        <w:pStyle w:val="Style28"/>
        <w:keepNext w:val="true"/>
        <w:rPr/>
      </w:pPr>
      <w:r>
        <w:rPr/>
        <w:t>для юридического лица:</w:t>
      </w:r>
    </w:p>
    <w:p>
      <w:pPr>
        <w:pStyle w:val="Style29"/>
        <w:rPr/>
      </w:pPr>
      <w:r>
        <w:rPr/>
        <w:t>копия устава в действующей редакции с отметкой ИФНС либо копия нотариально заверенного устава (с отметкой нотариуса);</w:t>
      </w:r>
    </w:p>
    <w:p>
      <w:pPr>
        <w:pStyle w:val="Style29"/>
        <w:rPr/>
      </w:pPr>
      <w:bookmarkStart w:id="276"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76"/>
    </w:p>
    <w:p>
      <w:pPr>
        <w:pStyle w:val="Style29"/>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8"/>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8"/>
        <w:rPr/>
      </w:pPr>
      <w:r>
        <w:rPr/>
        <w:t>для физического лица: нотариально заверенная копия всех страниц документа, удостоверяющего личность (паспорта).</w:t>
      </w:r>
    </w:p>
    <w:p>
      <w:pPr>
        <w:pStyle w:val="Style27"/>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7"/>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7"/>
        <w:keepNext w:val="true"/>
        <w:rPr/>
      </w:pPr>
      <w:bookmarkStart w:id="277"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77"/>
    </w:p>
    <w:p>
      <w:pPr>
        <w:pStyle w:val="Style28"/>
        <w:rPr/>
      </w:pPr>
      <w:r>
        <w:rPr/>
        <w:t>протокол преддоговорных переговоров между Заказчиком и Победителем (при проведении таковых);</w:t>
      </w:r>
    </w:p>
    <w:p>
      <w:pPr>
        <w:pStyle w:val="Style28"/>
        <w:rPr/>
      </w:pPr>
      <w:r>
        <w:rPr/>
        <w:t>итоговый протокол по результатам закупки;</w:t>
      </w:r>
    </w:p>
    <w:p>
      <w:pPr>
        <w:pStyle w:val="Style28"/>
        <w:rPr/>
      </w:pPr>
      <w:r>
        <w:rPr/>
        <w:t>Извещение и Документация о закупке со всеми изменениями;</w:t>
      </w:r>
    </w:p>
    <w:p>
      <w:pPr>
        <w:pStyle w:val="Style28"/>
        <w:rPr/>
      </w:pPr>
      <w:r>
        <w:rPr/>
        <w:t>заявка Победителя со всеми дополнениями и разъяснениями.</w:t>
      </w:r>
    </w:p>
    <w:p>
      <w:pPr>
        <w:pStyle w:val="Style27"/>
        <w:rPr/>
      </w:pPr>
      <w:bookmarkStart w:id="278" w:name="_Ref125368506"/>
      <w:r>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78"/>
    </w:p>
    <w:p>
      <w:pPr>
        <w:pStyle w:val="Style27"/>
        <w:keepNext w:val="true"/>
        <w:rPr/>
      </w:pPr>
      <w:r>
        <w:rPr/>
        <w:t>Если Договор заключается в электронной форме:</w:t>
      </w:r>
    </w:p>
    <w:p>
      <w:pPr>
        <w:pStyle w:val="Style28"/>
        <w:rPr/>
      </w:pPr>
      <w:bookmarkStart w:id="279" w:name="_Ref125552524"/>
      <w:r>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fldChar w:fldCharType="begin"/>
      </w:r>
      <w:r>
        <w:rPr/>
        <w:instrText xml:space="preserve"> REF _Ref125359973 \r \h </w:instrText>
      </w:r>
      <w:r>
        <w:rPr/>
        <w:fldChar w:fldCharType="separate"/>
      </w:r>
      <w:r>
        <w:rPr/>
        <w:t>1.2</w:t>
      </w:r>
      <w:r>
        <w:rPr/>
        <w:fldChar w:fldCharType="end"/>
      </w:r>
      <w:bookmarkEnd w:id="279"/>
      <w:r>
        <w:rPr/>
        <w:t>;</w:t>
      </w:r>
    </w:p>
    <w:p>
      <w:pPr>
        <w:pStyle w:val="Style28"/>
        <w:rPr/>
      </w:pPr>
      <w:r>
        <w:rPr/>
        <w:t>Заказчик 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направляет в адрес Победителя подписанный со своей стороны Проект договора с использованием функционала Системы ЭДО.</w:t>
      </w:r>
    </w:p>
    <w:p>
      <w:pPr>
        <w:pStyle w:val="Style27"/>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6"/>
        <w:rPr/>
      </w:pPr>
      <w:bookmarkStart w:id="280" w:name="__RefHeading___Toc97546_534302689"/>
      <w:bookmarkStart w:id="281" w:name="_Ref125552570"/>
      <w:bookmarkStart w:id="282" w:name="_Toc229567064"/>
      <w:bookmarkEnd w:id="280"/>
      <w:r>
        <w:rPr/>
        <w:t>Преддоговорные переговоры</w:t>
      </w:r>
      <w:bookmarkEnd w:id="281"/>
      <w:bookmarkEnd w:id="282"/>
    </w:p>
    <w:p>
      <w:pPr>
        <w:pStyle w:val="Style27"/>
        <w:keepNext w:val="true"/>
        <w:rPr/>
      </w:pPr>
      <w:r>
        <w:rPr/>
        <w:t>Проведение преддоговорных переговоров между Заказчиком и Победителем допускается только в отношении следующих вопросов:</w:t>
      </w:r>
    </w:p>
    <w:p>
      <w:pPr>
        <w:pStyle w:val="Style28"/>
        <w:rPr/>
      </w:pPr>
      <w:r>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28"/>
        <w:rPr/>
      </w:pPr>
      <w:r>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28"/>
        <w:rPr/>
      </w:pPr>
      <w:r>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28"/>
        <w:rPr/>
      </w:pPr>
      <w:r>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28"/>
        <w:rPr/>
      </w:pPr>
      <w:r>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27"/>
        <w:rPr/>
      </w:pPr>
      <w:r>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27"/>
        <w:rPr/>
      </w:pPr>
      <w:r>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27"/>
        <w:rPr/>
      </w:pPr>
      <w:r>
        <w:rPr/>
        <w:t>Результаты преддоговорных переговоров фиксируются в форме протокола</w:t>
      </w:r>
      <w:r>
        <w:rPr>
          <w:rStyle w:val="FootnoteReference"/>
        </w:rPr>
        <w:footnoteReference w:id="12"/>
      </w:r>
      <w:r>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27"/>
        <w:rPr/>
      </w:pPr>
      <w:r>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6"/>
        <w:rPr/>
      </w:pPr>
      <w:bookmarkStart w:id="283" w:name="__RefHeading___Toc97548_534302689"/>
      <w:bookmarkStart w:id="284" w:name="_Ref125367068"/>
      <w:bookmarkStart w:id="285" w:name="_Toc229567065"/>
      <w:bookmarkEnd w:id="283"/>
      <w:r>
        <w:rPr/>
        <w:t>Уклонение Победителя от заключения Договора</w:t>
      </w:r>
      <w:bookmarkEnd w:id="284"/>
      <w:bookmarkEnd w:id="285"/>
    </w:p>
    <w:p>
      <w:pPr>
        <w:pStyle w:val="Style27"/>
        <w:keepNext w:val="true"/>
        <w:rPr/>
      </w:pPr>
      <w:r>
        <w:rPr/>
        <w:t>Если Победитель закупки:</w:t>
      </w:r>
    </w:p>
    <w:p>
      <w:pPr>
        <w:pStyle w:val="Style28"/>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8"/>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8"/>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4"/>
          </w:rPr>
          <w:t>Приложение № 5</w:t>
        </w:r>
      </w:hyperlink>
      <w:r>
        <w:rPr/>
        <w:t>), с приложением подтверждающих документов;</w:t>
      </w:r>
    </w:p>
    <w:p>
      <w:pPr>
        <w:pStyle w:val="Style28"/>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8"/>
        <w:rPr/>
      </w:pPr>
      <w:r>
        <w:rPr/>
        <w:t>не предоставит в установленный Заказчиком срок документы, указанные в пункте </w:t>
      </w:r>
      <w:r>
        <w:rPr/>
        <w:fldChar w:fldCharType="begin"/>
      </w:r>
      <w:r>
        <w:rPr/>
        <w:instrText xml:space="preserve"> REF _Ref125551776 \r \h </w:instrText>
      </w:r>
      <w:r>
        <w:rPr/>
        <w:fldChar w:fldCharType="separate"/>
      </w:r>
      <w:r>
        <w:rPr/>
        <w:t>5.2.5</w:t>
      </w:r>
      <w:r>
        <w:rPr/>
        <w:fldChar w:fldCharType="end"/>
      </w:r>
      <w:r>
        <w:rPr/>
        <w:t>, или предоставит их с нарушением требований, установленных в Документации о закупке;</w:t>
      </w:r>
    </w:p>
    <w:p>
      <w:pPr>
        <w:pStyle w:val="Style28"/>
        <w:rPr/>
      </w:pPr>
      <w:r>
        <w:rPr/>
        <w:t>не предоставит в установленный Заказчиком срок документы, указанные в пункте </w:t>
      </w:r>
      <w:r>
        <w:rPr/>
        <w:fldChar w:fldCharType="begin"/>
      </w:r>
      <w:r>
        <w:rPr/>
        <w:instrText xml:space="preserve"> REF _Ref125551072 \w \h </w:instrText>
      </w:r>
      <w:r>
        <w:rPr/>
        <w:fldChar w:fldCharType="separate"/>
      </w:r>
      <w:r>
        <w:rPr/>
        <w:t>5.2.6</w:t>
      </w:r>
      <w:r>
        <w:rPr/>
        <w:fldChar w:fldCharType="end"/>
      </w:r>
      <w:r>
        <w:rPr/>
        <w:t>, или предоставит их с нарушением требований, установленных в Документации о закупке;</w:t>
      </w:r>
    </w:p>
    <w:p>
      <w:pPr>
        <w:pStyle w:val="Style28"/>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4"/>
          </w:rPr>
          <w:t>Приложения № 1 – Технические требования</w:t>
        </w:r>
      </w:hyperlink>
      <w:r>
        <w:rPr/>
        <w:t xml:space="preserve"> (в случае установления таковых);</w:t>
      </w:r>
    </w:p>
    <w:p>
      <w:pPr>
        <w:pStyle w:val="Style28"/>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8"/>
        <w:rPr/>
      </w:pPr>
      <w:r>
        <w:rPr/>
        <w:t>не выполнит другие условия, прямо предусмотренные Документацией о закупке,</w:t>
      </w:r>
    </w:p>
    <w:p>
      <w:pPr>
        <w:pStyle w:val="Style31"/>
        <w:ind w:left="1134" w:hanging="0"/>
        <w:rPr/>
      </w:pPr>
      <w:r>
        <w:rPr/>
        <w:t>то он (по истечению установленных в подразделе </w:t>
      </w:r>
      <w:r>
        <w:rPr/>
        <w:fldChar w:fldCharType="begin"/>
      </w:r>
      <w:r>
        <w:rPr/>
        <w:instrText xml:space="preserve"> REF _Ref138232981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5"/>
        <w:rPr/>
      </w:pPr>
      <w:bookmarkStart w:id="286" w:name="__RefHeading___Toc97550_534302689"/>
      <w:bookmarkStart w:id="287" w:name="_Ref125364088"/>
      <w:bookmarkStart w:id="288" w:name="_Ref125363752"/>
      <w:bookmarkStart w:id="289" w:name="_Ref125363034"/>
      <w:bookmarkStart w:id="290" w:name="_Ref125370732"/>
      <w:bookmarkStart w:id="291" w:name="_Ref125363023"/>
      <w:bookmarkStart w:id="292" w:name="_Ref125363016"/>
      <w:bookmarkStart w:id="293" w:name="_Ref125363600"/>
      <w:bookmarkStart w:id="294" w:name="_Ref125370750"/>
      <w:bookmarkStart w:id="295" w:name="Прил01_ТехТребования"/>
      <w:bookmarkStart w:id="296" w:name="_Ref125370746"/>
      <w:bookmarkStart w:id="297" w:name="_Ref125370741"/>
      <w:bookmarkStart w:id="298" w:name="_Ref125364201"/>
      <w:bookmarkStart w:id="299" w:name="_Ref125370843"/>
      <w:bookmarkStart w:id="300" w:name="_Toc229567066"/>
      <w:bookmarkEnd w:id="286"/>
      <w:r>
        <w:rPr/>
        <w:t>Приложение № 1 – Технические требования</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Style26"/>
        <w:rPr/>
      </w:pPr>
      <w:bookmarkStart w:id="301" w:name="__RefHeading___Toc97552_534302689"/>
      <w:bookmarkStart w:id="302" w:name="_Toc229567067"/>
      <w:bookmarkEnd w:id="301"/>
      <w:r>
        <w:rPr/>
        <w:t>Пояснения к Техническим требованиям</w:t>
      </w:r>
      <w:bookmarkEnd w:id="302"/>
    </w:p>
    <w:p>
      <w:pPr>
        <w:pStyle w:val="Style27"/>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5"/>
        <w:rPr/>
      </w:pPr>
      <w:bookmarkStart w:id="303" w:name="__RefHeading___Toc97554_534302689"/>
      <w:bookmarkStart w:id="304" w:name="_Ref125370754"/>
      <w:bookmarkStart w:id="305" w:name="_Ref125361746"/>
      <w:bookmarkStart w:id="306" w:name="_Ref125363605"/>
      <w:bookmarkStart w:id="307" w:name="_Ref125363759"/>
      <w:bookmarkStart w:id="308" w:name="_Ref125364081"/>
      <w:bookmarkStart w:id="309" w:name="_Ref125364206"/>
      <w:bookmarkStart w:id="310" w:name="Прил02_ПроектДоговора"/>
      <w:bookmarkStart w:id="311" w:name="_Toc229567068"/>
      <w:bookmarkStart w:id="312" w:name="_Ref125363040"/>
      <w:bookmarkEnd w:id="303"/>
      <w:r>
        <w:rPr/>
        <w:t>Приложение № 2 – Проект договора</w:t>
      </w:r>
      <w:bookmarkEnd w:id="304"/>
      <w:bookmarkEnd w:id="305"/>
      <w:bookmarkEnd w:id="306"/>
      <w:bookmarkEnd w:id="307"/>
      <w:bookmarkEnd w:id="308"/>
      <w:bookmarkEnd w:id="309"/>
      <w:bookmarkEnd w:id="310"/>
      <w:bookmarkEnd w:id="311"/>
      <w:bookmarkEnd w:id="312"/>
    </w:p>
    <w:p>
      <w:pPr>
        <w:pStyle w:val="Style26"/>
        <w:rPr/>
      </w:pPr>
      <w:bookmarkStart w:id="313" w:name="__RefHeading___Toc97556_534302689"/>
      <w:bookmarkStart w:id="314" w:name="_Toc229567069"/>
      <w:bookmarkEnd w:id="313"/>
      <w:r>
        <w:rPr/>
        <w:t>Пояснения к Проекту договора</w:t>
      </w:r>
      <w:bookmarkEnd w:id="314"/>
    </w:p>
    <w:p>
      <w:pPr>
        <w:pStyle w:val="Style27"/>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7"/>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_Ref125359973 \r \h </w:instrText>
      </w:r>
      <w:r>
        <w:rPr/>
        <w:fldChar w:fldCharType="separate"/>
      </w:r>
      <w:r>
        <w:rPr/>
        <w:t>1.2</w:t>
      </w:r>
      <w:r>
        <w:rPr/>
        <w:fldChar w:fldCharType="end"/>
      </w:r>
      <w:r>
        <w:rPr/>
        <w:t xml:space="preserve"> </w:t>
      </w:r>
      <w:bookmarkStart w:id="315" w:name="_Hlk132883778"/>
      <w:r>
        <w:rPr/>
        <w:t>как «Некритичные пункты Проекта договора»</w:t>
      </w:r>
      <w:bookmarkEnd w:id="315"/>
      <w:r>
        <w:rPr/>
        <w:t>.</w:t>
      </w:r>
    </w:p>
    <w:p>
      <w:pPr>
        <w:pStyle w:val="Style27"/>
        <w:rPr/>
      </w:pPr>
      <w:r>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7"/>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316" w:name="_MON_1736255517"/>
      <w:bookmarkEnd w:id="316"/>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1"/>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9.25pt;height:50.8pt;mso-wrap-distance-right:0pt" filled="f" o:ole="">
            <v:imagedata r:id="rId14" o:title=""/>
          </v:shape>
          <o:OLEObject Type="Embed" ProgID="Word.Document.12" ShapeID="ole_rId13" DrawAspect="Icon" ObjectID="_1495810172" r:id="rId13"/>
        </w:object>
      </w:r>
    </w:p>
    <w:p>
      <w:pPr>
        <w:pStyle w:val="Style25"/>
        <w:rPr/>
      </w:pPr>
      <w:bookmarkStart w:id="317" w:name="__RefHeading___Toc97558_534302689"/>
      <w:bookmarkStart w:id="318" w:name="_Ref125361908"/>
      <w:bookmarkStart w:id="319" w:name="_Ref125361494"/>
      <w:bookmarkStart w:id="320" w:name="_Ref125370013"/>
      <w:bookmarkStart w:id="321" w:name="_Ref125365476"/>
      <w:bookmarkStart w:id="322" w:name="Прил03_ТребованияУчастникам"/>
      <w:bookmarkStart w:id="323" w:name="_Toc229567070"/>
      <w:bookmarkEnd w:id="317"/>
      <w:r>
        <w:rPr/>
        <w:t>Приложение № 3 – Требования к Участникам</w:t>
      </w:r>
      <w:bookmarkEnd w:id="318"/>
      <w:bookmarkEnd w:id="319"/>
      <w:bookmarkEnd w:id="320"/>
      <w:bookmarkEnd w:id="321"/>
      <w:bookmarkEnd w:id="322"/>
      <w:bookmarkEnd w:id="323"/>
    </w:p>
    <w:p>
      <w:pPr>
        <w:pStyle w:val="Style26"/>
        <w:rPr/>
      </w:pPr>
      <w:bookmarkStart w:id="324" w:name="__RefHeading___Toc97560_534302689"/>
      <w:bookmarkStart w:id="325" w:name="_Toc229567071"/>
      <w:bookmarkEnd w:id="324"/>
      <w:r>
        <w:rPr/>
        <w:t>Пояснения к требованиям к Участникам</w:t>
      </w:r>
      <w:bookmarkEnd w:id="325"/>
    </w:p>
    <w:p>
      <w:pPr>
        <w:pStyle w:val="Style27"/>
        <w:rPr/>
      </w:pPr>
      <w:bookmarkStart w:id="326" w:name="_Hlk125628168"/>
      <w:r>
        <w:rPr/>
        <w:t>Чтобы претендовать на победу в закупке и получение права заключить Договор с Заказчиком,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326"/>
    </w:p>
    <w:p>
      <w:pPr>
        <w:pStyle w:val="Style26"/>
        <w:spacing w:before="360" w:after="120"/>
        <w:rPr/>
      </w:pPr>
      <w:bookmarkStart w:id="327" w:name="__RefHeading___Toc97562_534302689"/>
      <w:bookmarkStart w:id="328" w:name="_Ref125361926"/>
      <w:bookmarkStart w:id="329" w:name="_Ref125370058"/>
      <w:bookmarkStart w:id="330" w:name="_Ref125366879"/>
      <w:bookmarkStart w:id="331" w:name="_Ref125361435"/>
      <w:bookmarkStart w:id="332" w:name="_Ref125361590"/>
      <w:bookmarkStart w:id="333" w:name="_Ref125361617"/>
      <w:bookmarkStart w:id="334" w:name="_Ref125361832"/>
      <w:bookmarkStart w:id="335" w:name="_Ref125369088"/>
      <w:bookmarkStart w:id="336" w:name="_Ref125370064"/>
      <w:bookmarkStart w:id="337" w:name="_Ref125370071"/>
      <w:bookmarkStart w:id="338" w:name="_Toc229567072"/>
      <w:bookmarkStart w:id="339" w:name="_Ref125361846"/>
      <w:bookmarkStart w:id="340" w:name="_Ref125368895"/>
      <w:bookmarkStart w:id="341" w:name="_Ref125368812"/>
      <w:bookmarkEnd w:id="327"/>
      <w:r>
        <w:rPr/>
        <w:t>Обязательные требования</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2" w:name="_Ref125552433"/>
            <w:bookmarkStart w:id="343" w:name="_Ref125552433"/>
            <w:bookmarkEnd w:id="343"/>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1"/>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1"/>
              <w:widowControl w:val="false"/>
              <w:numPr>
                <w:ilvl w:val="0"/>
                <w:numId w:val="13"/>
              </w:numPr>
              <w:suppressAutoHyphens w:val="true"/>
              <w:spacing w:before="60" w:after="60"/>
              <w:ind w:left="568" w:hanging="284"/>
              <w:rPr>
                <w:rFonts w:ascii="Times New Roman" w:hAnsi="Times New Roman" w:eastAsia="Calibri" w:cs=""/>
                <w:kern w:val="0"/>
                <w:sz w:val="26"/>
                <w:szCs w:val="22"/>
                <w:lang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
                <w:kern w:val="0"/>
                <w:sz w:val="26"/>
                <w:szCs w:val="22"/>
                <w:lang w:val="en-US" w:eastAsia="en-US" w:bidi="ar-SA"/>
              </w:rPr>
              <w:t>pdf</w:t>
            </w:r>
            <w:r>
              <w:rPr>
                <w:rFonts w:eastAsia="Calibri" w:cs=""/>
                <w:kern w:val="0"/>
                <w:sz w:val="26"/>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31"/>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1"/>
              <w:widowControl w:val="false"/>
              <w:numPr>
                <w:ilvl w:val="0"/>
                <w:numId w:val="13"/>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1"/>
              <w:widowControl w:val="false"/>
              <w:numPr>
                <w:ilvl w:val="0"/>
                <w:numId w:val="13"/>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предоставление Заявки на аккредитацию не требуется;</w:t>
            </w:r>
          </w:p>
          <w:p>
            <w:pPr>
              <w:pStyle w:val="Style31"/>
              <w:widowControl w:val="false"/>
              <w:numPr>
                <w:ilvl w:val="0"/>
                <w:numId w:val="13"/>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1"/>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1"/>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1"/>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1"/>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1"/>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4" w:name="_Ref139028406"/>
            <w:bookmarkStart w:id="345" w:name="_Ref139028406"/>
            <w:bookmarkEnd w:id="345"/>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3"/>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4"/>
            </w:r>
            <w:r>
              <w:rPr>
                <w:rFonts w:eastAsia="Calibri" w:cs=""/>
                <w:kern w:val="0"/>
                <w:sz w:val="26"/>
                <w:szCs w:val="22"/>
                <w:lang w:val="ru-RU" w:eastAsia="en-US" w:bidi="ar-SA"/>
              </w:rPr>
              <w:t>:</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6" w:name="_Ref186128496"/>
            <w:bookmarkStart w:id="347" w:name="_Ref186128496"/>
            <w:bookmarkEnd w:id="347"/>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8" w:name="_Ref186128503"/>
            <w:bookmarkStart w:id="349" w:name="_Ref186128503"/>
            <w:bookmarkEnd w:id="349"/>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6"/>
        <w:spacing w:before="360" w:after="120"/>
        <w:rPr/>
      </w:pPr>
      <w:bookmarkStart w:id="350" w:name="__RefHeading___Toc97564_534302689"/>
      <w:bookmarkStart w:id="351" w:name="_Ref125709888"/>
      <w:bookmarkStart w:id="352" w:name="_Ref125368901"/>
      <w:bookmarkStart w:id="353" w:name="_Ref125709401"/>
      <w:bookmarkStart w:id="354" w:name="_Ref125709153"/>
      <w:bookmarkStart w:id="355" w:name="_Ref125361633"/>
      <w:bookmarkStart w:id="356" w:name="_Ref125361937"/>
      <w:bookmarkStart w:id="357" w:name="_Ref125367521"/>
      <w:bookmarkStart w:id="358" w:name="_Ref125365459"/>
      <w:bookmarkStart w:id="359" w:name="_Ref125368818"/>
      <w:bookmarkStart w:id="360" w:name="_Ref125361442"/>
      <w:bookmarkStart w:id="361" w:name="_Ref125367539"/>
      <w:bookmarkStart w:id="362" w:name="_Ref125369099"/>
      <w:bookmarkStart w:id="363" w:name="_Ref125368916"/>
      <w:bookmarkStart w:id="364" w:name="_Ref125361869"/>
      <w:bookmarkStart w:id="365" w:name="_Ref125370079"/>
      <w:bookmarkStart w:id="366" w:name="_Ref125361671"/>
      <w:bookmarkStart w:id="367" w:name="_Toc229567073"/>
      <w:bookmarkStart w:id="368" w:name="_Ref125709250"/>
      <w:bookmarkEnd w:id="350"/>
      <w:r>
        <w:rPr/>
        <w:t>Специальные требования</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Специальные требования не установлены.</w:t>
            </w:r>
          </w:p>
        </w:tc>
        <w:tc>
          <w:tcPr>
            <w:tcW w:w="8327" w:type="dxa"/>
            <w:tcBorders/>
          </w:tcPr>
          <w:p>
            <w:pPr>
              <w:pStyle w:val="Style31"/>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Специальные требования не установлены.</w:t>
            </w:r>
          </w:p>
        </w:tc>
      </w:tr>
    </w:tbl>
    <w:p>
      <w:pPr>
        <w:pStyle w:val="Style26"/>
        <w:spacing w:before="360" w:after="120"/>
        <w:rPr/>
      </w:pPr>
      <w:bookmarkStart w:id="369" w:name="__RefHeading___Toc97566_534302689"/>
      <w:bookmarkStart w:id="370" w:name="_Ref125553296"/>
      <w:bookmarkStart w:id="371" w:name="_Ref125553681"/>
      <w:bookmarkStart w:id="372" w:name="_Ref125550353"/>
      <w:bookmarkStart w:id="373" w:name="_Ref125553242"/>
      <w:bookmarkStart w:id="374" w:name="_Ref125550270"/>
      <w:bookmarkStart w:id="375" w:name="_Toc229567074"/>
      <w:bookmarkStart w:id="376" w:name="_Ref125709541"/>
      <w:bookmarkStart w:id="377" w:name="_Ref125709256"/>
      <w:bookmarkStart w:id="378" w:name="_Ref125709895"/>
      <w:bookmarkStart w:id="379" w:name="_Ref125709154"/>
      <w:bookmarkStart w:id="380" w:name="_Ref125553475"/>
      <w:bookmarkEnd w:id="369"/>
      <w:r>
        <w:rPr/>
        <w:t>Квалификационные требования</w:t>
      </w:r>
      <w:bookmarkEnd w:id="370"/>
      <w:bookmarkEnd w:id="371"/>
      <w:bookmarkEnd w:id="372"/>
      <w:bookmarkEnd w:id="373"/>
      <w:bookmarkEnd w:id="374"/>
      <w:bookmarkEnd w:id="375"/>
      <w:bookmarkEnd w:id="376"/>
      <w:bookmarkEnd w:id="377"/>
      <w:bookmarkEnd w:id="378"/>
      <w:bookmarkEnd w:id="379"/>
      <w:bookmarkEnd w:id="380"/>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val="false"/>
              <w:numPr>
                <w:ilvl w:val="0"/>
                <w:numId w:val="9"/>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Квалификационные требования не установлены.</w:t>
            </w:r>
          </w:p>
        </w:tc>
        <w:tc>
          <w:tcPr>
            <w:tcW w:w="8327" w:type="dxa"/>
            <w:tcBorders/>
          </w:tcPr>
          <w:p>
            <w:pPr>
              <w:pStyle w:val="Style31"/>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Квалификационные требования не установлены.</w:t>
            </w:r>
          </w:p>
        </w:tc>
      </w:tr>
    </w:tbl>
    <w:p>
      <w:pPr>
        <w:pStyle w:val="Style26"/>
        <w:spacing w:before="360" w:after="120"/>
        <w:rPr/>
      </w:pPr>
      <w:bookmarkStart w:id="381" w:name="__RefHeading___Toc97568_534302689"/>
      <w:bookmarkStart w:id="382" w:name="_Ref125361823"/>
      <w:bookmarkStart w:id="383" w:name="_Ref125709973"/>
      <w:bookmarkStart w:id="384" w:name="_Ref125369117"/>
      <w:bookmarkStart w:id="385" w:name="_Ref125370173"/>
      <w:bookmarkStart w:id="386" w:name="_Ref125370180"/>
      <w:bookmarkStart w:id="387" w:name="_Ref125370209"/>
      <w:bookmarkStart w:id="388" w:name="_Ref125709777"/>
      <w:bookmarkStart w:id="389" w:name="_Toc229567075"/>
      <w:bookmarkStart w:id="390" w:name="_Ref125362031"/>
      <w:bookmarkEnd w:id="381"/>
      <w:r>
        <w:rPr/>
        <w:t>Дополнительные требования к Генеральным подрядчикам</w:t>
      </w:r>
      <w:bookmarkEnd w:id="382"/>
      <w:bookmarkEnd w:id="383"/>
      <w:bookmarkEnd w:id="384"/>
      <w:bookmarkEnd w:id="385"/>
      <w:bookmarkEnd w:id="386"/>
      <w:bookmarkEnd w:id="387"/>
      <w:bookmarkEnd w:id="388"/>
      <w:bookmarkEnd w:id="389"/>
      <w:bookmarkEnd w:id="390"/>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1"/>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1" w:name="_Ref125370187"/>
            <w:bookmarkStart w:id="392" w:name="_Ref125370187"/>
            <w:bookmarkEnd w:id="392"/>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План распределения объемов поставки продукции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 указанием необходимой информации;</w:t>
            </w:r>
          </w:p>
        </w:tc>
      </w:tr>
      <w:tr>
        <w:trPr/>
        <w:tc>
          <w:tcPr>
            <w:tcW w:w="1128" w:type="dxa"/>
            <w:tcBorders/>
          </w:tcPr>
          <w:p>
            <w:pPr>
              <w:pStyle w:val="Style31"/>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3" w:name="_Ref125370199"/>
            <w:bookmarkStart w:id="394" w:name="_Ref125370199"/>
            <w:bookmarkEnd w:id="394"/>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Генеральный подрядчик должен доказать, что каждый из привлекаемых им субподрядчиков:</w:t>
            </w:r>
          </w:p>
          <w:p>
            <w:pPr>
              <w:pStyle w:val="Style31"/>
              <w:widowControl w:val="false"/>
              <w:numPr>
                <w:ilvl w:val="0"/>
                <w:numId w:val="12"/>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осведомлен о привлечении его в качестве субподрядчика;</w:t>
            </w:r>
          </w:p>
          <w:p>
            <w:pPr>
              <w:pStyle w:val="Style31"/>
              <w:widowControl w:val="false"/>
              <w:numPr>
                <w:ilvl w:val="0"/>
                <w:numId w:val="12"/>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31"/>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5" w:name="_Ref125370193"/>
            <w:bookmarkStart w:id="396" w:name="_Ref125370193"/>
            <w:bookmarkEnd w:id="396"/>
          </w:p>
        </w:tc>
        <w:tc>
          <w:tcPr>
            <w:tcW w:w="5671"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_Ref125553242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1"/>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7" w:name="_Ref125553847"/>
            <w:bookmarkStart w:id="398" w:name="_Ref125553847"/>
            <w:bookmarkEnd w:id="398"/>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1"/>
              <w:widowControl w:val="false"/>
              <w:suppressAutoHyphens w:val="true"/>
              <w:spacing w:before="60" w:after="60"/>
              <w:rPr>
                <w:lang w:val="en-US"/>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399" w:name="__RefHeading___Toc97570_534302689"/>
      <w:bookmarkStart w:id="400" w:name="_Toc229567076"/>
      <w:bookmarkStart w:id="401" w:name="Прил04_ФормыЗаявки"/>
      <w:bookmarkEnd w:id="399"/>
      <w:bookmarkEnd w:id="401"/>
      <w:r>
        <w:rPr/>
        <w:t>Приложение № 4 – Образцы форм документов, включаемых в состав заявки</w:t>
      </w:r>
      <w:bookmarkEnd w:id="400"/>
    </w:p>
    <w:p>
      <w:pPr>
        <w:pStyle w:val="Style26"/>
        <w:rPr/>
      </w:pPr>
      <w:bookmarkStart w:id="402" w:name="__RefHeading___Toc97572_534302689"/>
      <w:bookmarkStart w:id="403" w:name="_Toc229567077"/>
      <w:bookmarkEnd w:id="402"/>
      <w:r>
        <w:rPr/>
        <w:t>Пояснения к Образцам форм документов, включаемых в состав заявки</w:t>
      </w:r>
      <w:bookmarkEnd w:id="403"/>
    </w:p>
    <w:p>
      <w:pPr>
        <w:pStyle w:val="Style27"/>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5"/>
        <w:rPr/>
      </w:pPr>
      <w:bookmarkStart w:id="404" w:name="__RefHeading___Toc97574_534302689"/>
      <w:bookmarkStart w:id="405" w:name="_Toc229567078"/>
      <w:bookmarkStart w:id="406" w:name="Прил05_ФормыПобедителя"/>
      <w:bookmarkEnd w:id="404"/>
      <w:bookmarkEnd w:id="406"/>
      <w:r>
        <w:rPr/>
        <w:t>Приложение № 5 – Образцы форм документов, предоставляемых Победителем</w:t>
      </w:r>
      <w:bookmarkEnd w:id="405"/>
    </w:p>
    <w:p>
      <w:pPr>
        <w:pStyle w:val="Style26"/>
        <w:rPr/>
      </w:pPr>
      <w:bookmarkStart w:id="407" w:name="__RefHeading___Toc97576_534302689"/>
      <w:bookmarkStart w:id="408" w:name="_Toc229567079"/>
      <w:bookmarkEnd w:id="407"/>
      <w:r>
        <w:rPr/>
        <w:t>Пояснения к Образцам форм документов, предоставляемых Победителем</w:t>
      </w:r>
      <w:bookmarkEnd w:id="408"/>
    </w:p>
    <w:p>
      <w:pPr>
        <w:pStyle w:val="Style27"/>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6"/>
        <w:rPr/>
      </w:pPr>
      <w:bookmarkStart w:id="409" w:name="__RefHeading___Toc97578_534302689"/>
      <w:bookmarkStart w:id="410" w:name="_Ref130395470"/>
      <w:bookmarkStart w:id="411" w:name="_Toc229567080"/>
      <w:bookmarkEnd w:id="409"/>
      <w:r>
        <w:rPr/>
        <w:t>Форма справки «Сведения о цепочке собственников, включая бенефициаров (в том числе конечных)»</w:t>
      </w:r>
      <w:bookmarkEnd w:id="410"/>
      <w:bookmarkEnd w:id="411"/>
    </w:p>
    <w:p>
      <w:pPr>
        <w:pStyle w:val="Style27"/>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7"/>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412" w:name="_MON_1819094222"/>
    </w:p>
    <w:p>
      <w:pPr>
        <w:pStyle w:val="Style31"/>
        <w:jc w:val="center"/>
        <w:rPr/>
      </w:pPr>
      <w:bookmarkEnd w:id="41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9.6pt;mso-wrap-distance-right:0pt" filled="f" o:ole="">
            <v:imagedata r:id="rId24" o:title=""/>
          </v:shape>
          <o:OLEObject Type="Embed" ProgID="Word.Document.12" ShapeID="ole_rId23" DrawAspect="Icon" ObjectID="_1591495582" r:id="rId23"/>
        </w:object>
      </w:r>
    </w:p>
    <w:p>
      <w:pPr>
        <w:pStyle w:val="Style26"/>
        <w:rPr/>
      </w:pPr>
      <w:bookmarkStart w:id="413" w:name="__RefHeading___Toc97580_534302689"/>
      <w:bookmarkStart w:id="414" w:name="_Ref130395475"/>
      <w:bookmarkStart w:id="415" w:name="_Toc229567081"/>
      <w:bookmarkEnd w:id="413"/>
      <w:r>
        <w:rPr/>
        <w:t>Форма «Заверение об обстоятельствах»</w:t>
      </w:r>
      <w:bookmarkEnd w:id="414"/>
      <w:bookmarkEnd w:id="415"/>
    </w:p>
    <w:p>
      <w:pPr>
        <w:pStyle w:val="Style27"/>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7"/>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7"/>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7"/>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416" w:name="_MON_1741074184"/>
    </w:p>
    <w:p>
      <w:pPr>
        <w:pStyle w:val="Style31"/>
        <w:spacing w:before="120" w:after="120"/>
        <w:jc w:val="center"/>
        <w:rPr/>
      </w:pPr>
      <w:bookmarkEnd w:id="416"/>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9.25pt;height:50.8pt;mso-wrap-distance-right:0pt;mso-wrap-distance-bottom:6pt" filled="f" o:ole="">
            <v:imagedata r:id="rId26" o:title=""/>
          </v:shape>
          <o:OLEObject Type="Embed" ProgID="Word.Document.12" ShapeID="ole_rId25" DrawAspect="Icon" ObjectID="_1612089734" r:id="rId25"/>
        </w:object>
      </w:r>
    </w:p>
    <w:p>
      <w:pPr>
        <w:pStyle w:val="Style25"/>
        <w:rPr/>
      </w:pPr>
      <w:bookmarkStart w:id="417" w:name="__RefHeading___Toc97582_534302689"/>
      <w:bookmarkStart w:id="418" w:name="Прил06_СоставЗаявки"/>
      <w:bookmarkStart w:id="419" w:name="_Ref125362865"/>
      <w:bookmarkStart w:id="420" w:name="_Ref125362900"/>
      <w:bookmarkStart w:id="421" w:name="_Toc229567082"/>
      <w:bookmarkEnd w:id="417"/>
      <w:bookmarkEnd w:id="418"/>
      <w:r>
        <w:rPr/>
        <w:t>Приложение № 6 – Состав заявки</w:t>
      </w:r>
      <w:bookmarkEnd w:id="419"/>
      <w:bookmarkEnd w:id="420"/>
      <w:bookmarkEnd w:id="421"/>
    </w:p>
    <w:p>
      <w:pPr>
        <w:pStyle w:val="Style26"/>
        <w:rPr/>
      </w:pPr>
      <w:bookmarkStart w:id="422" w:name="__RefHeading___Toc97584_534302689"/>
      <w:bookmarkStart w:id="423" w:name="_Toc229567083"/>
      <w:bookmarkEnd w:id="422"/>
      <w:r>
        <w:rPr/>
        <w:t>Состав заявки</w:t>
      </w:r>
      <w:bookmarkEnd w:id="423"/>
    </w:p>
    <w:p>
      <w:pPr>
        <w:pStyle w:val="Style27"/>
        <w:spacing w:before="120" w:after="120"/>
        <w:rPr/>
      </w:pPr>
      <w:r>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4"/>
          </w:rPr>
          <w:t>Приложении № 4</w:t>
        </w:r>
      </w:hyperlink>
      <w:r>
        <w:rPr/>
        <w:t>):</w:t>
      </w:r>
    </w:p>
    <w:tbl>
      <w:tblPr>
        <w:tblStyle w:val="af6"/>
        <w:tblW w:w="8783" w:type="dxa"/>
        <w:jc w:val="left"/>
        <w:tblInd w:w="1191"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4"/>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Техническое предложение (форма 4);</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4" w:name="_Ref130389408"/>
            <w:bookmarkStart w:id="425" w:name="_Ref130389408"/>
            <w:bookmarkEnd w:id="425"/>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6" w:name="_Ref130389413"/>
            <w:bookmarkStart w:id="427" w:name="_Ref130389413"/>
            <w:bookmarkEnd w:id="427"/>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8" w:name="_Ref130389419"/>
            <w:bookmarkStart w:id="429" w:name="_Ref130389419"/>
            <w:bookmarkEnd w:id="429"/>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Normal"/>
              <w:widowControl w:val="false"/>
              <w:suppressAutoHyphens w:val="true"/>
              <w:spacing w:before="120" w:after="0"/>
              <w:jc w:val="both"/>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условиями проводимой закупки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1"/>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План распределения объемов поставки продукции (форма 10);</w:t>
            </w:r>
          </w:p>
          <w:p>
            <w:pPr>
              <w:pStyle w:val="Style31"/>
              <w:widowControl w:val="false"/>
              <w:numPr>
                <w:ilvl w:val="0"/>
                <w:numId w:val="8"/>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Style w:val="Style14"/>
                <w:rFonts w:eastAsia="Calibri" w:cs=""/>
                <w:kern w:val="0"/>
                <w:sz w:val="26"/>
                <w:szCs w:val="22"/>
                <w:lang w:val="ru-RU" w:eastAsia="en-US" w:bidi="ar-SA"/>
              </w:rPr>
              <w:t>;</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rStyle w:val="Style11"/>
          <w:i w:val="false"/>
          <w:i w:val="false"/>
          <w:iCs w:val="false"/>
          <w:shd w:fill="auto" w:val="clear"/>
        </w:rPr>
      </w:pPr>
      <w:r>
        <w:rPr>
          <w:rStyle w:val="Style11"/>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5"/>
        <w:rPr/>
      </w:pPr>
      <w:bookmarkStart w:id="430" w:name="__RefHeading___Toc97586_534302689"/>
      <w:bookmarkStart w:id="431" w:name="Прил07_ОтборочныеКритерии"/>
      <w:bookmarkStart w:id="432" w:name="_Ref125365264"/>
      <w:bookmarkStart w:id="433" w:name="_Toc229567084"/>
      <w:bookmarkEnd w:id="430"/>
      <w:bookmarkEnd w:id="431"/>
      <w:r>
        <w:rPr/>
        <w:t>Приложение № 7 – Отборочные критерии рассмотрения заявок</w:t>
      </w:r>
      <w:bookmarkEnd w:id="432"/>
      <w:bookmarkEnd w:id="433"/>
    </w:p>
    <w:p>
      <w:pPr>
        <w:pStyle w:val="Style26"/>
        <w:spacing w:before="360" w:after="120"/>
        <w:rPr>
          <w:rStyle w:val="Style11"/>
          <w:i w:val="false"/>
          <w:i w:val="false"/>
          <w:iCs w:val="false"/>
          <w:shd w:fill="auto" w:val="clear"/>
        </w:rPr>
      </w:pPr>
      <w:bookmarkStart w:id="434" w:name="__RefHeading___Toc97588_534302689"/>
      <w:bookmarkStart w:id="435" w:name="_Toc229567085"/>
      <w:bookmarkEnd w:id="434"/>
      <w:r>
        <w:rPr>
          <w:rStyle w:val="Style11"/>
          <w:i w:val="false"/>
          <w:iCs w:val="false"/>
          <w:shd w:fill="auto" w:val="clear"/>
        </w:rPr>
        <w:t>Отборочные критерии рассмотрения заявок</w:t>
      </w:r>
      <w:bookmarkEnd w:id="435"/>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Состав заявки и правильность ее оформления, в том числе:</w:t>
            </w:r>
          </w:p>
        </w:tc>
        <w:tc>
          <w:tcPr>
            <w:tcW w:w="3117"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Style14"/>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31"/>
              <w:widowControl w:val="false"/>
              <w:suppressAutoHyphens w:val="true"/>
              <w:spacing w:before="60" w:after="60"/>
              <w:jc w:val="center"/>
              <w:rPr>
                <w:rStyle w:val="Style14"/>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4"/>
                  <w:rFonts w:eastAsia="Calibri" w:cs=""/>
                  <w:kern w:val="0"/>
                  <w:sz w:val="26"/>
                  <w:szCs w:val="22"/>
                  <w:lang w:val="ru-RU" w:eastAsia="en-US" w:bidi="ar-SA"/>
                </w:rPr>
                <w:t>Приложение № 6</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4.17</w:t>
            </w:r>
            <w:r>
              <w:rPr>
                <w:sz w:val="26"/>
                <w:kern w:val="0"/>
                <w:szCs w:val="22"/>
                <w:rFonts w:eastAsia="Calibri" w:cs=""/>
                <w:lang w:val="ru-RU" w:eastAsia="en-US" w:bidi="ar-SA"/>
              </w:rPr>
              <w:fldChar w:fldCharType="end"/>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9918"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117" w:type="dxa"/>
            <w:tcBorders/>
          </w:tcPr>
          <w:p>
            <w:pPr>
              <w:pStyle w:val="Style31"/>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1"/>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918"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
                <w:i/>
                <w:iCs/>
                <w:kern w:val="0"/>
                <w:sz w:val="26"/>
                <w:szCs w:val="22"/>
                <w:lang w:val="en-US" w:eastAsia="en-US" w:bidi="ar-SA"/>
              </w:rPr>
              <w:t> </w:t>
            </w:r>
            <w:r>
              <w:rPr>
                <w:rFonts w:eastAsia="Calibri" w:cs=""/>
                <w:i/>
                <w:iCs/>
                <w:kern w:val="0"/>
                <w:sz w:val="26"/>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_Ref139028406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_Ref186128496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_Ref186128193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_Ref186128193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_Ref186128503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_Ref186128193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_Ref186128193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квалификационным требованиям к Участникам</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_Ref125550270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1"/>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_Ref125370199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1"/>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918"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4"/>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1"/>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1"/>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исполнения Заказчиком</w:t>
            </w:r>
            <w:r>
              <w:rPr>
                <w:rFonts w:eastAsia="Calibri" w:cs=""/>
                <w:kern w:val="0"/>
                <w:sz w:val="26"/>
                <w:szCs w:val="22"/>
                <w:lang w:val="ru-RU" w:eastAsia="en-US" w:bidi="ar-SA"/>
              </w:rPr>
              <w:t xml:space="preserve"> </w:t>
            </w:r>
            <w:r>
              <w:rPr>
                <w:rFonts w:eastAsia="Calibri" w:cs=""/>
                <w:i/>
                <w:iCs/>
                <w:kern w:val="0"/>
                <w:sz w:val="26"/>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_Ref186128193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_Ref186128193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1"/>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p>
            <w:pPr>
              <w:pStyle w:val="Style31"/>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_Ref186128193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_Ref186128193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 xml:space="preserve">Коммерческому приложению,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p>
            <w:pPr>
              <w:pStyle w:val="Style31"/>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4"/>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6"/>
        <w:rPr>
          <w:rStyle w:val="Style11"/>
          <w:i w:val="false"/>
          <w:i w:val="false"/>
          <w:iCs w:val="false"/>
          <w:shd w:fill="auto" w:val="clear"/>
        </w:rPr>
      </w:pPr>
      <w:bookmarkStart w:id="436" w:name="__RefHeading___Toc97590_534302689"/>
      <w:bookmarkStart w:id="437" w:name="_Toc229567086"/>
      <w:bookmarkEnd w:id="436"/>
      <w:r>
        <w:rPr>
          <w:rStyle w:val="Style11"/>
          <w:i w:val="false"/>
          <w:iCs w:val="false"/>
          <w:shd w:fill="auto" w:val="clear"/>
        </w:rPr>
        <w:t>Дополнительные критерии проверки заявок на соответствие условиям Документации о закупке</w:t>
      </w:r>
      <w:bookmarkEnd w:id="437"/>
    </w:p>
    <w:p>
      <w:pPr>
        <w:pStyle w:val="Style3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критерия проверки</w:t>
            </w:r>
          </w:p>
        </w:tc>
        <w:tc>
          <w:tcPr>
            <w:tcW w:w="3117"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1"/>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_Ref130985951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_Ref130985951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1"/>
        <w:keepNext w:val="true"/>
        <w:tabs>
          <w:tab w:val="clear" w:pos="708"/>
          <w:tab w:val="left" w:pos="851" w:leader="none"/>
        </w:tabs>
        <w:spacing w:before="240" w:after="0"/>
        <w:rPr>
          <w:b/>
          <w:bCs/>
        </w:rPr>
      </w:pPr>
      <w:r>
        <w:rPr>
          <w:b/>
          <w:bCs/>
        </w:rPr>
        <w:t>* Направления оценки заявок:</w:t>
      </w:r>
    </w:p>
    <w:p>
      <w:pPr>
        <w:pStyle w:val="Style31"/>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w:t>
      </w:r>
      <w:r>
        <w:rPr>
          <w:lang w:val="en-US"/>
        </w:rPr>
        <w:t> </w:t>
      </w:r>
      <w:r>
        <w:rPr/>
        <w:t>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w:t>
      </w:r>
      <w:r>
        <w:rPr>
          <w:lang w:val="en-US"/>
        </w:rPr>
        <w:t> </w:t>
      </w:r>
      <w:r>
        <w:rPr/>
        <w:t>контролю и надзору в области налогов и сборов, о применении ими такого налогового режима (https://npd.nalog.ru/check-status/);</w:t>
      </w:r>
    </w:p>
    <w:p>
      <w:pPr>
        <w:pStyle w:val="Style31"/>
        <w:tabs>
          <w:tab w:val="clear" w:pos="708"/>
          <w:tab w:val="left" w:pos="1134" w:leader="none"/>
        </w:tabs>
        <w:ind w:left="1701" w:hanging="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438" w:name="_Hlk207284070"/>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438"/>
      <w:r>
        <w:rPr/>
        <w:t xml:space="preserve">; оценка Технических предложений и сведений, подтверждающих соответствия Участника квалификационным и специальным требованиям; </w:t>
      </w:r>
      <w:bookmarkStart w:id="439" w:name="_Hlk138342998"/>
      <w:r>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439"/>
      <w:r>
        <w:rPr/>
        <w:t>;</w:t>
      </w:r>
    </w:p>
    <w:p>
      <w:pPr>
        <w:pStyle w:val="Style31"/>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1"/>
        <w:keepNext w:val="true"/>
        <w:tabs>
          <w:tab w:val="clear" w:pos="708"/>
          <w:tab w:val="left" w:pos="1134" w:leader="none"/>
        </w:tabs>
        <w:ind w:left="1701" w:hanging="1701"/>
        <w:rPr/>
      </w:pPr>
      <w:r>
        <w:rPr>
          <w:b/>
          <w:bCs/>
        </w:rPr>
        <w:t>Цена</w:t>
      </w:r>
      <w:r>
        <w:rPr/>
        <w:tab/>
        <w:t>–</w:t>
        <w:tab/>
      </w:r>
      <w:bookmarkStart w:id="440" w:name="_Hlk207643647"/>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w:t>
      </w:r>
      <w:bookmarkStart w:id="441" w:name="_Hlk207616717"/>
      <w:r>
        <w:rPr/>
        <w:t>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w:t>
      </w:r>
      <w:bookmarkEnd w:id="440"/>
      <w:bookmarkEnd w:id="441"/>
      <w:r>
        <w:rPr/>
        <w:t xml:space="preserve"> непревышения ценового предложения участника установленного размера НМЦ.</w:t>
      </w:r>
    </w:p>
    <w:p>
      <w:pPr>
        <w:pStyle w:val="Style31"/>
        <w:tabs>
          <w:tab w:val="clear" w:pos="708"/>
          <w:tab w:val="left" w:pos="1134" w:leader="none"/>
        </w:tabs>
        <w:ind w:left="1701" w:hanging="1701"/>
        <w:rPr/>
      </w:pPr>
      <w:r>
        <w:rPr>
          <w:b/>
          <w:bCs/>
        </w:rPr>
        <w:t>Фин</w:t>
      </w:r>
      <w:r>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банковской гарантии)</w:t>
      </w:r>
      <w:r>
        <w:rPr/>
        <w:t>.</w:t>
      </w:r>
    </w:p>
    <w:p>
      <w:pPr>
        <w:sectPr>
          <w:headerReference w:type="default" r:id="rId31"/>
          <w:headerReference w:type="first" r:id="rId32"/>
          <w:footerReference w:type="default" r:id="rId33"/>
          <w:footerReference w:type="first" r:id="rId34"/>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31"/>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5"/>
        <w:rPr/>
      </w:pPr>
      <w:bookmarkStart w:id="442" w:name="__RefHeading___Toc97592_534302689"/>
      <w:bookmarkStart w:id="443" w:name="_Ref125368302"/>
      <w:bookmarkStart w:id="444" w:name="_Ref125368283"/>
      <w:bookmarkStart w:id="445" w:name="_Ref125368165"/>
      <w:bookmarkStart w:id="446" w:name="_Ref125361648"/>
      <w:bookmarkStart w:id="447" w:name="_Ref125361951"/>
      <w:bookmarkStart w:id="448" w:name="_Ref125366013"/>
      <w:bookmarkStart w:id="449" w:name="_Ref125366280"/>
      <w:bookmarkStart w:id="450" w:name="_Ref125366285"/>
      <w:bookmarkStart w:id="451" w:name="_Ref125368140"/>
      <w:bookmarkStart w:id="452" w:name="_Ref125368291"/>
      <w:bookmarkStart w:id="453" w:name="_Ref125368313"/>
      <w:bookmarkStart w:id="454" w:name="_Ref125368331"/>
      <w:bookmarkStart w:id="455" w:name="_Ref125369021"/>
      <w:bookmarkStart w:id="456" w:name="_Ref125369438"/>
      <w:bookmarkStart w:id="457" w:name="_Ref125368172"/>
      <w:bookmarkStart w:id="458" w:name="_Toc229567087"/>
      <w:bookmarkStart w:id="459" w:name="_Ref125368150"/>
      <w:bookmarkStart w:id="460" w:name="Прил08_ПорядокОценки"/>
      <w:bookmarkStart w:id="461" w:name="_Ref125368184"/>
      <w:bookmarkEnd w:id="442"/>
      <w:bookmarkEnd w:id="460"/>
      <w:r>
        <w:rPr/>
        <w:t>Приложение № 8 – Порядок и критерии оценки и сопоставления заявок</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1"/>
    </w:p>
    <w:p>
      <w:pPr>
        <w:pStyle w:val="Style26"/>
        <w:rPr/>
      </w:pPr>
      <w:bookmarkStart w:id="462" w:name="__RefHeading___Toc97594_534302689"/>
      <w:bookmarkStart w:id="463" w:name="_Toc229567089"/>
      <w:bookmarkEnd w:id="462"/>
      <w:r>
        <w:rPr/>
        <w:t>Порядок и критерии оценки и сопоставления заявок</w:t>
      </w:r>
      <w:bookmarkEnd w:id="463"/>
    </w:p>
    <w:p>
      <w:pPr>
        <w:pStyle w:val="Style27"/>
        <w:rPr/>
      </w:pPr>
      <w:r>
        <w:rPr/>
        <w:t>Расчет итоговой оценки предпочтительности каждой заявки, успешно прошедшей отборочную стадию (подраздел </w:t>
      </w:r>
      <w:r>
        <w:rPr/>
        <w:fldChar w:fldCharType="begin"/>
      </w:r>
      <w:r>
        <w:rPr/>
        <w:instrText xml:space="preserve"> REF _Ref125362364 \w \h </w:instrText>
      </w:r>
      <w:r>
        <w:rPr/>
        <w:fldChar w:fldCharType="separate"/>
      </w:r>
      <w:r>
        <w:rPr/>
        <w:t>4.9</w:t>
      </w:r>
      <w:r>
        <w:rPr/>
        <w:fldChar w:fldCharType="end"/>
      </w:r>
      <w:r>
        <w:rPr/>
        <w:t>),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4445" w:type="dxa"/>
        <w:jc w:val="left"/>
        <w:tblInd w:w="226" w:type="dxa"/>
        <w:tblLayout w:type="fixed"/>
        <w:tblCellMar>
          <w:top w:w="0" w:type="dxa"/>
          <w:left w:w="108" w:type="dxa"/>
          <w:bottom w:w="0" w:type="dxa"/>
          <w:right w:w="108" w:type="dxa"/>
        </w:tblCellMar>
        <w:tblLook w:val="04a0" w:noVBand="1" w:noHBand="0" w:lastColumn="0" w:firstColumn="1" w:lastRow="0" w:firstRow="1"/>
      </w:tblPr>
      <w:tblGrid>
        <w:gridCol w:w="1102"/>
        <w:gridCol w:w="1414"/>
        <w:gridCol w:w="1417"/>
        <w:gridCol w:w="1420"/>
        <w:gridCol w:w="1135"/>
        <w:gridCol w:w="1839"/>
        <w:gridCol w:w="6117"/>
      </w:tblGrid>
      <w:tr>
        <w:trPr>
          <w:cantSplit w:val="true"/>
        </w:trPr>
        <w:tc>
          <w:tcPr>
            <w:tcW w:w="1102"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Номер критерия оценки в структуре</w:t>
            </w:r>
          </w:p>
        </w:tc>
        <w:tc>
          <w:tcPr>
            <w:tcW w:w="1414"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Вид критерия оценки / направление оценки заявок</w:t>
            </w:r>
          </w:p>
        </w:tc>
        <w:tc>
          <w:tcPr>
            <w:tcW w:w="2837" w:type="dxa"/>
            <w:gridSpan w:val="2"/>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Наименование критерия оценки</w:t>
            </w:r>
          </w:p>
        </w:tc>
        <w:tc>
          <w:tcPr>
            <w:tcW w:w="1135"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Значимость критерия оценки</w:t>
            </w:r>
          </w:p>
        </w:tc>
        <w:tc>
          <w:tcPr>
            <w:tcW w:w="1839"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Содержание частного критерия оценки</w:t>
            </w:r>
          </w:p>
        </w:tc>
        <w:tc>
          <w:tcPr>
            <w:tcW w:w="6117"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Расчет оценки предпочтительности заявки</w:t>
            </w:r>
          </w:p>
        </w:tc>
      </w:tr>
      <w:tr>
        <w:trPr>
          <w:cantSplit w:val="true"/>
        </w:trPr>
        <w:tc>
          <w:tcPr>
            <w:tcW w:w="1102"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c>
          <w:tcPr>
            <w:tcW w:w="1414"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c>
          <w:tcPr>
            <w:tcW w:w="1417" w:type="dxa"/>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критерий оценки первого уровня</w:t>
            </w:r>
          </w:p>
        </w:tc>
        <w:tc>
          <w:tcPr>
            <w:tcW w:w="1420" w:type="dxa"/>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критерий оценки второго уровня</w:t>
            </w:r>
          </w:p>
        </w:tc>
        <w:tc>
          <w:tcPr>
            <w:tcW w:w="1135"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c>
          <w:tcPr>
            <w:tcW w:w="1839"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c>
          <w:tcPr>
            <w:tcW w:w="6117"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r>
      <w:tr>
        <w:trPr/>
        <w:tc>
          <w:tcPr>
            <w:tcW w:w="1102"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1.</w:t>
            </w:r>
          </w:p>
        </w:tc>
        <w:tc>
          <w:tcPr>
            <w:tcW w:w="1414"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Ценовой (стоимостный) частный критерий оценки первого уровня / ЦЕНА</w:t>
            </w:r>
          </w:p>
        </w:tc>
        <w:tc>
          <w:tcPr>
            <w:tcW w:w="1417"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Цена договора (заявки)</w:t>
            </w:r>
          </w:p>
        </w:tc>
        <w:tc>
          <w:tcPr>
            <w:tcW w:w="1420"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i/>
                <w:sz w:val="22"/>
                <w:szCs w:val="22"/>
                <w:lang w:eastAsia="ru-RU"/>
              </w:rPr>
              <w:t>отсутствует</w:t>
            </w:r>
          </w:p>
        </w:tc>
        <w:tc>
          <w:tcPr>
            <w:tcW w:w="1135"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val="en-US" w:eastAsia="ru-RU"/>
              </w:rPr>
              <w:t>90</w:t>
            </w:r>
            <w:r>
              <w:rPr>
                <w:sz w:val="22"/>
                <w:szCs w:val="22"/>
                <w:lang w:eastAsia="ru-RU"/>
              </w:rPr>
              <w:t>%</w:t>
              <w:br/>
              <w:t>(В</w:t>
            </w:r>
            <w:r>
              <w:rPr>
                <w:sz w:val="22"/>
                <w:szCs w:val="22"/>
                <w:vertAlign w:val="subscript"/>
                <w:lang w:eastAsia="ru-RU"/>
              </w:rPr>
              <w:t>1</w:t>
            </w:r>
            <w:r>
              <w:rPr>
                <w:sz w:val="22"/>
                <w:szCs w:val="22"/>
                <w:lang w:eastAsia="ru-RU"/>
              </w:rPr>
              <w:t xml:space="preserve"> = 0,</w:t>
            </w:r>
            <w:r>
              <w:rPr>
                <w:sz w:val="22"/>
                <w:szCs w:val="22"/>
                <w:lang w:val="en-US" w:eastAsia="ru-RU"/>
              </w:rPr>
              <w:t>90</w:t>
            </w:r>
            <w:r>
              <w:rPr>
                <w:sz w:val="22"/>
                <w:szCs w:val="22"/>
                <w:lang w:eastAsia="ru-RU"/>
              </w:rPr>
              <w:t>)</w:t>
            </w:r>
          </w:p>
        </w:tc>
        <w:tc>
          <w:tcPr>
            <w:tcW w:w="1839"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Чем меньше цена заявки Участника, тем выше предпочтительность</w:t>
            </w:r>
          </w:p>
        </w:tc>
        <w:tc>
          <w:tcPr>
            <w:tcW w:w="6117" w:type="dxa"/>
            <w:tcBorders>
              <w:top w:val="single" w:sz="4" w:space="0" w:color="000000"/>
              <w:left w:val="single" w:sz="4" w:space="0" w:color="000000"/>
              <w:bottom w:val="single" w:sz="4" w:space="0" w:color="000000"/>
              <w:right w:val="single" w:sz="4" w:space="0" w:color="000000"/>
            </w:tcBorders>
            <w:shd w:color="auto" w:fill="FFFFFF" w:val="clear"/>
          </w:tcPr>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Расчет оценки предпочтительности по частному критерию по методу «Математическая формула, задающая «функцию ценности»»:</w:t>
            </w:r>
          </w:p>
          <w:p>
            <w:pPr>
              <w:pStyle w:val="2"/>
              <w:widowControl w:val="false"/>
              <w:numPr>
                <w:ilvl w:val="0"/>
                <w:numId w:val="0"/>
              </w:numPr>
              <w:spacing w:lineRule="auto" w:line="240" w:before="0" w:after="0"/>
              <w:ind w:left="0" w:right="0" w:hanging="0"/>
              <w:jc w:val="center"/>
              <w:rPr>
                <w:rFonts w:ascii="Times New Roman" w:hAnsi="Times New Roman"/>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QUOTE</w:instrText>
            </w:r>
            <w:r>
              <w:rPr/>
            </w:r>
            <w:r>
              <w:rPr/>
              <w:drawing>
                <wp:inline distT="0" distB="0" distL="0" distR="0">
                  <wp:extent cx="1009650" cy="295275"/>
                  <wp:effectExtent l="0" t="0" r="0" b="0"/>
                  <wp:docPr id="1"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08" descr=""/>
                          <pic:cNvPicPr>
                            <a:picLocks noChangeAspect="1" noChangeArrowheads="1"/>
                          </pic:cNvPicPr>
                        </pic:nvPicPr>
                        <pic:blipFill>
                          <a:blip r:embed="rId35"/>
                          <a:stretch>
                            <a:fillRect/>
                          </a:stretch>
                        </pic:blipFill>
                        <pic:spPr bwMode="auto">
                          <a:xfrm>
                            <a:off x="0" y="0"/>
                            <a:ext cx="1009650" cy="295275"/>
                          </a:xfrm>
                          <a:prstGeom prst="rect">
                            <a:avLst/>
                          </a:prstGeom>
                        </pic:spPr>
                      </pic:pic>
                    </a:graphicData>
                  </a:graphic>
                </wp:inline>
              </w:drawing>
            </w:r>
            <w:r>
              <w:rPr>
                <w:sz w:val="22"/>
                <w:szCs w:val="22"/>
              </w:rPr>
              <w:fldChar w:fldCharType="separate"/>
            </w:r>
            <w:r>
              <w:rPr>
                <w:sz w:val="22"/>
                <w:szCs w:val="22"/>
              </w:rPr>
            </w:r>
            <w:r/>
            <w:r>
              <w:rPr>
                <w:sz w:val="22"/>
                <w:szCs w:val="22"/>
              </w:rPr>
              <w:fldChar w:fldCharType="end"/>
            </w:r>
            <w:r>
              <w:rPr>
                <w:sz w:val="22"/>
                <w:szCs w:val="22"/>
              </w:rPr>
            </w:r>
          </w:p>
          <w:p>
            <w:pPr>
              <w:pStyle w:val="2"/>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где:</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sz w:val="22"/>
                <w:szCs w:val="22"/>
                <w:lang w:eastAsia="ru-RU"/>
              </w:rPr>
              <w:t>Б</w:t>
            </w:r>
            <w:r>
              <w:rPr>
                <w:sz w:val="22"/>
                <w:szCs w:val="22"/>
                <w:vertAlign w:val="subscript"/>
                <w:lang w:eastAsia="ru-RU"/>
              </w:rPr>
              <w:t>1</w:t>
            </w:r>
            <w:r>
              <w:rPr>
                <w:sz w:val="22"/>
                <w:szCs w:val="22"/>
                <w:lang w:eastAsia="ru-RU"/>
              </w:rPr>
              <w:tab/>
              <w:t>–</w:t>
              <w:tab/>
              <w:t>рассчитанная оценка предпочтительности по данному частному критерию оценки в баллах;</w:t>
            </w:r>
          </w:p>
          <w:p>
            <w:pPr>
              <w:pStyle w:val="Normal"/>
              <w:widowControl w:val="false"/>
              <w:numPr>
                <w:ilvl w:val="0"/>
              </w:numPr>
              <w:spacing w:lineRule="auto" w:line="240" w:before="0" w:after="0"/>
              <w:ind w:left="0" w:right="0" w:hanging="0"/>
              <w:rPr>
                <w:rFonts w:ascii="Times New Roman" w:hAnsi="Times New Roman"/>
                <w:sz w:val="22"/>
                <w:szCs w:val="22"/>
              </w:rPr>
            </w:pPr>
            <w:r>
              <w:rPr>
                <w:sz w:val="22"/>
                <w:szCs w:val="22"/>
              </w:rPr>
              <w:t>ЦЕНА</w:t>
            </w:r>
            <w:r>
              <w:rPr>
                <w:i/>
                <w:iCs/>
                <w:sz w:val="22"/>
                <w:szCs w:val="22"/>
                <w:vertAlign w:val="subscript"/>
                <w:lang w:val="en-US"/>
              </w:rPr>
              <w:t>i</w:t>
            </w:r>
            <w:r>
              <w:rPr>
                <w:sz w:val="22"/>
                <w:szCs w:val="22"/>
              </w:rPr>
              <w:t xml:space="preserve">  – </w:t>
            </w:r>
            <w:r>
              <w:rPr>
                <w:rFonts w:eastAsia="Calibri"/>
                <w:sz w:val="22"/>
                <w:szCs w:val="22"/>
              </w:rPr>
              <w:t xml:space="preserve">цена договора (заявки), указанная в </w:t>
            </w:r>
            <w:r>
              <w:rPr>
                <w:rFonts w:eastAsia="Calibri"/>
                <w:sz w:val="22"/>
                <w:szCs w:val="22"/>
                <w:lang w:val="en-US"/>
              </w:rPr>
              <w:t>i</w:t>
            </w:r>
            <w:r>
              <w:rPr>
                <w:rFonts w:eastAsia="Calibri"/>
                <w:sz w:val="22"/>
                <w:szCs w:val="22"/>
              </w:rPr>
              <w:t xml:space="preserve">-той заявке (в Коммерческом предложении по установленной в документации о закупке форме </w:t>
            </w:r>
            <w:r>
              <w:rPr>
                <w:sz w:val="22"/>
                <w:szCs w:val="22"/>
                <w:shd w:fill="FFFFFF" w:val="clear"/>
              </w:rPr>
              <w:t>[</w:t>
            </w:r>
            <w:r>
              <w:rPr>
                <w:i/>
                <w:sz w:val="22"/>
                <w:szCs w:val="22"/>
                <w:shd w:fill="FFFFFF" w:val="clear"/>
              </w:rPr>
              <w:t>указать соответствующий номер формы</w:t>
            </w:r>
            <w:r>
              <w:rPr>
                <w:sz w:val="22"/>
                <w:szCs w:val="22"/>
                <w:shd w:fill="FFFFFF" w:val="clear"/>
              </w:rPr>
              <w:t>]</w:t>
            </w:r>
            <w:r>
              <w:rPr>
                <w:rFonts w:eastAsia="Calibri"/>
                <w:sz w:val="22"/>
                <w:szCs w:val="22"/>
                <w:shd w:fill="FFFFFF" w:val="clear"/>
              </w:rPr>
              <w:t xml:space="preserve">) допущенного участника, </w:t>
            </w:r>
            <w:r>
              <w:rPr>
                <w:sz w:val="22"/>
                <w:szCs w:val="22"/>
                <w:shd w:fill="FFFFFF" w:val="clear"/>
              </w:rPr>
              <w:t>руб. без учета НДС ;</w:t>
            </w:r>
          </w:p>
          <w:p>
            <w:pPr>
              <w:pStyle w:val="Normal"/>
              <w:widowControl w:val="false"/>
              <w:numPr>
                <w:ilvl w:val="0"/>
              </w:numPr>
              <w:spacing w:lineRule="auto" w:line="240" w:before="0" w:after="0"/>
              <w:ind w:left="0" w:right="0" w:hanging="0"/>
              <w:rPr>
                <w:rFonts w:ascii="Times New Roman" w:hAnsi="Times New Roman"/>
                <w:sz w:val="22"/>
                <w:szCs w:val="22"/>
              </w:rPr>
            </w:pPr>
            <w:r>
              <w:rPr>
                <w:sz w:val="22"/>
                <w:szCs w:val="22"/>
                <w:shd w:fill="FFFFFF" w:val="clear"/>
              </w:rPr>
              <w:t>ЦЕНА</w:t>
            </w:r>
            <w:r>
              <w:rPr>
                <w:sz w:val="22"/>
                <w:szCs w:val="22"/>
                <w:shd w:fill="FFFFFF" w:val="clear"/>
                <w:vertAlign w:val="subscript"/>
                <w:lang w:val="en-US"/>
              </w:rPr>
              <w:t>min</w:t>
            </w:r>
            <w:r>
              <w:rPr>
                <w:sz w:val="22"/>
                <w:szCs w:val="22"/>
                <w:shd w:fill="FFFFFF" w:val="clear"/>
                <w:vertAlign w:val="subscript"/>
              </w:rPr>
              <w:t xml:space="preserve"> </w:t>
            </w:r>
            <w:r>
              <w:rPr>
                <w:sz w:val="22"/>
                <w:szCs w:val="22"/>
                <w:shd w:fill="FFFFFF" w:val="clear"/>
              </w:rPr>
              <w:t>– минимальная цена договора (заявки) среди всех допу</w:t>
            </w:r>
            <w:r>
              <w:rPr>
                <w:sz w:val="22"/>
                <w:szCs w:val="22"/>
              </w:rPr>
              <w:t>щенных заявок участников, руб. без учета НДС;</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sz w:val="22"/>
                <w:szCs w:val="22"/>
                <w:lang w:eastAsia="ru-RU"/>
              </w:rPr>
              <w:t>Ш</w:t>
              <w:tab/>
              <w:t>–</w:t>
              <w:tab/>
              <w:t>максимально возможный балл (максимальная возможная оценка предпочтительности) по шкале оценок (Ш = 5).</w:t>
            </w:r>
          </w:p>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22"/>
                <w:szCs w:val="22"/>
              </w:rPr>
              <w:t>.</w:t>
            </w:r>
          </w:p>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Шкала оценок от 0 до 5 баллов.</w:t>
            </w:r>
          </w:p>
        </w:tc>
      </w:tr>
      <w:tr>
        <w:trPr/>
        <w:tc>
          <w:tcPr>
            <w:tcW w:w="1102"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2.</w:t>
            </w:r>
          </w:p>
        </w:tc>
        <w:tc>
          <w:tcPr>
            <w:tcW w:w="1414"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Неценовой критерий оценки первого уровня / ТЕХ</w:t>
            </w:r>
          </w:p>
        </w:tc>
        <w:tc>
          <w:tcPr>
            <w:tcW w:w="1417"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Квалификация (предпочти-тельность) Участника</w:t>
            </w:r>
          </w:p>
        </w:tc>
        <w:tc>
          <w:tcPr>
            <w:tcW w:w="1420"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i/>
                <w:sz w:val="22"/>
                <w:szCs w:val="22"/>
                <w:lang w:eastAsia="ru-RU"/>
              </w:rPr>
              <w:t>отсутствует</w:t>
            </w:r>
          </w:p>
        </w:tc>
        <w:tc>
          <w:tcPr>
            <w:tcW w:w="1135"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val="en-US" w:eastAsia="ru-RU"/>
              </w:rPr>
              <w:t>10</w:t>
            </w:r>
            <w:r>
              <w:rPr>
                <w:sz w:val="22"/>
                <w:szCs w:val="22"/>
                <w:lang w:eastAsia="ru-RU"/>
              </w:rPr>
              <w:t>%</w:t>
              <w:br/>
              <w:t>(В</w:t>
            </w:r>
            <w:r>
              <w:rPr>
                <w:sz w:val="22"/>
                <w:szCs w:val="22"/>
                <w:vertAlign w:val="subscript"/>
                <w:lang w:eastAsia="ru-RU"/>
              </w:rPr>
              <w:t>2</w:t>
            </w:r>
            <w:r>
              <w:rPr>
                <w:sz w:val="22"/>
                <w:szCs w:val="22"/>
                <w:lang w:eastAsia="ru-RU"/>
              </w:rPr>
              <w:t xml:space="preserve"> = 0,10)</w:t>
            </w:r>
          </w:p>
        </w:tc>
        <w:tc>
          <w:tcPr>
            <w:tcW w:w="1839"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Чем больше опыт (до оцениваемого предела), тем выше предпочтительность</w:t>
            </w:r>
          </w:p>
        </w:tc>
        <w:tc>
          <w:tcPr>
            <w:tcW w:w="6117"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 xml:space="preserve">Порядок осуществления оценки (значение оцениваемого параметра), в зависимости от предоставленных в </w:t>
            </w:r>
            <w:r>
              <w:rPr>
                <w:i/>
                <w:sz w:val="22"/>
                <w:szCs w:val="22"/>
                <w:lang w:val="en-US" w:eastAsia="ru-RU"/>
              </w:rPr>
              <w:t>i</w:t>
            </w:r>
            <w:r>
              <w:rPr>
                <w:sz w:val="22"/>
                <w:szCs w:val="22"/>
                <w:lang w:eastAsia="ru-RU"/>
              </w:rPr>
              <w:t>-ой исполненных договоров и актов выполненных работ, подписанных с обеих сторон, подтверждающих опыт, требуемый в соответствии п. (8.1) документации о закупке, на общую сумму:</w:t>
            </w:r>
          </w:p>
          <w:tbl>
            <w:tblPr>
              <w:tblW w:w="5985"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883"/>
              <w:gridCol w:w="5101"/>
            </w:tblGrid>
            <w:tr>
              <w:trPr>
                <w:cantSplit w:val="true"/>
              </w:trPr>
              <w:tc>
                <w:tcPr>
                  <w:tcW w:w="883" w:type="dxa"/>
                  <w:tcBorders>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0</w:t>
                  </w:r>
                </w:p>
              </w:tc>
              <w:tc>
                <w:tcPr>
                  <w:tcW w:w="5101" w:type="dxa"/>
                  <w:tcBorders>
                    <w:left w:val="single" w:sz="4" w:space="0" w:color="000000"/>
                    <w:bottom w:val="single" w:sz="4" w:space="0" w:color="000000"/>
                  </w:tcBorders>
                </w:tcPr>
                <w:p>
                  <w:pPr>
                    <w:pStyle w:val="-3"/>
                    <w:widowControl w:val="false"/>
                    <w:numPr>
                      <w:ilvl w:val="0"/>
                      <w:numId w:val="0"/>
                    </w:numPr>
                    <w:spacing w:lineRule="auto" w:line="240" w:before="0" w:after="0"/>
                    <w:ind w:left="0" w:right="0" w:hanging="0"/>
                    <w:jc w:val="left"/>
                    <w:rPr>
                      <w:rFonts w:ascii="Times New Roman" w:hAnsi="Times New Roman"/>
                      <w:sz w:val="22"/>
                      <w:szCs w:val="22"/>
                    </w:rPr>
                  </w:pPr>
                  <w:r>
                    <w:rPr>
                      <w:i w:val="false"/>
                      <w:iCs w:val="false"/>
                      <w:color w:val="000000"/>
                      <w:sz w:val="22"/>
                      <w:szCs w:val="22"/>
                    </w:rPr>
                    <w:t xml:space="preserve">от </w:t>
                  </w:r>
                  <w:r>
                    <w:rPr>
                      <w:i w:val="false"/>
                      <w:iCs w:val="false"/>
                      <w:color w:val="000000"/>
                      <w:sz w:val="22"/>
                      <w:szCs w:val="22"/>
                      <w:shd w:fill="FFFFFF" w:val="clear"/>
                    </w:rPr>
                    <w:t>30</w:t>
                  </w:r>
                  <w:r>
                    <w:rPr>
                      <w:i w:val="false"/>
                      <w:iCs w:val="false"/>
                      <w:color w:val="000000"/>
                      <w:sz w:val="22"/>
                      <w:szCs w:val="22"/>
                    </w:rPr>
                    <w:t xml:space="preserve"> % от НМЦ, без учета НДС, до </w:t>
                  </w:r>
                  <w:r>
                    <w:rPr>
                      <w:i w:val="false"/>
                      <w:iCs w:val="false"/>
                      <w:color w:val="000000"/>
                      <w:sz w:val="22"/>
                      <w:szCs w:val="22"/>
                      <w:shd w:fill="FFFFFF" w:val="clear"/>
                    </w:rPr>
                    <w:t xml:space="preserve">40 </w:t>
                  </w:r>
                  <w:r>
                    <w:rPr>
                      <w:i w:val="false"/>
                      <w:iCs w:val="false"/>
                      <w:color w:val="000000"/>
                      <w:sz w:val="22"/>
                      <w:szCs w:val="22"/>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1</w:t>
                  </w:r>
                </w:p>
              </w:tc>
              <w:tc>
                <w:tcPr>
                  <w:tcW w:w="5101" w:type="dxa"/>
                  <w:tcBorders>
                    <w:top w:val="single" w:sz="4" w:space="0" w:color="000000"/>
                    <w:left w:val="single" w:sz="4" w:space="0" w:color="000000"/>
                    <w:bottom w:val="single" w:sz="4" w:space="0" w:color="000000"/>
                  </w:tcBorders>
                </w:tcPr>
                <w:p>
                  <w:pPr>
                    <w:pStyle w:val="-3"/>
                    <w:widowControl w:val="false"/>
                    <w:tabs>
                      <w:tab w:val="clear" w:pos="360"/>
                    </w:tabs>
                    <w:spacing w:lineRule="auto" w:line="240" w:before="0" w:after="0"/>
                    <w:ind w:left="0" w:right="0" w:hanging="0"/>
                    <w:jc w:val="left"/>
                    <w:rPr>
                      <w:rFonts w:ascii="Times New Roman" w:hAnsi="Times New Roman"/>
                      <w:sz w:val="22"/>
                      <w:szCs w:val="22"/>
                    </w:rPr>
                  </w:pPr>
                  <w:r>
                    <w:rPr>
                      <w:i w:val="false"/>
                      <w:iCs w:val="false"/>
                      <w:color w:val="000000"/>
                      <w:sz w:val="22"/>
                      <w:szCs w:val="22"/>
                    </w:rPr>
                    <w:t>- от 4</w:t>
                  </w:r>
                  <w:r>
                    <w:rPr>
                      <w:i w:val="false"/>
                      <w:iCs w:val="false"/>
                      <w:color w:val="000000"/>
                      <w:sz w:val="22"/>
                      <w:szCs w:val="22"/>
                      <w:shd w:fill="FFFFFF" w:val="clear"/>
                    </w:rPr>
                    <w:t>0</w:t>
                  </w:r>
                  <w:r>
                    <w:rPr>
                      <w:i w:val="false"/>
                      <w:iCs w:val="false"/>
                      <w:color w:val="000000"/>
                      <w:sz w:val="22"/>
                      <w:szCs w:val="22"/>
                    </w:rPr>
                    <w:t xml:space="preserve"> % от НМЦ, без учета НДС, до 5</w:t>
                  </w:r>
                  <w:r>
                    <w:rPr>
                      <w:i w:val="false"/>
                      <w:iCs w:val="false"/>
                      <w:color w:val="000000"/>
                      <w:sz w:val="22"/>
                      <w:szCs w:val="22"/>
                      <w:shd w:fill="FFFFFF" w:val="clear"/>
                    </w:rPr>
                    <w:t xml:space="preserve">0 </w:t>
                  </w:r>
                  <w:r>
                    <w:rPr>
                      <w:i w:val="false"/>
                      <w:iCs w:val="false"/>
                      <w:color w:val="000000"/>
                      <w:sz w:val="22"/>
                      <w:szCs w:val="22"/>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2</w:t>
                  </w:r>
                </w:p>
              </w:tc>
              <w:tc>
                <w:tcPr>
                  <w:tcW w:w="5101" w:type="dxa"/>
                  <w:tcBorders>
                    <w:top w:val="single" w:sz="4" w:space="0" w:color="000000"/>
                    <w:left w:val="single" w:sz="4" w:space="0" w:color="000000"/>
                    <w:bottom w:val="single" w:sz="4" w:space="0" w:color="000000"/>
                  </w:tcBorders>
                </w:tcPr>
                <w:p>
                  <w:pPr>
                    <w:pStyle w:val="-3"/>
                    <w:widowControl w:val="false"/>
                    <w:numPr>
                      <w:ilvl w:val="0"/>
                      <w:numId w:val="0"/>
                    </w:numPr>
                    <w:spacing w:lineRule="auto" w:line="240" w:before="0" w:after="0"/>
                    <w:ind w:left="0" w:right="0" w:hanging="0"/>
                    <w:jc w:val="left"/>
                    <w:rPr>
                      <w:rFonts w:ascii="Times New Roman" w:hAnsi="Times New Roman"/>
                      <w:sz w:val="22"/>
                      <w:szCs w:val="22"/>
                    </w:rPr>
                  </w:pPr>
                  <w:r>
                    <w:rPr>
                      <w:i w:val="false"/>
                      <w:iCs w:val="false"/>
                      <w:color w:val="000000"/>
                      <w:sz w:val="22"/>
                      <w:szCs w:val="22"/>
                    </w:rPr>
                    <w:t>от 5</w:t>
                  </w:r>
                  <w:r>
                    <w:rPr>
                      <w:i w:val="false"/>
                      <w:iCs w:val="false"/>
                      <w:color w:val="000000"/>
                      <w:sz w:val="22"/>
                      <w:szCs w:val="22"/>
                      <w:shd w:fill="FFFFFF" w:val="clear"/>
                    </w:rPr>
                    <w:t>0</w:t>
                  </w:r>
                  <w:r>
                    <w:rPr>
                      <w:i w:val="false"/>
                      <w:iCs w:val="false"/>
                      <w:color w:val="000000"/>
                      <w:sz w:val="22"/>
                      <w:szCs w:val="22"/>
                    </w:rPr>
                    <w:t xml:space="preserve"> % от НМЦ, без учета НДС, до 6</w:t>
                  </w:r>
                  <w:r>
                    <w:rPr>
                      <w:i w:val="false"/>
                      <w:iCs w:val="false"/>
                      <w:color w:val="000000"/>
                      <w:sz w:val="22"/>
                      <w:szCs w:val="22"/>
                      <w:shd w:fill="FFFFFF" w:val="clear"/>
                    </w:rPr>
                    <w:t xml:space="preserve">0 </w:t>
                  </w:r>
                  <w:r>
                    <w:rPr>
                      <w:i w:val="false"/>
                      <w:iCs w:val="false"/>
                      <w:color w:val="000000"/>
                      <w:sz w:val="22"/>
                      <w:szCs w:val="22"/>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3</w:t>
                  </w:r>
                </w:p>
              </w:tc>
              <w:tc>
                <w:tcPr>
                  <w:tcW w:w="5101" w:type="dxa"/>
                  <w:tcBorders>
                    <w:top w:val="single" w:sz="4" w:space="0" w:color="000000"/>
                    <w:left w:val="single" w:sz="4" w:space="0" w:color="000000"/>
                    <w:bottom w:val="single" w:sz="4" w:space="0" w:color="000000"/>
                  </w:tcBorders>
                </w:tcPr>
                <w:p>
                  <w:pPr>
                    <w:pStyle w:val="-3"/>
                    <w:widowControl w:val="false"/>
                    <w:tabs>
                      <w:tab w:val="clear" w:pos="360"/>
                    </w:tabs>
                    <w:spacing w:lineRule="auto" w:line="240" w:before="0" w:after="0"/>
                    <w:ind w:left="0" w:right="0" w:hanging="0"/>
                    <w:jc w:val="left"/>
                    <w:rPr>
                      <w:rFonts w:ascii="Times New Roman" w:hAnsi="Times New Roman"/>
                      <w:sz w:val="22"/>
                      <w:szCs w:val="22"/>
                    </w:rPr>
                  </w:pPr>
                  <w:r>
                    <w:rPr>
                      <w:i w:val="false"/>
                      <w:iCs w:val="false"/>
                      <w:color w:val="000000"/>
                      <w:sz w:val="22"/>
                      <w:szCs w:val="22"/>
                    </w:rPr>
                    <w:t xml:space="preserve"> </w:t>
                  </w:r>
                  <w:r>
                    <w:rPr>
                      <w:i w:val="false"/>
                      <w:iCs w:val="false"/>
                      <w:color w:val="000000"/>
                      <w:sz w:val="22"/>
                      <w:szCs w:val="22"/>
                    </w:rPr>
                    <w:t>-от 6</w:t>
                  </w:r>
                  <w:r>
                    <w:rPr>
                      <w:i w:val="false"/>
                      <w:iCs w:val="false"/>
                      <w:color w:val="000000"/>
                      <w:sz w:val="22"/>
                      <w:szCs w:val="22"/>
                      <w:shd w:fill="FFFFFF" w:val="clear"/>
                    </w:rPr>
                    <w:t>0</w:t>
                  </w:r>
                  <w:r>
                    <w:rPr>
                      <w:i w:val="false"/>
                      <w:iCs w:val="false"/>
                      <w:color w:val="000000"/>
                      <w:sz w:val="22"/>
                      <w:szCs w:val="22"/>
                    </w:rPr>
                    <w:t xml:space="preserve"> % от НМЦ, без учета НДС, до 7</w:t>
                  </w:r>
                  <w:r>
                    <w:rPr>
                      <w:i w:val="false"/>
                      <w:iCs w:val="false"/>
                      <w:color w:val="000000"/>
                      <w:sz w:val="22"/>
                      <w:szCs w:val="22"/>
                      <w:shd w:fill="FFFFFF" w:val="clear"/>
                    </w:rPr>
                    <w:t xml:space="preserve">0 </w:t>
                  </w:r>
                  <w:r>
                    <w:rPr>
                      <w:i w:val="false"/>
                      <w:iCs w:val="false"/>
                      <w:color w:val="000000"/>
                      <w:sz w:val="22"/>
                      <w:szCs w:val="22"/>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4</w:t>
                  </w:r>
                </w:p>
              </w:tc>
              <w:tc>
                <w:tcPr>
                  <w:tcW w:w="5101" w:type="dxa"/>
                  <w:tcBorders>
                    <w:top w:val="single" w:sz="4" w:space="0" w:color="000000"/>
                    <w:left w:val="single" w:sz="4" w:space="0" w:color="000000"/>
                    <w:bottom w:val="single" w:sz="4" w:space="0" w:color="000000"/>
                  </w:tcBorders>
                </w:tcPr>
                <w:p>
                  <w:pPr>
                    <w:pStyle w:val="-3"/>
                    <w:widowControl w:val="false"/>
                    <w:tabs>
                      <w:tab w:val="clear" w:pos="360"/>
                    </w:tabs>
                    <w:spacing w:lineRule="auto" w:line="240" w:before="0" w:after="0"/>
                    <w:ind w:left="0" w:right="0" w:hanging="0"/>
                    <w:jc w:val="left"/>
                    <w:rPr>
                      <w:rFonts w:ascii="Times New Roman" w:hAnsi="Times New Roman"/>
                      <w:sz w:val="22"/>
                      <w:szCs w:val="22"/>
                    </w:rPr>
                  </w:pPr>
                  <w:r>
                    <w:rPr>
                      <w:i w:val="false"/>
                      <w:iCs w:val="false"/>
                      <w:color w:val="000000"/>
                      <w:sz w:val="22"/>
                      <w:szCs w:val="22"/>
                    </w:rPr>
                    <w:t xml:space="preserve"> </w:t>
                  </w:r>
                  <w:r>
                    <w:rPr>
                      <w:i w:val="false"/>
                      <w:iCs w:val="false"/>
                      <w:color w:val="000000"/>
                      <w:sz w:val="22"/>
                      <w:szCs w:val="22"/>
                    </w:rPr>
                    <w:t>-от 7</w:t>
                  </w:r>
                  <w:r>
                    <w:rPr>
                      <w:i w:val="false"/>
                      <w:iCs w:val="false"/>
                      <w:color w:val="000000"/>
                      <w:sz w:val="22"/>
                      <w:szCs w:val="22"/>
                      <w:shd w:fill="FFFFFF" w:val="clear"/>
                    </w:rPr>
                    <w:t>0</w:t>
                  </w:r>
                  <w:r>
                    <w:rPr>
                      <w:i w:val="false"/>
                      <w:iCs w:val="false"/>
                      <w:color w:val="000000"/>
                      <w:sz w:val="22"/>
                      <w:szCs w:val="22"/>
                    </w:rPr>
                    <w:t xml:space="preserve"> % от НМЦ, без учета НДС, до 8</w:t>
                  </w:r>
                  <w:r>
                    <w:rPr>
                      <w:i w:val="false"/>
                      <w:iCs w:val="false"/>
                      <w:color w:val="000000"/>
                      <w:sz w:val="22"/>
                      <w:szCs w:val="22"/>
                      <w:shd w:fill="FFFFFF" w:val="clear"/>
                    </w:rPr>
                    <w:t xml:space="preserve">0 </w:t>
                  </w:r>
                  <w:r>
                    <w:rPr>
                      <w:i w:val="false"/>
                      <w:iCs w:val="false"/>
                      <w:color w:val="000000"/>
                      <w:sz w:val="22"/>
                      <w:szCs w:val="22"/>
                    </w:rPr>
                    <w:t>% (включительно) от НМЦ, без учета НДС за последние 5 лет;</w:t>
                  </w:r>
                </w:p>
              </w:tc>
            </w:tr>
            <w:tr>
              <w:trPr>
                <w:cantSplit w:val="true"/>
              </w:trPr>
              <w:tc>
                <w:tcPr>
                  <w:tcW w:w="883" w:type="dxa"/>
                  <w:tcBorders>
                    <w:top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5</w:t>
                  </w:r>
                </w:p>
              </w:tc>
              <w:tc>
                <w:tcPr>
                  <w:tcW w:w="5101" w:type="dxa"/>
                  <w:tcBorders>
                    <w:top w:val="single" w:sz="4" w:space="0" w:color="000000"/>
                    <w:left w:val="single" w:sz="4" w:space="0" w:color="000000"/>
                  </w:tcBorders>
                </w:tcPr>
                <w:p>
                  <w:pPr>
                    <w:pStyle w:val="-3"/>
                    <w:widowControl w:val="false"/>
                    <w:tabs>
                      <w:tab w:val="clear" w:pos="360"/>
                    </w:tabs>
                    <w:spacing w:lineRule="auto" w:line="240" w:before="0" w:after="0"/>
                    <w:ind w:left="0" w:right="0" w:hanging="0"/>
                    <w:jc w:val="left"/>
                    <w:rPr>
                      <w:rFonts w:ascii="Times New Roman" w:hAnsi="Times New Roman"/>
                      <w:sz w:val="22"/>
                      <w:szCs w:val="22"/>
                    </w:rPr>
                  </w:pPr>
                  <w:r>
                    <w:rPr>
                      <w:i w:val="false"/>
                      <w:iCs w:val="false"/>
                      <w:sz w:val="22"/>
                      <w:szCs w:val="22"/>
                      <w:lang w:eastAsia="ru-RU"/>
                    </w:rPr>
                    <w:t>- более</w:t>
                  </w:r>
                  <w:r>
                    <w:rPr>
                      <w:i w:val="false"/>
                      <w:iCs w:val="false"/>
                      <w:sz w:val="22"/>
                      <w:szCs w:val="22"/>
                      <w:shd w:fill="FFFFFF" w:val="clear"/>
                      <w:lang w:eastAsia="ru-RU"/>
                    </w:rPr>
                    <w:t xml:space="preserve"> </w:t>
                  </w:r>
                  <w:r>
                    <w:rPr>
                      <w:i w:val="false"/>
                      <w:iCs w:val="false"/>
                      <w:color w:val="000000"/>
                      <w:sz w:val="22"/>
                      <w:szCs w:val="22"/>
                      <w:shd w:fill="FFFFFF" w:val="clear"/>
                      <w:lang w:eastAsia="ru-RU"/>
                    </w:rPr>
                    <w:t>80</w:t>
                  </w:r>
                  <w:r>
                    <w:rPr>
                      <w:i w:val="false"/>
                      <w:iCs w:val="false"/>
                      <w:sz w:val="22"/>
                      <w:szCs w:val="22"/>
                      <w:lang w:eastAsia="ru-RU"/>
                    </w:rPr>
                    <w:t xml:space="preserve"> % </w:t>
                  </w:r>
                  <w:r>
                    <w:rPr>
                      <w:i w:val="false"/>
                      <w:iCs w:val="false"/>
                      <w:color w:val="000000"/>
                      <w:sz w:val="22"/>
                      <w:szCs w:val="22"/>
                      <w:lang w:eastAsia="ru-RU"/>
                    </w:rPr>
                    <w:t>от НМЦ, без учета НДС за последние 5 лет</w:t>
                  </w:r>
                  <w:r>
                    <w:rPr>
                      <w:i w:val="false"/>
                      <w:iCs w:val="false"/>
                      <w:sz w:val="22"/>
                      <w:szCs w:val="22"/>
                      <w:lang w:eastAsia="ru-RU"/>
                    </w:rPr>
                    <w:t>.</w:t>
                  </w:r>
                </w:p>
              </w:tc>
            </w:tr>
          </w:tbl>
          <w:p>
            <w:pPr>
              <w:pStyle w:val="2"/>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где:</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ab/>
              <w:t>–</w:t>
              <w:tab/>
              <w:t>рассчитанная оценка предпочтительности по данному частному критерию оценки в баллах.</w:t>
            </w:r>
          </w:p>
          <w:p>
            <w:pPr>
              <w:pStyle w:val="Normal"/>
              <w:keepNext w:val="true"/>
              <w:widowControl w:val="false"/>
              <w:spacing w:lineRule="auto" w:line="240" w:before="0" w:after="0"/>
              <w:ind w:left="0" w:right="0" w:hanging="0"/>
              <w:rPr>
                <w:rFonts w:ascii="Times New Roman" w:hAnsi="Times New Roman"/>
                <w:sz w:val="22"/>
                <w:szCs w:val="22"/>
              </w:rPr>
            </w:pPr>
            <w:r>
              <w:rPr>
                <w:sz w:val="22"/>
                <w:szCs w:val="22"/>
              </w:rPr>
              <w:t>Опыт, несоответствующий установленным в документации о закупке требованиям (Таблица 2. Перечень квалификационных требований), не оценивается.</w:t>
            </w:r>
          </w:p>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Шкала оценок от 0 до 5 баллов.</w:t>
            </w:r>
          </w:p>
        </w:tc>
      </w:tr>
      <w:tr>
        <w:trPr>
          <w:cantSplit w:val="true"/>
        </w:trPr>
        <w:tc>
          <w:tcPr>
            <w:tcW w:w="5353" w:type="dxa"/>
            <w:gridSpan w:val="4"/>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right"/>
              <w:rPr>
                <w:rFonts w:ascii="Times New Roman" w:hAnsi="Times New Roman"/>
                <w:sz w:val="22"/>
                <w:szCs w:val="22"/>
              </w:rPr>
            </w:pPr>
            <w:r>
              <w:rPr>
                <w:sz w:val="22"/>
                <w:szCs w:val="22"/>
                <w:lang w:eastAsia="ru-RU"/>
              </w:rPr>
              <w:t>Итоговая оценка предпочтительности заявки:</w:t>
            </w:r>
          </w:p>
        </w:tc>
        <w:tc>
          <w:tcPr>
            <w:tcW w:w="9091"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rPr>
                <w:rFonts w:ascii="Times New Roman" w:hAnsi="Times New Roman"/>
                <w:sz w:val="22"/>
                <w:szCs w:val="22"/>
              </w:rPr>
            </w:pPr>
            <w:r>
              <w:rPr>
                <w:sz w:val="22"/>
                <w:szCs w:val="22"/>
              </w:rPr>
              <w:t xml:space="preserve">Расчет итоговой оценки предпочтительности </w:t>
            </w:r>
            <w:r>
              <w:rPr>
                <w:i/>
                <w:sz w:val="22"/>
                <w:szCs w:val="22"/>
                <w:lang w:val="en-US"/>
              </w:rPr>
              <w:t>i</w:t>
            </w:r>
            <w:r>
              <w:rPr>
                <w:sz w:val="22"/>
                <w:szCs w:val="22"/>
              </w:rPr>
              <w:t>-ой заявки:</w:t>
            </w:r>
          </w:p>
          <w:p>
            <w:pPr>
              <w:pStyle w:val="Normal"/>
              <w:keepNext w:val="true"/>
              <w:widowControl w:val="false"/>
              <w:spacing w:lineRule="auto" w:line="240" w:before="0" w:after="0"/>
              <w:ind w:left="0" w:right="0" w:hanging="0"/>
              <w:jc w:val="center"/>
              <w:rPr>
                <w:rFonts w:ascii="Times New Roman" w:hAnsi="Times New Roman"/>
                <w:sz w:val="22"/>
                <w:szCs w:val="22"/>
              </w:rPr>
            </w:pPr>
            <w:r>
              <w:rPr>
                <w:sz w:val="22"/>
                <w:szCs w:val="22"/>
              </w:rPr>
            </w:r>
          </w:p>
          <w:p>
            <w:pPr>
              <w:pStyle w:val="Normal"/>
              <w:keepNext w:val="true"/>
              <w:widowControl w:val="false"/>
              <w:spacing w:lineRule="auto" w:line="240" w:before="0" w:after="0"/>
              <w:ind w:left="0" w:right="0" w:hanging="0"/>
              <w:jc w:val="center"/>
              <w:rPr>
                <w:rFonts w:ascii="Times New Roman" w:hAnsi="Times New Roman"/>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e>
                    </m:d>
                  </m:e>
                </m:nary>
                <m:r>
                  <w:rPr>
                    <w:rFonts w:ascii="Cambria Math" w:hAnsi="Cambria Math"/>
                  </w:rPr>
                  <m:t xml:space="preserve">,</m:t>
                </m:r>
              </m:oMath>
            </m:oMathPara>
          </w:p>
          <w:p>
            <w:pPr>
              <w:pStyle w:val="Normal"/>
              <w:keepNext w:val="true"/>
              <w:widowControl w:val="false"/>
              <w:spacing w:lineRule="auto" w:line="240" w:before="0" w:after="0"/>
              <w:ind w:left="0" w:right="0" w:hanging="0"/>
              <w:rPr>
                <w:rFonts w:ascii="Times New Roman" w:hAnsi="Times New Roman"/>
                <w:sz w:val="22"/>
                <w:szCs w:val="22"/>
              </w:rPr>
            </w:pPr>
            <w:r>
              <w:rPr>
                <w:sz w:val="22"/>
                <w:szCs w:val="22"/>
              </w:rPr>
              <w:t>где:</w:t>
            </w:r>
          </w:p>
          <w:p>
            <w:pPr>
              <w:pStyle w:val="Normal"/>
              <w:widowControl w:val="false"/>
              <w:tabs>
                <w:tab w:val="clear" w:pos="708"/>
                <w:tab w:val="left" w:pos="742" w:leader="none"/>
                <w:tab w:val="left" w:pos="1167" w:leader="none"/>
              </w:tabs>
              <w:spacing w:lineRule="auto" w:line="240" w:before="0" w:after="0"/>
              <w:ind w:left="0" w:right="0" w:hanging="0"/>
              <w:rPr>
                <w:rFonts w:ascii="Times New Roman" w:hAnsi="Times New Roman"/>
                <w:sz w:val="22"/>
                <w:szCs w:val="22"/>
              </w:rPr>
            </w:pPr>
            <w:r>
              <w:rPr>
                <w:sz w:val="22"/>
                <w:szCs w:val="22"/>
              </w:rPr>
              <w:t>Б</w:t>
            </w:r>
            <w:r>
              <w:rPr>
                <w:sz w:val="22"/>
                <w:szCs w:val="22"/>
                <w:vertAlign w:val="subscript"/>
              </w:rPr>
              <w:t>ИТОГ</w:t>
            </w:r>
            <w:r>
              <w:rPr>
                <w:sz w:val="22"/>
                <w:szCs w:val="22"/>
              </w:rPr>
              <w:tab/>
              <w:t>–</w:t>
              <w:tab/>
              <w:t>рассчитанная итоговая оценка предпочтительности в баллах;</w:t>
            </w:r>
          </w:p>
          <w:p>
            <w:pPr>
              <w:pStyle w:val="Normal"/>
              <w:widowControl w:val="false"/>
              <w:tabs>
                <w:tab w:val="clear" w:pos="708"/>
                <w:tab w:val="left" w:pos="742" w:leader="none"/>
                <w:tab w:val="left" w:pos="1167" w:leader="none"/>
              </w:tabs>
              <w:spacing w:lineRule="auto" w:line="240" w:before="0" w:after="0"/>
              <w:ind w:left="0" w:right="0" w:hanging="0"/>
              <w:rPr>
                <w:rFonts w:ascii="Times New Roman" w:hAnsi="Times New Roman"/>
                <w:sz w:val="22"/>
                <w:szCs w:val="22"/>
              </w:rPr>
            </w:pPr>
            <w:r>
              <w:rPr>
                <w:sz w:val="22"/>
                <w:szCs w:val="22"/>
              </w:rPr>
              <w:t>Б</w:t>
            </w:r>
            <w:r>
              <w:rPr>
                <w:sz w:val="22"/>
                <w:szCs w:val="22"/>
                <w:vertAlign w:val="subscript"/>
              </w:rPr>
              <w:t>1 уровень k</w:t>
            </w:r>
            <w:r>
              <w:rPr>
                <w:sz w:val="22"/>
                <w:szCs w:val="22"/>
              </w:rPr>
              <w:tab/>
              <w:t>–</w:t>
              <w:tab/>
              <w:t>оценка предпочтительности по k-тому критерию оценки первого уровня в баллах;</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sz w:val="22"/>
                <w:szCs w:val="22"/>
              </w:rPr>
              <w:t>В</w:t>
            </w:r>
            <w:r>
              <w:rPr>
                <w:sz w:val="22"/>
                <w:szCs w:val="22"/>
                <w:vertAlign w:val="subscript"/>
              </w:rPr>
              <w:t>1 уровень k</w:t>
            </w:r>
            <w:r>
              <w:rPr>
                <w:sz w:val="22"/>
                <w:szCs w:val="22"/>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i/>
                <w:iCs/>
                <w:sz w:val="22"/>
                <w:szCs w:val="22"/>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7"/>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7"/>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_Ref130985951 \r \h </w:instrText>
      </w:r>
      <w:r>
        <w:rPr/>
        <w:fldChar w:fldCharType="separate"/>
      </w:r>
      <w:r>
        <w:rPr/>
        <w:t>4.13</w:t>
      </w:r>
      <w:r>
        <w:rPr/>
        <w:fldChar w:fldCharType="end"/>
      </w:r>
      <w:r>
        <w:rPr/>
        <w:t>.</w:t>
      </w:r>
    </w:p>
    <w:p>
      <w:pPr>
        <w:sectPr>
          <w:headerReference w:type="default" r:id="rId36"/>
          <w:headerReference w:type="first" r:id="rId37"/>
          <w:footerReference w:type="default" r:id="rId38"/>
          <w:footerReference w:type="first" r:id="rId39"/>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7"/>
        <w:rPr/>
      </w:pPr>
      <w:r>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25"/>
        <w:rPr/>
      </w:pPr>
      <w:bookmarkStart w:id="464" w:name="__RefHeading___Toc97596_534302689"/>
      <w:bookmarkStart w:id="465" w:name="_Ref125360420"/>
      <w:bookmarkStart w:id="466" w:name="Прил09_ОбоснованиеНМЦ"/>
      <w:bookmarkStart w:id="467" w:name="_Toc229567090"/>
      <w:bookmarkStart w:id="468" w:name="_Toc136249262"/>
      <w:bookmarkStart w:id="469" w:name="_Toc136249260"/>
      <w:bookmarkStart w:id="470" w:name="_Toc136261689"/>
      <w:bookmarkStart w:id="471" w:name="_Toc136261766"/>
      <w:bookmarkStart w:id="472" w:name="_Toc136249261"/>
      <w:bookmarkStart w:id="473" w:name="_Toc136261690"/>
      <w:bookmarkStart w:id="474" w:name="_Toc136261767"/>
      <w:bookmarkStart w:id="475" w:name="_Toc136249263"/>
      <w:bookmarkStart w:id="476" w:name="_Toc136261768"/>
      <w:bookmarkStart w:id="477" w:name="_Toc136261692"/>
      <w:bookmarkStart w:id="478" w:name="_Toc136261769"/>
      <w:bookmarkStart w:id="479" w:name="_Toc136261691"/>
      <w:bookmarkEnd w:id="464"/>
      <w:bookmarkEnd w:id="468"/>
      <w:bookmarkEnd w:id="469"/>
      <w:bookmarkEnd w:id="470"/>
      <w:bookmarkEnd w:id="471"/>
      <w:bookmarkEnd w:id="472"/>
      <w:bookmarkEnd w:id="473"/>
      <w:bookmarkEnd w:id="474"/>
      <w:bookmarkEnd w:id="475"/>
      <w:bookmarkEnd w:id="476"/>
      <w:bookmarkEnd w:id="477"/>
      <w:bookmarkEnd w:id="478"/>
      <w:bookmarkEnd w:id="479"/>
      <w:r>
        <w:rPr/>
        <w:t>Приложение № 9 – Обоснование НМЦ</w:t>
      </w:r>
      <w:bookmarkEnd w:id="465"/>
      <w:bookmarkEnd w:id="466"/>
      <w:bookmarkEnd w:id="467"/>
    </w:p>
    <w:p>
      <w:pPr>
        <w:pStyle w:val="Style26"/>
        <w:rPr/>
      </w:pPr>
      <w:bookmarkStart w:id="480" w:name="__RefHeading___Toc97598_534302689"/>
      <w:bookmarkStart w:id="481" w:name="_Toc229567091"/>
      <w:bookmarkEnd w:id="480"/>
      <w:r>
        <w:rPr/>
        <w:t>Пояснения к Обоснованию НМЦ</w:t>
      </w:r>
      <w:bookmarkEnd w:id="481"/>
    </w:p>
    <w:p>
      <w:pPr>
        <w:pStyle w:val="Style27"/>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5"/>
        <w:rPr/>
      </w:pPr>
      <w:bookmarkStart w:id="482" w:name="__RefHeading___Toc97600_534302689"/>
      <w:bookmarkStart w:id="483" w:name="_Toc229567092"/>
      <w:bookmarkStart w:id="484" w:name="Прил10_ЗаявкаНаАккредитацию"/>
      <w:bookmarkEnd w:id="482"/>
      <w:bookmarkEnd w:id="484"/>
      <w:r>
        <w:rPr/>
        <w:t>Приложение № 10 – Форма Заявки на аккредитацию</w:t>
      </w:r>
      <w:bookmarkEnd w:id="483"/>
    </w:p>
    <w:p>
      <w:pPr>
        <w:pStyle w:val="Style26"/>
        <w:rPr/>
      </w:pPr>
      <w:bookmarkStart w:id="485" w:name="__RefHeading___Toc97602_534302689"/>
      <w:bookmarkStart w:id="486" w:name="_Toc229567093"/>
      <w:bookmarkEnd w:id="485"/>
      <w:r>
        <w:rPr/>
        <w:t>Пояснения к форме Заявки на аккредитацию</w:t>
      </w:r>
      <w:bookmarkEnd w:id="486"/>
    </w:p>
    <w:p>
      <w:pPr>
        <w:pStyle w:val="Style27"/>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7"/>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8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87"/>
      <w:r>
        <w:rPr/>
        <w:t>.</w:t>
      </w:r>
    </w:p>
    <w:p>
      <w:pPr>
        <w:pStyle w:val="Style31"/>
        <w:jc w:val="center"/>
        <w:rPr/>
      </w:pPr>
      <w:r>
        <w:rPr/>
        <w:object>
          <v:shapetype id="_x0000_tole_rId40" coordsize="21600,21600" o:spt="ole_rId4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0" type="_x0000_tole_rId40" style="width:79.25pt;height:49.6pt;mso-wrap-distance-right:0pt" filled="f" o:ole="">
            <v:imagedata r:id="rId41" o:title=""/>
          </v:shape>
          <o:OLEObject Type="Embed" ProgID="Excel.Sheet.12" ShapeID="ole_rId40" DrawAspect="Icon" ObjectID="_234312566" r:id="rId40"/>
        </w:object>
      </w:r>
    </w:p>
    <w:p>
      <w:pPr>
        <w:pStyle w:val="Normal"/>
        <w:rPr/>
      </w:pPr>
      <w:r>
        <w:rPr/>
      </w:r>
    </w:p>
    <w:p>
      <w:pPr>
        <w:pStyle w:val="Style25"/>
        <w:rPr/>
      </w:pPr>
      <w:bookmarkStart w:id="488" w:name="__RefHeading___Toc97604_534302689"/>
      <w:bookmarkStart w:id="489" w:name="_Toc229567094"/>
      <w:bookmarkStart w:id="490" w:name="Прил11_Данные_бухотчетность"/>
      <w:bookmarkEnd w:id="488"/>
      <w:r>
        <w:rPr/>
        <w:t xml:space="preserve">Приложение № 11 </w:t>
      </w:r>
      <w:bookmarkEnd w:id="490"/>
      <w:r>
        <w:rPr/>
        <w:t>– форма Данных бухгалтерской (финансовой) отчетности</w:t>
      </w:r>
      <w:bookmarkEnd w:id="489"/>
    </w:p>
    <w:p>
      <w:pPr>
        <w:pStyle w:val="Style26"/>
        <w:rPr/>
      </w:pPr>
      <w:bookmarkStart w:id="491" w:name="__RefHeading___Toc97606_534302689"/>
      <w:bookmarkStart w:id="492" w:name="_Toc229567095"/>
      <w:bookmarkEnd w:id="491"/>
      <w:r>
        <w:rPr/>
        <w:t>Пояснения к форме Данных бухгалтерской (финансовой) отчетности</w:t>
      </w:r>
      <w:bookmarkEnd w:id="492"/>
      <w:r>
        <w:rPr/>
        <w:t xml:space="preserve"> </w:t>
      </w:r>
    </w:p>
    <w:p>
      <w:pPr>
        <w:pStyle w:val="Style2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93" w:name="_MON_1821256687"/>
      <w:bookmarkStart w:id="494" w:name="_MON_1821256687"/>
      <w:bookmarkEnd w:id="494"/>
    </w:p>
    <w:p>
      <w:pPr>
        <w:pStyle w:val="Normal"/>
        <w:jc w:val="center"/>
        <w:rPr/>
      </w:pPr>
      <w:bookmarkStart w:id="495" w:name="_Hlk210644436"/>
      <w:bookmarkStart w:id="496" w:name="_MON_1821256687_Копия_1"/>
      <w:bookmarkEnd w:id="496"/>
      <w:r>
        <w:rPr/>
        <w:object>
          <v:shapetype id="_x0000_tole_rId42" coordsize="21600,21600" o:spt="ole_rId4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2" type="_x0000_tole_rId42" style="width:79.25pt;height:49.6pt;mso-wrap-distance-right:0pt" filled="f" o:ole="">
            <v:imagedata r:id="rId43" o:title=""/>
          </v:shape>
          <o:OLEObject Type="Embed" ProgID="Word.Document.12" ShapeID="ole_rId42" DrawAspect="Icon" ObjectID="_1835832877" r:id="rId42"/>
        </w:object>
      </w:r>
      <w:bookmarkEnd w:id="495"/>
    </w:p>
    <w:p>
      <w:pPr>
        <w:pStyle w:val="Normal"/>
        <w:jc w:val="center"/>
        <w:rPr/>
      </w:pPr>
      <w:r>
        <w:rPr/>
      </w:r>
    </w:p>
    <w:sectPr>
      <w:headerReference w:type="default" r:id="rId44"/>
      <w:headerReference w:type="first" r:id="rId45"/>
      <w:footerReference w:type="default" r:id="rId46"/>
      <w:footerReference w:type="first" r:id="rId4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44109018"/>
    </w:sdtPr>
    <w:sdtContent>
      <w:p>
        <w:pPr>
          <w:pStyle w:val="Footer"/>
          <w:spacing w:before="120" w:after="0"/>
          <w:rPr/>
        </w:pPr>
        <w:r>
          <w:rPr/>
          <w:fldChar w:fldCharType="begin"/>
        </w:r>
        <w:r>
          <w:rPr/>
          <w:instrText xml:space="preserve"> PAGE </w:instrText>
        </w:r>
        <w:r>
          <w:rPr/>
          <w:fldChar w:fldCharType="separate"/>
        </w:r>
        <w:r>
          <w:rPr/>
          <w:t>15</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5506661"/>
    </w:sdtPr>
    <w:sdtContent>
      <w:p>
        <w:pPr>
          <w:pStyle w:val="Footer"/>
          <w:spacing w:before="120" w:after="0"/>
          <w:rPr/>
        </w:pPr>
        <w:r>
          <w:rPr/>
          <w:fldChar w:fldCharType="begin"/>
        </w:r>
        <w:r>
          <w:rPr/>
          <w:instrText xml:space="preserve"> PAGE </w:instrText>
        </w:r>
        <w:r>
          <w:rPr/>
          <w:fldChar w:fldCharType="separate"/>
        </w:r>
        <w:r>
          <w:rPr/>
          <w:t>24</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26577835"/>
    </w:sdtPr>
    <w:sdtContent>
      <w:p>
        <w:pPr>
          <w:pStyle w:val="Footer"/>
          <w:spacing w:before="120" w:after="0"/>
          <w:rPr/>
        </w:pPr>
        <w:r>
          <w:rPr/>
          <w:fldChar w:fldCharType="begin"/>
        </w:r>
        <w:r>
          <w:rPr/>
          <w:instrText xml:space="preserve"> PAGE </w:instrText>
        </w:r>
        <w:r>
          <w:rPr/>
          <w:fldChar w:fldCharType="separate"/>
        </w:r>
        <w:r>
          <w:rPr/>
          <w:t>55</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05799709"/>
    </w:sdtPr>
    <w:sdtContent>
      <w:p>
        <w:pPr>
          <w:pStyle w:val="Footer"/>
          <w:spacing w:before="120" w:after="0"/>
          <w:rPr/>
        </w:pPr>
        <w:r>
          <w:rPr/>
          <w:fldChar w:fldCharType="begin"/>
        </w:r>
        <w:r>
          <w:rPr/>
          <w:instrText xml:space="preserve"> PAGE </w:instrText>
        </w:r>
        <w:r>
          <w:rPr/>
          <w:fldChar w:fldCharType="separate"/>
        </w:r>
        <w:r>
          <w:rPr/>
          <w:t>61</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22771666"/>
    </w:sdtPr>
    <w:sdtContent>
      <w:p>
        <w:pPr>
          <w:pStyle w:val="Footer"/>
          <w:spacing w:before="120" w:after="0"/>
          <w:rPr/>
        </w:pPr>
        <w:r>
          <w:rPr/>
          <w:fldChar w:fldCharType="begin"/>
        </w:r>
        <w:r>
          <w:rPr/>
          <w:instrText xml:space="preserve"> PAGE </w:instrText>
        </w:r>
        <w:r>
          <w:rPr/>
          <w:fldChar w:fldCharType="separate"/>
        </w:r>
        <w:r>
          <w:rPr/>
          <w:t>66</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59923904"/>
    </w:sdtPr>
    <w:sdtContent>
      <w:p>
        <w:pPr>
          <w:pStyle w:val="Footer"/>
          <w:spacing w:before="120" w:after="0"/>
          <w:rPr/>
        </w:pPr>
        <w:r>
          <w:rPr/>
          <w:fldChar w:fldCharType="begin"/>
        </w:r>
        <w:r>
          <w:rPr/>
          <w:instrText xml:space="preserve"> PAGE </w:instrText>
        </w:r>
        <w:r>
          <w:rPr/>
          <w:fldChar w:fldCharType="separate"/>
        </w:r>
        <w:r>
          <w:rPr/>
          <w:t>67</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61353016"/>
    </w:sdtPr>
    <w:sdtContent>
      <w:p>
        <w:pPr>
          <w:pStyle w:val="Footer"/>
          <w:spacing w:before="120" w:after="0"/>
          <w:rPr/>
        </w:pPr>
        <w:r>
          <w:rPr/>
          <w:fldChar w:fldCharType="begin"/>
        </w:r>
        <w:r>
          <w:rPr/>
          <w:instrText xml:space="preserve"> PAGE </w:instrText>
        </w:r>
        <w:r>
          <w:rPr/>
          <w:fldChar w:fldCharType="separate"/>
        </w:r>
        <w:r>
          <w:rPr/>
          <w:t>75</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99808175"/>
    </w:sdtPr>
    <w:sdtContent>
      <w:p>
        <w:pPr>
          <w:pStyle w:val="Footer"/>
          <w:spacing w:before="120" w:after="0"/>
          <w:rPr/>
        </w:pPr>
        <w:r>
          <w:rPr/>
          <w:fldChar w:fldCharType="begin"/>
        </w:r>
        <w:r>
          <w:rPr/>
          <w:instrText xml:space="preserve"> PAGE </w:instrText>
        </w:r>
        <w:r>
          <w:rPr/>
          <w:fldChar w:fldCharType="separate"/>
        </w:r>
        <w:r>
          <w:rPr/>
          <w:t>78</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3"/>
        <w:spacing w:before="80" w:after="0"/>
        <w:ind w:left="567" w:hanging="567"/>
        <w:jc w:val="both"/>
        <w:rPr/>
      </w:pPr>
      <w:r>
        <w:rPr>
          <w:rStyle w:val="Style13"/>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33"/>
        <w:spacing w:before="80" w:after="0"/>
        <w:ind w:left="567" w:hanging="567"/>
        <w:jc w:val="both"/>
        <w:rPr/>
      </w:pPr>
      <w:r>
        <w:rPr>
          <w:rStyle w:val="Style13"/>
        </w:rPr>
        <w:footnoteRef/>
      </w:r>
      <w:r>
        <w:rPr/>
        <w:tab/>
        <w:t>Определенные в соответствии с Законом 422-ФЗ.</w:t>
      </w:r>
    </w:p>
  </w:footnote>
  <w:footnote w:id="4">
    <w:p>
      <w:pPr>
        <w:pStyle w:val="Style33"/>
        <w:spacing w:before="80" w:after="0"/>
        <w:ind w:left="567" w:hanging="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3"/>
        <w:spacing w:before="80" w:after="0"/>
        <w:ind w:left="567" w:hanging="567"/>
        <w:jc w:val="both"/>
        <w:rPr/>
      </w:pPr>
      <w:r>
        <w:rPr>
          <w:rStyle w:val="Style13"/>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33"/>
        <w:spacing w:before="80" w:after="0"/>
        <w:rPr/>
      </w:pPr>
      <w:r>
        <w:rPr>
          <w:rStyle w:val="Style13"/>
        </w:rPr>
        <w:footnoteRef/>
      </w:r>
      <w:r>
        <w:rPr/>
        <w:tab/>
        <w:t xml:space="preserve">С учетом пункта </w:t>
      </w:r>
      <w:r>
        <w:rPr/>
        <w:fldChar w:fldCharType="begin"/>
      </w:r>
      <w:r>
        <w:rPr/>
        <w:instrText xml:space="preserve"> REF __RefNumPara__57527_534302689 \r \h </w:instrText>
      </w:r>
      <w:r>
        <w:rPr/>
        <w:fldChar w:fldCharType="separate"/>
      </w:r>
      <w:r>
        <w:rPr/>
        <w:t>4.13.5</w:t>
      </w:r>
      <w:r>
        <w:rPr/>
        <w:fldChar w:fldCharType="end"/>
      </w:r>
      <w:r>
        <w:rPr/>
        <w:t>.</w:t>
      </w:r>
    </w:p>
  </w:footnote>
  <w:footnote w:id="7">
    <w:p>
      <w:pPr>
        <w:pStyle w:val="Style33"/>
        <w:spacing w:before="80" w:after="0"/>
        <w:ind w:left="567" w:hanging="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33"/>
        <w:spacing w:before="80" w:after="0"/>
        <w:ind w:left="567" w:hanging="567"/>
        <w:jc w:val="both"/>
        <w:rPr/>
      </w:pPr>
      <w:r>
        <w:rPr>
          <w:rStyle w:val="Style13"/>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33"/>
        <w:spacing w:before="80" w:after="0"/>
        <w:rPr>
          <w:szCs w:val="22"/>
        </w:rPr>
      </w:pPr>
      <w:r>
        <w:rPr>
          <w:rStyle w:val="Style13"/>
        </w:rPr>
        <w:footnoteRef/>
      </w:r>
      <w:r>
        <w:rPr>
          <w:szCs w:val="22"/>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33"/>
        <w:spacing w:before="80" w:after="0"/>
        <w:ind w:left="567" w:hanging="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33"/>
        <w:spacing w:before="80" w:after="0"/>
        <w:ind w:left="567" w:hanging="567"/>
        <w:jc w:val="both"/>
        <w:rPr/>
      </w:pPr>
      <w:r>
        <w:rPr>
          <w:rStyle w:val="Style13"/>
        </w:rPr>
        <w:footnoteRef/>
      </w:r>
      <w:r>
        <w:rPr/>
        <w:tab/>
        <w:t>https://minfin.gov.ru/ru/perfomance/tax_relations/policy/bankwarranty/</w:t>
      </w:r>
    </w:p>
  </w:footnote>
  <w:footnote w:id="12">
    <w:p>
      <w:pPr>
        <w:pStyle w:val="Style33"/>
        <w:spacing w:before="80" w:after="0"/>
        <w:ind w:left="567" w:hanging="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13">
    <w:p>
      <w:pPr>
        <w:pStyle w:val="Style33"/>
        <w:spacing w:before="80" w:after="0"/>
        <w:ind w:left="567" w:hanging="567"/>
        <w:jc w:val="both"/>
        <w:rPr/>
      </w:pPr>
      <w:r>
        <w:rPr>
          <w:rStyle w:val="Style13"/>
        </w:rPr>
        <w:footnoteRef/>
      </w:r>
      <w:bookmarkStart w:id="497"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97"/>
    </w:p>
  </w:footnote>
  <w:footnote w:id="14">
    <w:p>
      <w:pPr>
        <w:pStyle w:val="Style33"/>
        <w:spacing w:before="80" w:after="0"/>
        <w:ind w:left="567" w:hanging="567"/>
        <w:jc w:val="both"/>
        <w:rPr/>
      </w:pPr>
      <w:r>
        <w:rPr>
          <w:rStyle w:val="Style13"/>
        </w:rPr>
        <w:footnoteRef/>
      </w:r>
      <w:bookmarkStart w:id="498" w:name="_Hlk139028803_Копия_1_Копия_1_Копия_1_Ко"/>
      <w:bookmarkStart w:id="499"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98"/>
      <w:bookmarkEnd w:id="499"/>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5"/>
      <w:numFmt w:val="decimal"/>
      <w:lvlText w:val="%1."/>
      <w:lvlJc w:val="left"/>
      <w:pPr>
        <w:tabs>
          <w:tab w:val="num" w:pos="1134"/>
        </w:tabs>
        <w:ind w:left="1134" w:hanging="1134"/>
      </w:pPr>
      <w:rPr/>
    </w:lvl>
    <w:lvl w:ilvl="1">
      <w:start w:val="1"/>
      <w:pStyle w:val="Style26"/>
      <w:numFmt w:val="decimal"/>
      <w:lvlText w:val="%1.%2"/>
      <w:lvlJc w:val="left"/>
      <w:pPr>
        <w:tabs>
          <w:tab w:val="num" w:pos="1134"/>
        </w:tabs>
        <w:ind w:left="1134" w:hanging="1134"/>
      </w:pPr>
      <w:rPr/>
    </w:lvl>
    <w:lvl w:ilvl="2">
      <w:start w:val="1"/>
      <w:pStyle w:val="Style27"/>
      <w:numFmt w:val="decimal"/>
      <w:lvlText w:val="%1.%2.%3"/>
      <w:lvlJc w:val="left"/>
      <w:pPr>
        <w:tabs>
          <w:tab w:val="num" w:pos="1134"/>
        </w:tabs>
        <w:ind w:left="1134" w:hanging="1134"/>
      </w:pPr>
      <w:rPr/>
    </w:lvl>
    <w:lvl w:ilvl="3">
      <w:start w:val="1"/>
      <w:pStyle w:val="Style28"/>
      <w:numFmt w:val="russianLower"/>
      <w:lvlText w:val="%4)"/>
      <w:lvlJc w:val="left"/>
      <w:pPr>
        <w:tabs>
          <w:tab w:val="num" w:pos="1701"/>
        </w:tabs>
        <w:ind w:left="1701" w:hanging="567"/>
      </w:pPr>
      <w:rPr/>
    </w:lvl>
    <w:lvl w:ilvl="4">
      <w:start w:val="1"/>
      <w:pStyle w:val="Style2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1918" w:hanging="360"/>
      </w:pPr>
      <w:rPr/>
    </w:lvl>
    <w:lvl w:ilvl="1">
      <w:start w:val="1"/>
      <w:numFmt w:val="lowerLetter"/>
      <w:lvlText w:val="%2."/>
      <w:lvlJc w:val="left"/>
      <w:pPr>
        <w:tabs>
          <w:tab w:val="num" w:pos="0"/>
        </w:tabs>
        <w:ind w:left="2638" w:hanging="360"/>
      </w:pPr>
      <w:rPr/>
    </w:lvl>
    <w:lvl w:ilvl="2">
      <w:start w:val="1"/>
      <w:numFmt w:val="lowerRoman"/>
      <w:lvlText w:val="%3."/>
      <w:lvlJc w:val="right"/>
      <w:pPr>
        <w:tabs>
          <w:tab w:val="num" w:pos="0"/>
        </w:tabs>
        <w:ind w:left="3358" w:hanging="180"/>
      </w:pPr>
      <w:rPr/>
    </w:lvl>
    <w:lvl w:ilvl="3">
      <w:start w:val="1"/>
      <w:numFmt w:val="decimal"/>
      <w:lvlText w:val="%4."/>
      <w:lvlJc w:val="left"/>
      <w:pPr>
        <w:tabs>
          <w:tab w:val="num" w:pos="0"/>
        </w:tabs>
        <w:ind w:left="4078" w:hanging="360"/>
      </w:pPr>
      <w:rPr/>
    </w:lvl>
    <w:lvl w:ilvl="4">
      <w:start w:val="1"/>
      <w:numFmt w:val="lowerLetter"/>
      <w:lvlText w:val="%5."/>
      <w:lvlJc w:val="left"/>
      <w:pPr>
        <w:tabs>
          <w:tab w:val="num" w:pos="0"/>
        </w:tabs>
        <w:ind w:left="4798" w:hanging="360"/>
      </w:pPr>
      <w:rPr/>
    </w:lvl>
    <w:lvl w:ilvl="5">
      <w:start w:val="1"/>
      <w:numFmt w:val="lowerRoman"/>
      <w:lvlText w:val="%6."/>
      <w:lvlJc w:val="right"/>
      <w:pPr>
        <w:tabs>
          <w:tab w:val="num" w:pos="0"/>
        </w:tabs>
        <w:ind w:left="5518" w:hanging="180"/>
      </w:pPr>
      <w:rPr/>
    </w:lvl>
    <w:lvl w:ilvl="6">
      <w:start w:val="1"/>
      <w:numFmt w:val="decimal"/>
      <w:lvlText w:val="%7."/>
      <w:lvlJc w:val="left"/>
      <w:pPr>
        <w:tabs>
          <w:tab w:val="num" w:pos="0"/>
        </w:tabs>
        <w:ind w:left="6238" w:hanging="360"/>
      </w:pPr>
      <w:rPr/>
    </w:lvl>
    <w:lvl w:ilvl="7">
      <w:start w:val="1"/>
      <w:numFmt w:val="lowerLetter"/>
      <w:lvlText w:val="%8."/>
      <w:lvlJc w:val="left"/>
      <w:pPr>
        <w:tabs>
          <w:tab w:val="num" w:pos="0"/>
        </w:tabs>
        <w:ind w:left="6958" w:hanging="360"/>
      </w:pPr>
      <w:rPr/>
    </w:lvl>
    <w:lvl w:ilvl="8">
      <w:start w:val="1"/>
      <w:numFmt w:val="lowerRoman"/>
      <w:lvlText w:val="%9."/>
      <w:lvlJc w:val="right"/>
      <w:pPr>
        <w:tabs>
          <w:tab w:val="num" w:pos="0"/>
        </w:tabs>
        <w:ind w:left="7678" w:hanging="180"/>
      </w:pPr>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79507d"/>
    <w:rPr>
      <w:rFonts w:ascii="Segoe UI" w:hAnsi="Segoe UI" w:cs="Segoe UI"/>
      <w:sz w:val="18"/>
      <w:szCs w:val="18"/>
    </w:rPr>
  </w:style>
  <w:style w:type="character" w:styleId="Style19" w:customStyle="1">
    <w:name w:val="РГ_ЕПоЗ_а) Знак"/>
    <w:basedOn w:val="DefaultParagraphFont"/>
    <w:link w:val="Style35"/>
    <w:qFormat/>
    <w:rsid w:val="006509a2"/>
    <w:rPr>
      <w:rFonts w:eastAsia="Calibri" w:cs="Times New Roman"/>
      <w:sz w:val="28"/>
      <w:szCs w:val="28"/>
    </w:rPr>
  </w:style>
  <w:style w:type="character" w:styleId="-" w:customStyle="1">
    <w:name w:val="РГ_ЕПоЗ_- Знак"/>
    <w:basedOn w:val="DefaultParagraphFont"/>
    <w:link w:val="-2"/>
    <w:qFormat/>
    <w:rsid w:val="006509a2"/>
    <w:rPr>
      <w:rFonts w:eastAsia="Times New Roman" w:cs="Times New Roman"/>
      <w:sz w:val="28"/>
      <w:szCs w:val="20"/>
      <w:lang w:eastAsia="ru-RU"/>
    </w:rPr>
  </w:style>
  <w:style w:type="character" w:styleId="Style20">
    <w:name w:val="Ссылка указателя"/>
    <w:qFormat/>
    <w:rPr/>
  </w:style>
  <w:style w:type="character" w:styleId="Style21">
    <w:name w:val="комментарий"/>
    <w:qFormat/>
    <w:rPr>
      <w:b/>
      <w:i/>
      <w:shd w:fill="FFFF99" w:val="clear"/>
    </w:rPr>
  </w:style>
  <w:style w:type="character" w:styleId="-1">
    <w:name w:val="УРОВЕНЬ_- Знак"/>
    <w:qFormat/>
    <w:rPr>
      <w:rFonts w:eastAsia="Calibri" w:cs="Times New Roman"/>
      <w:color w:val="00000A"/>
      <w:szCs w:val="28"/>
    </w:rPr>
  </w:style>
  <w:style w:type="character" w:styleId="Style22">
    <w:name w:val="Символ концевой сноски"/>
    <w:qFormat/>
    <w:rPr>
      <w:vertAlign w:val="superscript"/>
    </w:rPr>
  </w:style>
  <w:style w:type="character" w:styleId="EndnoteReference">
    <w:name w:val="Endnote Reference"/>
    <w:rPr>
      <w:vertAlign w:val="superscript"/>
    </w:rPr>
  </w:style>
  <w:style w:type="paragraph" w:styleId="Style23">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4">
    <w:name w:val="Указатель"/>
    <w:basedOn w:val="Normal"/>
    <w:qFormat/>
    <w:pPr>
      <w:suppressLineNumbers/>
    </w:pPr>
    <w:rPr/>
  </w:style>
  <w:style w:type="paragraph" w:styleId="Style25" w:customStyle="1">
    <w:name w:val="[РГ] Раздел"/>
    <w:basedOn w:val="Normal"/>
    <w:next w:val="Style26"/>
    <w:qFormat/>
    <w:rsid w:val="00c95e18"/>
    <w:pPr>
      <w:keepNext w:val="true"/>
      <w:pageBreakBefore/>
      <w:numPr>
        <w:ilvl w:val="0"/>
        <w:numId w:val="1"/>
      </w:numPr>
      <w:spacing w:before="0" w:after="360"/>
      <w:jc w:val="both"/>
      <w:outlineLvl w:val="0"/>
    </w:pPr>
    <w:rPr>
      <w:b/>
      <w:bCs/>
      <w:caps/>
    </w:rPr>
  </w:style>
  <w:style w:type="paragraph" w:styleId="Style26" w:customStyle="1">
    <w:name w:val="[РГ] Подраздел"/>
    <w:basedOn w:val="Normal"/>
    <w:next w:val="Style27"/>
    <w:qFormat/>
    <w:rsid w:val="00891546"/>
    <w:pPr>
      <w:keepNext w:val="true"/>
      <w:numPr>
        <w:ilvl w:val="1"/>
        <w:numId w:val="1"/>
      </w:numPr>
      <w:spacing w:before="360" w:after="0"/>
      <w:jc w:val="both"/>
      <w:outlineLvl w:val="1"/>
    </w:pPr>
    <w:rPr>
      <w:b/>
      <w:bCs/>
    </w:rPr>
  </w:style>
  <w:style w:type="paragraph" w:styleId="Style27" w:customStyle="1">
    <w:name w:val="[РГ] Пункт"/>
    <w:basedOn w:val="Normal"/>
    <w:qFormat/>
    <w:rsid w:val="00891546"/>
    <w:pPr>
      <w:numPr>
        <w:ilvl w:val="2"/>
        <w:numId w:val="1"/>
      </w:numPr>
      <w:jc w:val="both"/>
      <w:outlineLvl w:val="2"/>
    </w:pPr>
    <w:rPr/>
  </w:style>
  <w:style w:type="paragraph" w:styleId="Style28" w:customStyle="1">
    <w:name w:val="[РГ] Подпункт"/>
    <w:basedOn w:val="Normal"/>
    <w:qFormat/>
    <w:rsid w:val="00891546"/>
    <w:pPr>
      <w:numPr>
        <w:ilvl w:val="3"/>
        <w:numId w:val="1"/>
      </w:numPr>
      <w:jc w:val="both"/>
      <w:outlineLvl w:val="3"/>
    </w:pPr>
    <w:rPr/>
  </w:style>
  <w:style w:type="paragraph" w:styleId="Style29" w:customStyle="1">
    <w:name w:val="[РГ] Перечисление"/>
    <w:basedOn w:val="Normal"/>
    <w:qFormat/>
    <w:rsid w:val="00891546"/>
    <w:pPr>
      <w:numPr>
        <w:ilvl w:val="4"/>
        <w:numId w:val="1"/>
      </w:numPr>
      <w:jc w:val="both"/>
      <w:outlineLvl w:val="4"/>
    </w:pPr>
    <w:rPr/>
  </w:style>
  <w:style w:type="paragraph" w:styleId="Style30" w:customStyle="1">
    <w:name w:val="[РГ] Заголовок"/>
    <w:basedOn w:val="Normal"/>
    <w:next w:val="Style31"/>
    <w:qFormat/>
    <w:rsid w:val="00f87384"/>
    <w:pPr>
      <w:keepNext w:val="true"/>
      <w:pageBreakBefore/>
      <w:spacing w:before="0" w:after="360"/>
      <w:jc w:val="both"/>
    </w:pPr>
    <w:rPr>
      <w:b/>
      <w:bCs/>
      <w:caps/>
    </w:rPr>
  </w:style>
  <w:style w:type="paragraph" w:styleId="Style31" w:customStyle="1">
    <w:name w:val="[РГ] Текст"/>
    <w:basedOn w:val="Normal"/>
    <w:qFormat/>
    <w:rsid w:val="00891546"/>
    <w:pPr>
      <w:jc w:val="both"/>
    </w:pPr>
    <w:rPr/>
  </w:style>
  <w:style w:type="paragraph" w:styleId="Style32">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3"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4" w:customStyle="1">
    <w:name w:val="[РГ] Альтернатива / Дополнение"/>
    <w:basedOn w:val="Style31"/>
    <w:next w:val="Style31"/>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BalloonText">
    <w:name w:val="Balloon Text"/>
    <w:basedOn w:val="Normal"/>
    <w:link w:val="Style18"/>
    <w:uiPriority w:val="99"/>
    <w:semiHidden/>
    <w:unhideWhenUsed/>
    <w:qFormat/>
    <w:rsid w:val="0079507d"/>
    <w:pPr>
      <w:spacing w:before="0" w:after="0"/>
    </w:pPr>
    <w:rPr>
      <w:rFonts w:ascii="Segoe UI" w:hAnsi="Segoe UI" w:cs="Segoe UI"/>
      <w:sz w:val="18"/>
      <w:szCs w:val="18"/>
    </w:rPr>
  </w:style>
  <w:style w:type="paragraph" w:styleId="1" w:customStyle="1">
    <w:name w:val="РГ_ЕПоЗ_1."/>
    <w:basedOn w:val="Normal"/>
    <w:qFormat/>
    <w:rsid w:val="006509a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rsid w:val="006509a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5" w:customStyle="1">
    <w:name w:val="РГ_ЕПоЗ_а)"/>
    <w:basedOn w:val="ListParagraph"/>
    <w:link w:val="Style19"/>
    <w:qFormat/>
    <w:rsid w:val="006509a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6509a2"/>
    <w:pPr>
      <w:numPr>
        <w:ilvl w:val="3"/>
        <w:numId w:val="15"/>
      </w:numPr>
      <w:tabs>
        <w:tab w:val="clear" w:pos="708"/>
        <w:tab w:val="left" w:pos="1843" w:leader="none"/>
      </w:tabs>
      <w:jc w:val="both"/>
    </w:pPr>
    <w:rPr>
      <w:rFonts w:eastAsia="Times New Roman" w:cs="Times New Roman"/>
      <w:sz w:val="28"/>
      <w:szCs w:val="28"/>
      <w:lang w:eastAsia="ru-RU"/>
    </w:rPr>
  </w:style>
  <w:style w:type="paragraph" w:styleId="-2" w:customStyle="1">
    <w:name w:val="РГ_ЕПоЗ_-"/>
    <w:basedOn w:val="Normal"/>
    <w:link w:val="-"/>
    <w:qFormat/>
    <w:rsid w:val="006509a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rsid w:val="006509a2"/>
    <w:pPr>
      <w:numPr>
        <w:ilvl w:val="2"/>
        <w:numId w:val="15"/>
      </w:numPr>
      <w:tabs>
        <w:tab w:val="clear" w:pos="708"/>
        <w:tab w:val="left" w:pos="1134" w:leader="none"/>
      </w:tabs>
      <w:jc w:val="both"/>
    </w:pPr>
    <w:rPr>
      <w:rFonts w:eastAsia="Times New Roman" w:cs="Times New Roman"/>
      <w:sz w:val="28"/>
      <w:szCs w:val="28"/>
      <w:lang w:eastAsia="ru-RU"/>
    </w:rPr>
  </w:style>
  <w:style w:type="paragraph" w:styleId="3">
    <w:name w:val="УРОВЕНЬ_Абзац_тип3"/>
    <w:qFormat/>
    <w:pPr>
      <w:widowControl/>
      <w:suppressAutoHyphens w:val="false"/>
      <w:bidi w:val="0"/>
      <w:spacing w:lineRule="exact" w:line="360" w:before="120" w:after="0"/>
      <w:ind w:left="5760" w:hanging="360"/>
      <w:jc w:val="both"/>
    </w:pPr>
    <w:rPr>
      <w:rFonts w:ascii="Times New Roman" w:hAnsi="Times New Roman" w:eastAsia="Calibri" w:cs="Times New Roman"/>
      <w:color w:val="00000A"/>
      <w:kern w:val="0"/>
      <w:sz w:val="26"/>
      <w:szCs w:val="28"/>
      <w:lang w:val="ru-RU" w:eastAsia="en-US" w:bidi="ar-SA"/>
    </w:rPr>
  </w:style>
  <w:style w:type="paragraph" w:styleId="2">
    <w:name w:val="УРОВЕНЬ_Абзац_тип2"/>
    <w:qFormat/>
    <w:pPr>
      <w:widowControl/>
      <w:suppressAutoHyphens w:val="false"/>
      <w:bidi w:val="0"/>
      <w:spacing w:lineRule="exact" w:line="360" w:before="120" w:after="0"/>
      <w:ind w:left="720" w:firstLine="567"/>
      <w:jc w:val="both"/>
    </w:pPr>
    <w:rPr>
      <w:rFonts w:ascii="Times New Roman" w:hAnsi="Times New Roman" w:eastAsia="Calibri" w:cs="Times New Roman"/>
      <w:color w:val="00000A"/>
      <w:kern w:val="0"/>
      <w:sz w:val="26"/>
      <w:szCs w:val="28"/>
      <w:lang w:val="ru-RU" w:eastAsia="en-US" w:bidi="ar-SA"/>
    </w:rPr>
  </w:style>
  <w:style w:type="paragraph" w:styleId="-3">
    <w:name w:val="УРОВЕНЬ_-"/>
    <w:qFormat/>
    <w:pPr>
      <w:widowControl/>
      <w:tabs>
        <w:tab w:val="clear" w:pos="708"/>
        <w:tab w:val="left" w:pos="360" w:leader="none"/>
      </w:tabs>
      <w:suppressAutoHyphens w:val="false"/>
      <w:bidi w:val="0"/>
      <w:spacing w:lineRule="exact" w:line="360" w:before="120" w:after="0"/>
      <w:ind w:left="720" w:firstLine="567"/>
      <w:jc w:val="both"/>
    </w:pPr>
    <w:rPr>
      <w:rFonts w:ascii="Times New Roman" w:hAnsi="Times New Roman" w:eastAsia="Calibri" w:cs="Times New Roman"/>
      <w:color w:val="00000A"/>
      <w:kern w:val="0"/>
      <w:sz w:val="26"/>
      <w:szCs w:val="28"/>
      <w:lang w:val="ru-RU" w:eastAsia="en-US" w:bidi="ar-SA"/>
    </w:rPr>
  </w:style>
  <w:style w:type="paragraph" w:styleId="Caption11">
    <w:name w:val="caption11"/>
    <w:basedOn w:val="Normal"/>
    <w:qFormat/>
    <w:pPr>
      <w:spacing w:before="120" w:after="120"/>
    </w:pPr>
    <w:rPr>
      <w:i/>
      <w:iCs/>
      <w:sz w:val="24"/>
      <w:szCs w:val="24"/>
    </w:rPr>
  </w:style>
  <w:style w:type="paragraph" w:styleId="Indexheading">
    <w:name w:val="index heading"/>
    <w:basedOn w:val="Normal"/>
    <w:qFormat/>
    <w:pPr/>
    <w:rPr/>
  </w:style>
  <w:style w:type="paragraph" w:styleId="Caption1">
    <w:name w:val="caption1"/>
    <w:basedOn w:val="Normal"/>
    <w:qFormat/>
    <w:pPr>
      <w:spacing w:before="120" w:after="120"/>
    </w:pPr>
    <w:rPr>
      <w:i/>
      <w:iCs/>
      <w:sz w:val="24"/>
      <w:szCs w:val="24"/>
    </w:rPr>
  </w:style>
  <w:style w:type="numbering" w:styleId="NoList" w:default="1">
    <w:name w:val="No List"/>
    <w:uiPriority w:val="99"/>
    <w:semiHidden/>
    <w:unhideWhenUsed/>
    <w:qFormat/>
  </w:style>
  <w:style w:type="table" w:default="1" w:styleId="a7">
    <w:name w:val="Normal Table"/>
    <w:uiPriority w:val="99"/>
    <w:semiHidden/>
    <w:unhideWhenUsed/>
    <w:tblPr>
      <w:tblCellMar>
        <w:top w:w="0" w:type="dxa"/>
        <w:left w:w="108" w:type="dxa"/>
        <w:bottom w:w="0" w:type="dxa"/>
        <w:right w:w="108" w:type="dxa"/>
      </w:tblCellMar>
    </w:tblPr>
  </w:style>
  <w:style w:type="table" w:customStyle="1" w:styleId="af6">
    <w:name w:val="[РГ] Таблица"/>
    <w:basedOn w:val="a7"/>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7">
    <w:name w:val="Table Grid"/>
    <w:basedOn w:val="a7"/>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etp/reglament_223.pdf" TargetMode="External"/><Relationship Id="rId4" Type="http://schemas.openxmlformats.org/officeDocument/2006/relationships/hyperlink" Target="mailto:kkges@rushydro.ru" TargetMode="External"/><Relationship Id="rId5" Type="http://schemas.openxmlformats.org/officeDocument/2006/relationships/hyperlink" Target="mailto:kkges@rushydro.ru" TargetMode="External"/><Relationship Id="rId6" Type="http://schemas.openxmlformats.org/officeDocument/2006/relationships/hyperlink" Target="mailto:KarpovaLI@rushydro.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2.wmf"/><Relationship Id="rId25" Type="http://schemas.openxmlformats.org/officeDocument/2006/relationships/package" Target="embeddings/oleObject3.docx"/><Relationship Id="rId26" Type="http://schemas.openxmlformats.org/officeDocument/2006/relationships/image" Target="media/image3.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eader" Target="header10.xml"/><Relationship Id="rId32" Type="http://schemas.openxmlformats.org/officeDocument/2006/relationships/header" Target="header11.xml"/><Relationship Id="rId33" Type="http://schemas.openxmlformats.org/officeDocument/2006/relationships/footer" Target="footer10.xml"/><Relationship Id="rId34" Type="http://schemas.openxmlformats.org/officeDocument/2006/relationships/footer" Target="footer11.xml"/><Relationship Id="rId35" Type="http://schemas.openxmlformats.org/officeDocument/2006/relationships/image" Target="media/image4.png"/><Relationship Id="rId36" Type="http://schemas.openxmlformats.org/officeDocument/2006/relationships/header" Target="header12.xml"/><Relationship Id="rId37" Type="http://schemas.openxmlformats.org/officeDocument/2006/relationships/header" Target="header13.xml"/><Relationship Id="rId38" Type="http://schemas.openxmlformats.org/officeDocument/2006/relationships/footer" Target="footer12.xml"/><Relationship Id="rId39" Type="http://schemas.openxmlformats.org/officeDocument/2006/relationships/footer" Target="footer13.xml"/><Relationship Id="rId40" Type="http://schemas.openxmlformats.org/officeDocument/2006/relationships/package" Target="embeddings/oleObject4.xlsx"/><Relationship Id="rId41" Type="http://schemas.openxmlformats.org/officeDocument/2006/relationships/image" Target="media/image5.wmf"/><Relationship Id="rId42" Type="http://schemas.openxmlformats.org/officeDocument/2006/relationships/package" Target="embeddings/oleObject5.docx"/><Relationship Id="rId43" Type="http://schemas.openxmlformats.org/officeDocument/2006/relationships/image" Target="media/image6.wmf"/><Relationship Id="rId44" Type="http://schemas.openxmlformats.org/officeDocument/2006/relationships/header" Target="header14.xml"/><Relationship Id="rId45" Type="http://schemas.openxmlformats.org/officeDocument/2006/relationships/header" Target="header15.xml"/><Relationship Id="rId46" Type="http://schemas.openxmlformats.org/officeDocument/2006/relationships/footer" Target="footer14.xml"/><Relationship Id="rId47" Type="http://schemas.openxmlformats.org/officeDocument/2006/relationships/footer" Target="footer15.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Relationship Id="rId5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D93D3-FD98-4A4A-9B54-FE4F67868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Application>AlterOffice/3.4.0.9$Linux_X86_64 LibreOffice_project/b8daf9e823b1a5463a2f48435ddc2e8696e7d4fc</Application>
  <AppVersion>15.0000</AppVersion>
  <Pages>78</Pages>
  <Words>19226</Words>
  <Characters>133530</Characters>
  <CharactersWithSpaces>151187</CharactersWithSpaces>
  <Paragraphs>1068</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2026-05-06T09:12:00Z</dcterms:created>
  <dc:creator>Владимир Щербаков</dc:creator>
  <dc:description/>
  <cp:keywords>Типовая форма</cp:keywords>
  <dc:language>ru-RU</dc:language>
  <cp:lastModifiedBy>kovalevaev@corp.gidroogk.com</cp:lastModifiedBy>
  <dcterms:modified xsi:type="dcterms:W3CDTF">2026-09-28T10:34:14Z</dcterms:modified>
  <cp:revision>20</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