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60" w:after="120"/>
        <w:ind w:left="425" w:hanging="0"/>
        <w:jc w:val="center"/>
        <w:rPr>
          <w:rFonts w:ascii="Times New Roman" w:hAnsi="Times New Roman" w:eastAsia="Calibri"/>
          <w:b/>
          <w:caps/>
          <w:szCs w:val="24"/>
        </w:rPr>
      </w:pPr>
      <w:r>
        <w:rPr>
          <w:rFonts w:eastAsia="Calibri" w:ascii="Times New Roman" w:hAnsi="Times New Roman"/>
          <w:b/>
          <w:caps/>
          <w:szCs w:val="24"/>
        </w:rPr>
        <w:t>ОБОСНОВАНИЕ начальной (максимальной) цены договора</w:t>
      </w:r>
      <w:r>
        <w:rPr>
          <w:rFonts w:eastAsia="Calibri" w:ascii="Times New Roman" w:hAnsi="Times New Roman"/>
          <w:sz w:val="26"/>
          <w:szCs w:val="26"/>
        </w:rPr>
        <w:t xml:space="preserve"> / </w:t>
      </w:r>
      <w:r>
        <w:rPr>
          <w:rFonts w:eastAsia="Calibri" w:ascii="Times New Roman" w:hAnsi="Times New Roman"/>
          <w:b/>
          <w:caps/>
          <w:szCs w:val="24"/>
        </w:rPr>
        <w:t>цены единицы товара, работы, услуги</w:t>
      </w:r>
    </w:p>
    <w:p>
      <w:pPr>
        <w:pStyle w:val="Normal"/>
        <w:numPr>
          <w:ilvl w:val="0"/>
          <w:numId w:val="2"/>
        </w:numPr>
        <w:spacing w:lineRule="exact" w:line="360" w:before="120" w:after="120"/>
        <w:ind w:left="714" w:hanging="357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Общая информация</w:t>
      </w:r>
    </w:p>
    <w:tbl>
      <w:tblPr>
        <w:tblStyle w:val="10"/>
        <w:tblW w:w="14151" w:type="dxa"/>
        <w:jc w:val="left"/>
        <w:tblInd w:w="162" w:type="dxa"/>
        <w:tblLayout w:type="fixed"/>
        <w:tblCellMar>
          <w:top w:w="0" w:type="dxa"/>
          <w:left w:w="9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042"/>
        <w:gridCol w:w="2485"/>
        <w:gridCol w:w="10624"/>
      </w:tblGrid>
      <w:tr>
        <w:trPr/>
        <w:tc>
          <w:tcPr>
            <w:tcW w:w="10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4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</w:t>
            </w:r>
          </w:p>
        </w:tc>
        <w:tc>
          <w:tcPr>
            <w:tcW w:w="106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Информация по лоту</w:t>
            </w:r>
          </w:p>
        </w:tc>
      </w:tr>
      <w:tr>
        <w:trPr/>
        <w:tc>
          <w:tcPr>
            <w:tcW w:w="1042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лота</w:t>
            </w:r>
          </w:p>
        </w:tc>
        <w:tc>
          <w:tcPr>
            <w:tcW w:w="10624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ОКПД2 28.29.12.190. _Техническое обслуживание станции глубокой биологической очистки хозяйственно-бытовых сточных вод, оборудования очистных сооружений и систем очистки автомоек, ливневой канализации, очистных сооружений ливневых вод  филиала ПАО “РусГидро”-“Каскад Кубанских ГЭС”</w:t>
            </w:r>
          </w:p>
        </w:tc>
      </w:tr>
      <w:tr>
        <w:trPr/>
        <w:tc>
          <w:tcPr>
            <w:tcW w:w="1042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Номер лота</w:t>
            </w:r>
          </w:p>
        </w:tc>
        <w:tc>
          <w:tcPr>
            <w:tcW w:w="106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121002-ТО ПРОД-2027-ККГЭС</w:t>
            </w:r>
          </w:p>
        </w:tc>
      </w:tr>
      <w:tr>
        <w:trPr/>
        <w:tc>
          <w:tcPr>
            <w:tcW w:w="1042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  <w:tc>
          <w:tcPr>
            <w:tcW w:w="24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НМЦ лота</w:t>
            </w:r>
          </w:p>
        </w:tc>
        <w:tc>
          <w:tcPr>
            <w:tcW w:w="106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8 365 139,52</w:t>
            </w:r>
          </w:p>
        </w:tc>
      </w:tr>
    </w:tbl>
    <w:p>
      <w:pPr>
        <w:pStyle w:val="Normal"/>
        <w:numPr>
          <w:ilvl w:val="0"/>
          <w:numId w:val="2"/>
        </w:numPr>
        <w:spacing w:lineRule="exact" w:line="360" w:before="120" w:after="120"/>
        <w:ind w:left="714" w:hanging="357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Использованный метод (методы) расчета НМЦ / цены единицы товара, работы, услуги:</w:t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Ресурсно-индексный метод</w:t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Обоснование расчета НМЦ: прилагаемые сметные расчеты</w:t>
      </w:r>
    </w:p>
    <w:tbl>
      <w:tblPr>
        <w:tblW w:w="14196" w:type="dxa"/>
        <w:jc w:val="left"/>
        <w:tblInd w:w="118" w:type="dxa"/>
        <w:tblLayout w:type="fixed"/>
        <w:tblCellMar>
          <w:top w:w="0" w:type="dxa"/>
          <w:left w:w="9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853"/>
        <w:gridCol w:w="2897"/>
        <w:gridCol w:w="1808"/>
        <w:gridCol w:w="1985"/>
        <w:gridCol w:w="1653"/>
      </w:tblGrid>
      <w:tr>
        <w:trPr>
          <w:trHeight w:val="70" w:hRule="atLeast"/>
        </w:trPr>
        <w:tc>
          <w:tcPr>
            <w:tcW w:w="5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E7E6E6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Наименование товара/ работы/ услуги в составе лота</w:t>
            </w:r>
          </w:p>
        </w:tc>
        <w:tc>
          <w:tcPr>
            <w:tcW w:w="2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E7E6E6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Наименование источника ценовой информации (ИЦИ)</w:t>
            </w:r>
          </w:p>
        </w:tc>
        <w:tc>
          <w:tcPr>
            <w:tcW w:w="1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E7E6E6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Цена за единицу, в руб. без НДС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E7E6E6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Цена итоговая, в руб. без НДС</w:t>
            </w:r>
          </w:p>
        </w:tc>
        <w:tc>
          <w:tcPr>
            <w:tcW w:w="1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000000" w:fill="E7E6E6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Комментарии</w:t>
            </w:r>
          </w:p>
        </w:tc>
      </w:tr>
      <w:tr>
        <w:trPr>
          <w:trHeight w:val="1440" w:hRule="atLeast"/>
        </w:trPr>
        <w:tc>
          <w:tcPr>
            <w:tcW w:w="585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ОКПД2 28.29.12.190. _Техническое обслуживание станции глубокой биологической очистки хозяйственно-бытовых сточных вод, оборудования очистных сооружений и систем очистки автомоек, ливневой канализации, очистных сооружений ливневых вод  филиала ПАО “РусГидро”-“Каскад Кубанских ГЭС”</w:t>
            </w:r>
          </w:p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  <w:lang w:val="en-US"/>
              </w:rPr>
              <w:t>Период 2027-2031г.г</w:t>
            </w:r>
          </w:p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  <w:lang w:val="en-US"/>
              </w:rPr>
              <w:t>(5 лет)</w:t>
            </w:r>
          </w:p>
        </w:tc>
        <w:tc>
          <w:tcPr>
            <w:tcW w:w="2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Смета к дог. 1210-39-2022/1-ТО-БПД-2022-ККГЭС от 02.02.2022</w:t>
            </w:r>
          </w:p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  <w:lang w:val="en-US"/>
              </w:rPr>
              <w:t>период 2022-2026г.г.(5 лет)</w:t>
            </w:r>
          </w:p>
        </w:tc>
        <w:tc>
          <w:tcPr>
            <w:tcW w:w="1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3 680 000,00</w:t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Verdana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8 365 139,52</w:t>
            </w:r>
          </w:p>
        </w:tc>
        <w:tc>
          <w:tcPr>
            <w:tcW w:w="165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  <w:t>Итоговая цена указана с учетом индексации</w:t>
            </w:r>
            <w:bookmarkStart w:id="0" w:name="_GoBack"/>
            <w:bookmarkEnd w:id="0"/>
          </w:p>
        </w:tc>
      </w:tr>
      <w:tr>
        <w:trPr>
          <w:trHeight w:val="1647" w:hRule="atLeast"/>
        </w:trPr>
        <w:tc>
          <w:tcPr>
            <w:tcW w:w="5853" w:type="dxa"/>
            <w:vMerge w:val="continue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Verdana"/>
                <w:bCs/>
                <w:color w:val="000000"/>
                <w:szCs w:val="24"/>
                <w:shd w:fill="FFFFFF" w:val="clear"/>
              </w:rPr>
            </w:pPr>
            <w:r>
              <w:rPr>
                <w:rFonts w:eastAsia="Verdana" w:ascii="Times New Roman" w:hAnsi="Times New Roman"/>
                <w:bCs/>
                <w:color w:val="000000"/>
                <w:szCs w:val="24"/>
                <w:shd w:fill="FFFFFF" w:val="clear"/>
              </w:rPr>
            </w:r>
          </w:p>
        </w:tc>
        <w:tc>
          <w:tcPr>
            <w:tcW w:w="2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 w:eastAsia="Verdana"/>
                <w:bCs/>
                <w:color w:val="000000"/>
                <w:szCs w:val="24"/>
                <w:shd w:fill="FFFFFF" w:val="clear"/>
              </w:rPr>
            </w:pPr>
            <w:r>
              <w:rPr>
                <w:rFonts w:eastAsia="Verdana" w:ascii="Times New Roman" w:hAnsi="Times New Roman"/>
                <w:bCs/>
                <w:color w:val="000000"/>
                <w:szCs w:val="24"/>
                <w:shd w:fill="FFFFFF" w:val="clear"/>
              </w:rPr>
              <w:t>Смета к дог. 1210-12-2024/2-ТО-БПД-2024-ККГЭС от 30.01.2024</w:t>
            </w:r>
          </w:p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 w:eastAsia="Verdana"/>
                <w:bCs/>
                <w:color w:val="000000"/>
                <w:szCs w:val="24"/>
                <w:shd w:fill="FFFFFF" w:val="clear"/>
              </w:rPr>
            </w:pPr>
            <w:r>
              <w:rPr>
                <w:rFonts w:eastAsia="Verdana" w:ascii="Times New Roman" w:hAnsi="Times New Roman"/>
                <w:bCs/>
                <w:color w:val="000000"/>
                <w:szCs w:val="24"/>
                <w:shd w:fill="FFFFFF" w:val="clear"/>
              </w:rPr>
              <w:t>период 2024-2026г.г.(3 года)</w:t>
            </w:r>
          </w:p>
        </w:tc>
        <w:tc>
          <w:tcPr>
            <w:tcW w:w="18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 w:eastAsia="Verdana"/>
                <w:bCs/>
                <w:color w:val="000000"/>
                <w:szCs w:val="24"/>
                <w:shd w:fill="FFFFFF" w:val="clear"/>
              </w:rPr>
            </w:pPr>
            <w:r>
              <w:rPr>
                <w:rFonts w:eastAsia="Verdana" w:ascii="Times New Roman" w:hAnsi="Times New Roman"/>
                <w:bCs/>
                <w:color w:val="000000"/>
                <w:szCs w:val="24"/>
                <w:shd w:fill="FFFFFF" w:val="clear"/>
              </w:rPr>
              <w:t>1 778 049,82</w:t>
            </w:r>
          </w:p>
        </w:tc>
        <w:tc>
          <w:tcPr>
            <w:tcW w:w="1985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 w:eastAsia="Verdana"/>
                <w:bCs/>
                <w:color w:val="000000"/>
                <w:szCs w:val="24"/>
                <w:shd w:fill="FFFFFF" w:val="clear"/>
              </w:rPr>
            </w:pPr>
            <w:r>
              <w:rPr>
                <w:rFonts w:eastAsia="Verdana" w:ascii="Times New Roman" w:hAnsi="Times New Roman"/>
                <w:bCs/>
                <w:color w:val="000000"/>
                <w:szCs w:val="24"/>
                <w:shd w:fill="FFFFFF" w:val="clear"/>
              </w:rPr>
            </w:r>
          </w:p>
        </w:tc>
        <w:tc>
          <w:tcPr>
            <w:tcW w:w="1653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Times New Roman"/>
                <w:bCs/>
                <w:i/>
                <w:i/>
                <w:color w:val="000000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i/>
                <w:color w:val="000000"/>
                <w:szCs w:val="24"/>
                <w:lang w:eastAsia="ru-RU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Geneva CY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2"/>
  <w:revisionView w:insDel="0" w:formatting="0"/>
  <w:trackRevisions/>
  <w:defaultTabStop w:val="708"/>
  <w:autoHyphenation w:val="true"/>
  <w:compat>
    <w:compatSetting w:name="compatibilityMode" w:uri="http://schemas.microsoft.com/office/word" w:val="12"/>
  </w:compat>
  <w:documentProtection w:edit="trackedChanges" w:enforcement="1" w:cryptAlgorithmSid="14" w:cryptSpinCount="100000" w:cryptProviderType="rsaAES" w:cryptAlgorithmClass="hash" w:cryptAlgorithmType="typeAny" w:salt="CZw1EQ1M1PzVF7qcQFLh0g==" w:hash="umBF0bXJtYnVBhjeG48AztLJ7bZ010gLocMTXrqX0uU9qZlPU68EUZuWNEIynjMkKVP2bUFon737WgQY6lHnvA==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15dbb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00000A"/>
      <w:kern w:val="0"/>
      <w:sz w:val="24"/>
      <w:szCs w:val="20"/>
      <w:lang w:val="ru-RU" w:eastAsia="en-US" w:bidi="ar-SA"/>
    </w:rPr>
  </w:style>
  <w:style w:type="paragraph" w:styleId="Heading1">
    <w:name w:val="Heading 1"/>
    <w:basedOn w:val="Heading3"/>
    <w:next w:val="Normal"/>
    <w:qFormat/>
    <w:pPr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Cs w:val="24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Текст сноски Знак"/>
    <w:basedOn w:val="DefaultParagraphFont"/>
    <w:uiPriority w:val="99"/>
    <w:qFormat/>
    <w:rsid w:val="00315dbb"/>
    <w:rPr>
      <w:rFonts w:ascii="Geneva CY" w:hAnsi="Geneva CY" w:eastAsia="Geneva" w:cs="Times New Roman"/>
      <w:sz w:val="20"/>
      <w:szCs w:val="20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ad7522"/>
    <w:rPr>
      <w:rFonts w:ascii="Geneva CY" w:hAnsi="Geneva CY" w:eastAsia="Geneva" w:cs="Times New Roman"/>
      <w:sz w:val="24"/>
      <w:szCs w:val="20"/>
    </w:rPr>
  </w:style>
  <w:style w:type="character" w:styleId="Style10" w:customStyle="1">
    <w:name w:val="Нижний колонтитул Знак"/>
    <w:basedOn w:val="DefaultParagraphFont"/>
    <w:uiPriority w:val="99"/>
    <w:qFormat/>
    <w:rsid w:val="00ad7522"/>
    <w:rPr>
      <w:rFonts w:ascii="Geneva CY" w:hAnsi="Geneva CY" w:eastAsia="Geneva" w:cs="Times New Roman"/>
      <w:sz w:val="24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2996"/>
    <w:rPr>
      <w:sz w:val="16"/>
      <w:szCs w:val="16"/>
    </w:rPr>
  </w:style>
  <w:style w:type="character" w:styleId="Style11" w:customStyle="1">
    <w:name w:val="Текст примечания Знак"/>
    <w:basedOn w:val="DefaultParagraphFont"/>
    <w:uiPriority w:val="99"/>
    <w:semiHidden/>
    <w:qFormat/>
    <w:rsid w:val="00372996"/>
    <w:rPr>
      <w:rFonts w:ascii="Geneva CY" w:hAnsi="Geneva CY" w:eastAsia="Geneva" w:cs="Times New Roman"/>
      <w:sz w:val="20"/>
      <w:szCs w:val="20"/>
    </w:rPr>
  </w:style>
  <w:style w:type="character" w:styleId="Style12" w:customStyle="1">
    <w:name w:val="Тема примечания Знак"/>
    <w:basedOn w:val="Style11"/>
    <w:uiPriority w:val="99"/>
    <w:semiHidden/>
    <w:qFormat/>
    <w:rsid w:val="00372996"/>
    <w:rPr>
      <w:rFonts w:ascii="Geneva CY" w:hAnsi="Geneva CY" w:eastAsia="Geneva" w:cs="Times New Roman"/>
      <w:b/>
      <w:bCs/>
      <w:sz w:val="20"/>
      <w:szCs w:val="20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372996"/>
    <w:rPr>
      <w:rFonts w:ascii="Segoe UI" w:hAnsi="Segoe UI" w:eastAsia="Geneva" w:cs="Segoe UI"/>
      <w:sz w:val="18"/>
      <w:szCs w:val="18"/>
    </w:rPr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5" w:customStyle="1">
    <w:name w:val="Символы концевой сноски"/>
    <w:qFormat/>
    <w:rPr/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styleId="FootnoteText">
    <w:name w:val="Footnote Text"/>
    <w:basedOn w:val="Normal"/>
    <w:pPr/>
    <w:rPr/>
  </w:style>
  <w:style w:type="paragraph" w:styleId="Style18" w:customStyle="1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rsid w:val="00ad752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rsid w:val="00ad752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text">
    <w:name w:val="annotation text"/>
    <w:basedOn w:val="Normal"/>
    <w:uiPriority w:val="99"/>
    <w:semiHidden/>
    <w:unhideWhenUsed/>
    <w:qFormat/>
    <w:rsid w:val="00372996"/>
    <w:pPr/>
    <w:rPr>
      <w:sz w:val="20"/>
    </w:rPr>
  </w:style>
  <w:style w:type="paragraph" w:styleId="Annotationsubject">
    <w:name w:val="annotation subject"/>
    <w:basedOn w:val="Annotationtext"/>
    <w:uiPriority w:val="99"/>
    <w:semiHidden/>
    <w:unhideWhenUsed/>
    <w:qFormat/>
    <w:rsid w:val="00372996"/>
    <w:pPr/>
    <w:rPr>
      <w:b/>
      <w:bCs/>
    </w:rPr>
  </w:style>
  <w:style w:type="paragraph" w:styleId="BalloonText">
    <w:name w:val="Balloon Text"/>
    <w:basedOn w:val="Normal"/>
    <w:uiPriority w:val="99"/>
    <w:semiHidden/>
    <w:unhideWhenUsed/>
    <w:qFormat/>
    <w:rsid w:val="00372996"/>
    <w:pPr/>
    <w:rPr>
      <w:rFonts w:ascii="Segoe UI" w:hAnsi="Segoe UI" w:cs="Segoe UI"/>
      <w:sz w:val="18"/>
      <w:szCs w:val="18"/>
    </w:rPr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315dbb"/>
    <w:pPr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e">
    <w:name w:val="Table Grid"/>
    <w:basedOn w:val="a1"/>
    <w:uiPriority w:val="39"/>
    <w:rsid w:val="00315db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Application>AlterOffice/3.4.0.9$Linux_X86_64 LibreOffice_project/b8daf9e823b1a5463a2f48435ddc2e8696e7d4fc</Application>
  <AppVersion>15.0000</AppVersion>
  <Pages>1</Pages>
  <Words>175</Words>
  <Characters>1245</Characters>
  <CharactersWithSpaces>1387</CharactersWithSpaces>
  <Paragraphs>33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2022-05-20T11:07:00Z</dcterms:created>
  <dc:creator>Лазаренко Ксения Вячеславовна</dc:creator>
  <dc:description/>
  <dc:language>ru-RU</dc:language>
  <cp:lastModifiedBy>kovalevaev@corp.gidroogk.com</cp:lastModifiedBy>
  <dcterms:modified xsi:type="dcterms:W3CDTF">2026-09-24T16:12:09Z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  <property fmtid="{D5CDD505-2E9C-101B-9397-08002B2CF9AE}" pid="6" name="_MarkAsFinal">
    <vt:bool>1</vt:bool>
  </property>
</Properties>
</file>