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67" w:leader="none"/>
        </w:tabs>
        <w:ind w:left="1985" w:hanging="1985"/>
        <w:jc w:val="right"/>
        <w:rPr>
          <w:lang w:eastAsia="en-US"/>
        </w:rPr>
      </w:pPr>
      <w:r>
        <w:rPr>
          <w:rFonts w:eastAsia="Times New Roman"/>
          <w:shd w:fill="FFFFFF" w:val="clear"/>
        </w:rPr>
        <w:t>Приложение № 5</w:t>
      </w:r>
    </w:p>
    <w:p>
      <w:pPr>
        <w:pStyle w:val="Normal"/>
        <w:ind w:left="4395" w:hanging="0"/>
        <w:jc w:val="right"/>
        <w:rPr>
          <w:lang w:eastAsia="en-US"/>
        </w:rPr>
      </w:pPr>
      <w:r>
        <w:rPr>
          <w:lang w:eastAsia="en-US"/>
        </w:rPr>
        <w:t xml:space="preserve">к Техническим требованиям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4535" w:right="0" w:firstLine="4592"/>
        <w:jc w:val="right"/>
        <w:rPr>
          <w:rFonts w:eastAsia="Times New Roman"/>
        </w:rPr>
      </w:pPr>
      <w:r>
        <w:rPr>
          <w:lang w:eastAsia="en-US"/>
        </w:rPr>
        <w:t xml:space="preserve">по лоту     </w:t>
      </w:r>
      <w:r>
        <w:rPr>
          <w:rFonts w:eastAsia="Calibri"/>
          <w:color w:val="000000"/>
          <w:szCs w:val="26"/>
          <w:lang w:eastAsia="en-US"/>
        </w:rPr>
        <w:t>О</w:t>
      </w:r>
      <w:r>
        <w:rPr>
          <w:rFonts w:eastAsia="Times New Roman"/>
          <w:color w:val="000000"/>
          <w:lang w:eastAsia="en-US"/>
        </w:rPr>
        <w:t>КПД2 28.29.12.190. _Техническое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 филиала ПАО “РусГидро”-“Каскад Кубанских ГЭС”</w:t>
      </w:r>
    </w:p>
    <w:p>
      <w:pPr>
        <w:pStyle w:val="Normal"/>
        <w:ind w:left="5294" w:hanging="0"/>
        <w:rPr>
          <w:rFonts w:eastAsia="Times New Roman"/>
        </w:rPr>
      </w:pPr>
      <w:r>
        <w:rPr>
          <w:rFonts w:eastAsia="Times New Roman"/>
        </w:rPr>
        <w:t xml:space="preserve">               </w:t>
      </w:r>
    </w:p>
    <w:p>
      <w:pPr>
        <w:pStyle w:val="Normal"/>
        <w:ind w:right="-1" w:hang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Требования к оформлению и составлению расчетов на оказание услуг по программе технического обслуживания энергооборудования, зданий и сооружений.</w:t>
      </w:r>
    </w:p>
    <w:p>
      <w:pPr>
        <w:pStyle w:val="Normal"/>
        <w:ind w:right="-1" w:hanging="0"/>
        <w:jc w:val="center"/>
        <w:rPr>
          <w:b/>
        </w:rPr>
      </w:pPr>
      <w:r>
        <w:rPr>
          <w:b/>
        </w:rPr>
      </w:r>
    </w:p>
    <w:p>
      <w:pPr>
        <w:pStyle w:val="Normal"/>
        <w:ind w:firstLine="567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Общая часть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00" w:leader="none"/>
        </w:tabs>
        <w:spacing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</w:rPr>
        <w:t>Основные условия ценообразования изложены в приложении №5 к настоящим требованиям и являются неотъемлемой частью требований к составлению сметной документации.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00" w:leader="none"/>
        </w:tabs>
        <w:spacing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</w:t>
      </w:r>
      <w:r>
        <w:rPr>
          <w:rFonts w:eastAsia="Times New Roman"/>
          <w:sz w:val="28"/>
          <w:szCs w:val="28"/>
        </w:rPr>
        <w:t>стоимости</w:t>
      </w:r>
      <w:r>
        <w:rPr>
          <w:sz w:val="28"/>
          <w:szCs w:val="28"/>
        </w:rPr>
        <w:t xml:space="preserve"> выполнения работ/услуг по ТО составляется на основании технических требований (далее – ТТ) филиалов и ПО ПАО «РусГидро». Специалистами технической службы филиалов и ПО заполняется форма «Перечень типовых работ по Техническому обслуживанию» (приложение №1), в которой указываются исходные данные, необходимые для определения стоимости ТО: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производственный актив;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наименование/состав типовой работы;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воздействий на единицу оборудования;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единиц оборудования;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выполнения работ;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номенклатура материально-технических ресурсов;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номенклатура механизмов.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стоимости выполнения работ/услуг по ТО составляется в соответствии с  Приложением №2</w:t>
      </w:r>
      <w:r>
        <w:rPr>
          <w:rFonts w:ascii="Times New Roman" w:hAnsi="Times New Roman"/>
          <w:b/>
          <w:sz w:val="28"/>
          <w:szCs w:val="28"/>
        </w:rPr>
        <w:t>.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определения стоимости выполнения работ/услуг по ТО необходимо определить следующие затраты: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труда рабочих, накладные расходы и сметная прибыль;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материалов;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before="0" w:after="0"/>
        <w:ind w:left="1080" w:hanging="51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стоимость механизмов.</w:t>
      </w:r>
    </w:p>
    <w:p>
      <w:pPr>
        <w:pStyle w:val="ListParagraph"/>
        <w:tabs>
          <w:tab w:val="clear" w:pos="708"/>
          <w:tab w:val="left" w:pos="900" w:leader="none"/>
        </w:tabs>
        <w:ind w:left="1080" w:hanging="0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ListParagraph"/>
        <w:tabs>
          <w:tab w:val="clear" w:pos="708"/>
          <w:tab w:val="left" w:pos="900" w:leader="none"/>
        </w:tabs>
        <w:ind w:left="108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Оплата труда, накладные расходы и сметная прибыль.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Затраты на оплату труда определяются на основании трудоемкости, среднего разряда работы/услуги, стоимости человека-часа.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Трудоемкость определяется на основании расценок сборников, справочников: ЕНиР, ГЭСН, ведомственные сборники (ВНиР, ВУЕР, БЦ и т.д.), иные сборники, содержащие данные о трудоемкости выполняемых работ и т.д. В случае отсутствия расценок, допустимо трудозатраты принимать по фактическим данным, при обязательном согласовании их со специалистами технической службы филиала (ПО, станции).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При выборе расценки следует руководствоваться следующими критериями: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hanging="0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 •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наименование;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hanging="0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•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перечень работ в расценке должен соответствовать фактически выполняемой работе;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hanging="0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 •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>трудоемкость, соответствующая фактически выполняемой работе.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Средний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разряд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работы/услуги, рассчитанный как средневзвешенный с учетом удельного веса трудозатрат с соответствующим разрядом, указывается на основании принятых расценок.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При расчете ресурсно-индексным методом стоимость человеко-часа,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соответствующая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принятому разряду, определяется по ФГИС ЦС;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Накладные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расходы принимать на работы по ТО принять по индивидуальным нормам в размере, не превышающем норму «Прочие ремонтно-строительные работы» - 92 % (в соответствии с Методикой по разработке и применению накладных расходов при определении сметной стоимости строительства, реконструкции, капитального ремонта, сноса объектов капитального строительства, введенной приказом Минстроя РФ от 21.12.2020 № 812/пр. (с дополнениями и изменениями). 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Сметную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прибыль на работы по ТО принять по индивидуальной норме, не превышающей норму «Прочие ремонтно-строительные работы» - 44% (в соответствии с «Методикой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строительства», введенной приказом Минстроя РФ от 11.12.2020 № 774/пр. (с дополнениями и изменениями).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spacing w:lineRule="auto" w:line="240" w:before="0" w:after="0"/>
        <w:ind w:left="0" w:right="-2" w:firstLine="567"/>
        <w:contextualSpacing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В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качестве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en-US"/>
        </w:rPr>
        <w:t xml:space="preserve"> базы для исчисления накладных расходов и сметной прибыли принимается величина средств на оплату труда.</w:t>
      </w:r>
    </w:p>
    <w:p>
      <w:pPr>
        <w:pStyle w:val="Normal"/>
        <w:numPr>
          <w:ilvl w:val="0"/>
        </w:numPr>
        <w:tabs>
          <w:tab w:val="clear" w:pos="708"/>
          <w:tab w:val="left" w:pos="900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900" w:leader="none"/>
        </w:tabs>
        <w:ind w:left="108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i/>
          <w:sz w:val="28"/>
          <w:szCs w:val="28"/>
        </w:rPr>
        <w:t>Стоимость материалов и оборудования.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Норму расхода материально-технических ресурсов (далее–МТР) определять на основании принятых расценок в соответствии с номенклатурой, указанной в исходных данных.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Стоимость</w:t>
      </w:r>
      <w:r>
        <w:rPr>
          <w:sz w:val="28"/>
          <w:szCs w:val="28"/>
        </w:rPr>
        <w:t xml:space="preserve"> МТР определять: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fill="auto" w:val="clear"/>
        </w:rPr>
        <w:t>-</w:t>
      </w:r>
      <w:r>
        <w:rPr>
          <w:sz w:val="28"/>
          <w:szCs w:val="28"/>
          <w:u w:val="single"/>
          <w:shd w:fill="auto" w:val="clear"/>
        </w:rPr>
        <w:t>при ресурсно-индексном методе</w:t>
      </w:r>
      <w:r>
        <w:rPr>
          <w:sz w:val="28"/>
          <w:szCs w:val="28"/>
          <w:shd w:fill="auto" w:val="clear"/>
        </w:rPr>
        <w:t xml:space="preserve"> по ФГИС ЦС.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При</w:t>
      </w:r>
      <w:r>
        <w:rPr>
          <w:sz w:val="28"/>
          <w:szCs w:val="28"/>
        </w:rPr>
        <w:t xml:space="preserve"> отсутствии материалов в ССЦ и ФГИС ЦС допускается определять стоимость методами, предусмотренными Методикой ПЦ (методы без использования сметных нормативов) </w:t>
      </w:r>
      <w:r>
        <w:rPr>
          <w:rStyle w:val="Style11"/>
          <w:rFonts w:cs="Times New Roman"/>
          <w:sz w:val="28"/>
          <w:szCs w:val="28"/>
        </w:rPr>
        <w:t>в соответствии с Приложением № 4 «Методикой формирования плановой цены на закупаемую продукцию для организаций Группы РусГидро» (далее – Методика ПЦ).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cs="Times New Roman"/>
          <w:b w:val="false"/>
          <w:bCs w:val="false"/>
          <w:color w:val="000000"/>
          <w:sz w:val="28"/>
          <w:szCs w:val="28"/>
          <w:lang w:eastAsia="en-US"/>
        </w:rPr>
      </w:pPr>
      <w:r>
        <w:rPr>
          <w:rFonts w:cs="Times New Roman"/>
          <w:b w:val="false"/>
          <w:bCs w:val="false"/>
          <w:color w:val="000000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993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Стоимость эксплуатации механизмов.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Норму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работы</w:t>
      </w:r>
      <w:r>
        <w:rPr>
          <w:rFonts w:eastAsia="Times New Roman"/>
          <w:sz w:val="28"/>
          <w:szCs w:val="28"/>
        </w:rPr>
        <w:t xml:space="preserve"> механизмов (маш.- час) определять на основании принятых расценок в соответствии с номенклатурой механизмов, указанной в исходных данных.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bookmarkStart w:id="0" w:name="P240"/>
      <w:bookmarkEnd w:id="0"/>
      <w:r>
        <w:rPr>
          <w:sz w:val="28"/>
          <w:szCs w:val="28"/>
        </w:rPr>
        <w:t xml:space="preserve">Стоимость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эксплуатации</w:t>
      </w:r>
      <w:r>
        <w:rPr>
          <w:sz w:val="28"/>
          <w:szCs w:val="28"/>
        </w:rPr>
        <w:t xml:space="preserve"> машин и механизмов определять: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- </w:t>
      </w:r>
      <w:r>
        <w:rPr>
          <w:sz w:val="28"/>
          <w:szCs w:val="28"/>
          <w:u w:val="single"/>
          <w:shd w:fill="auto" w:val="clear"/>
        </w:rPr>
        <w:t xml:space="preserve">при ресурсно-индексном методе </w:t>
      </w:r>
      <w:r>
        <w:rPr>
          <w:sz w:val="28"/>
          <w:szCs w:val="28"/>
          <w:shd w:fill="auto" w:val="clear"/>
        </w:rPr>
        <w:t xml:space="preserve"> - по данным ФГИС ЦС;</w:t>
      </w:r>
    </w:p>
    <w:p>
      <w:pPr>
        <w:pStyle w:val="ConsPlusNormal1"/>
        <w:numPr>
          <w:ilvl w:val="0"/>
          <w:numId w:val="6"/>
        </w:numPr>
        <w:ind w:firstLine="5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ru-RU" w:bidi="ar-SA"/>
        </w:rPr>
        <w:t>отсутствии</w:t>
      </w:r>
      <w:r>
        <w:rPr>
          <w:rFonts w:cs="Times New Roman" w:ascii="Times New Roman" w:hAnsi="Times New Roman"/>
          <w:sz w:val="28"/>
          <w:szCs w:val="28"/>
        </w:rPr>
        <w:t xml:space="preserve"> данных по строительным машинам и механизмам во ФГИС ЦС сметная цена их эксплуатации в текущем уровне рассчитывается как произведение сметной цены таких машин и механизмов в базисном уровне</w:t>
      </w:r>
      <w:r>
        <w:rPr>
          <w:rFonts w:ascii="Times New Roman" w:hAnsi="Times New Roman"/>
          <w:sz w:val="28"/>
          <w:szCs w:val="28"/>
        </w:rPr>
        <w:t xml:space="preserve"> цен (по ФСЭМ) </w:t>
      </w:r>
      <w:r>
        <w:rPr>
          <w:rFonts w:cs="Times New Roman" w:ascii="Times New Roman" w:hAnsi="Times New Roman"/>
          <w:sz w:val="28"/>
          <w:szCs w:val="28"/>
        </w:rPr>
        <w:t>и индексов к группам аналогичных машин и механизмов.</w:t>
      </w:r>
    </w:p>
    <w:p>
      <w:pPr>
        <w:sectPr>
          <w:footerReference w:type="even" r:id="rId2"/>
          <w:footerReference w:type="default" r:id="rId3"/>
          <w:type w:val="nextPage"/>
          <w:pgSz w:w="11906" w:h="16838"/>
          <w:pgMar w:left="1134" w:right="851" w:gutter="0" w:header="0" w:top="1134" w:footer="567" w:bottom="1134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numPr>
          <w:ilvl w:val="0"/>
          <w:numId w:val="0"/>
        </w:numPr>
        <w:tabs>
          <w:tab w:val="clear" w:pos="708"/>
          <w:tab w:val="left" w:pos="993" w:leader="none"/>
        </w:tabs>
        <w:spacing w:lineRule="auto" w:line="240" w:before="0" w:after="0"/>
        <w:ind w:left="0" w:hanging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en-US"/>
        </w:rPr>
        <w:t xml:space="preserve">При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отсутствии</w:t>
      </w:r>
      <w:r>
        <w:rPr>
          <w:rFonts w:eastAsia="Times New Roman" w:cs="Times New Roman"/>
          <w:color w:val="000000"/>
          <w:sz w:val="28"/>
          <w:szCs w:val="28"/>
          <w:lang w:eastAsia="en-US"/>
        </w:rPr>
        <w:t xml:space="preserve"> механизмов во ФСЭМ допускается стоимость эксплуатации определять Методами, предусмотренными Методикой ПЦ (методы без использования сметных нормативов) </w:t>
      </w:r>
      <w:r>
        <w:rPr>
          <w:rStyle w:val="Style11"/>
          <w:rFonts w:eastAsia="Times New Roman" w:cs="Times New Roman"/>
          <w:color w:val="000000"/>
          <w:sz w:val="28"/>
          <w:szCs w:val="28"/>
          <w:lang w:eastAsia="en-US"/>
        </w:rPr>
        <w:t>в соответствии с Приложением № 4 «Методикой формирования плановой цены на закупаемую продукцию для организаций Группы РусГидро» (далее – Методика ПЦ).</w:t>
      </w:r>
    </w:p>
    <w:p>
      <w:pPr>
        <w:pStyle w:val="Normal"/>
        <w:ind w:left="8646" w:hanging="0"/>
        <w:rPr>
          <w:color w:val="000000"/>
          <w:sz w:val="20"/>
        </w:rPr>
      </w:pPr>
      <w:r>
        <w:rPr>
          <w:color w:val="000000"/>
          <w:sz w:val="20"/>
        </w:rPr>
        <w:t xml:space="preserve">Приложение №1 </w:t>
      </w:r>
    </w:p>
    <w:p>
      <w:pPr>
        <w:pStyle w:val="Normal"/>
        <w:ind w:left="8646" w:hanging="0"/>
        <w:rPr>
          <w:sz w:val="20"/>
        </w:rPr>
      </w:pPr>
      <w:r>
        <w:rPr>
          <w:sz w:val="20"/>
        </w:rPr>
        <w:t>к Требованиям к оформлению и составлению</w:t>
      </w:r>
    </w:p>
    <w:p>
      <w:pPr>
        <w:pStyle w:val="Normal"/>
        <w:ind w:left="8646" w:hanging="0"/>
        <w:rPr>
          <w:sz w:val="20"/>
        </w:rPr>
      </w:pPr>
      <w:r>
        <w:rPr>
          <w:sz w:val="20"/>
        </w:rPr>
        <w:t>расчетов на выполнение работ/услуг по программе технического обслуживания</w:t>
      </w:r>
    </w:p>
    <w:p>
      <w:pPr>
        <w:pStyle w:val="Normal"/>
        <w:ind w:left="8646" w:hanging="0"/>
        <w:rPr>
          <w:sz w:val="20"/>
        </w:rPr>
      </w:pPr>
      <w:r>
        <w:rPr>
          <w:sz w:val="20"/>
        </w:rPr>
        <w:t xml:space="preserve">энергооборудования, </w:t>
      </w:r>
      <w:r>
        <w:rPr>
          <w:sz w:val="20"/>
          <w:szCs w:val="20"/>
        </w:rPr>
        <w:t xml:space="preserve">сетей, </w:t>
      </w:r>
      <w:r>
        <w:rPr>
          <w:sz w:val="20"/>
        </w:rPr>
        <w:t>зданий и сооружений</w:t>
      </w:r>
    </w:p>
    <w:p>
      <w:pPr>
        <w:pStyle w:val="Normal"/>
        <w:jc w:val="right"/>
        <w:rPr/>
      </w:pPr>
      <w:r>
        <w:rPr/>
      </w:r>
    </w:p>
    <w:tbl>
      <w:tblPr>
        <w:tblpPr w:vertAnchor="page" w:horzAnchor="margin" w:leftFromText="180" w:rightFromText="180" w:tblpX="182" w:tblpY="3079"/>
        <w:tblW w:w="153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23"/>
        <w:gridCol w:w="625"/>
        <w:gridCol w:w="623"/>
        <w:gridCol w:w="625"/>
        <w:gridCol w:w="623"/>
        <w:gridCol w:w="625"/>
        <w:gridCol w:w="623"/>
        <w:gridCol w:w="628"/>
        <w:gridCol w:w="620"/>
        <w:gridCol w:w="634"/>
        <w:gridCol w:w="627"/>
        <w:gridCol w:w="623"/>
        <w:gridCol w:w="625"/>
        <w:gridCol w:w="623"/>
        <w:gridCol w:w="625"/>
        <w:gridCol w:w="629"/>
        <w:gridCol w:w="630"/>
        <w:gridCol w:w="622"/>
        <w:gridCol w:w="626"/>
        <w:gridCol w:w="623"/>
        <w:gridCol w:w="627"/>
        <w:gridCol w:w="1037"/>
        <w:gridCol w:w="625"/>
        <w:gridCol w:w="595"/>
      </w:tblGrid>
      <w:tr>
        <w:trPr>
          <w:trHeight w:val="6334" w:hRule="atLeast"/>
          <w:cantSplit w:val="true"/>
        </w:trPr>
        <w:tc>
          <w:tcPr>
            <w:tcW w:w="62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№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Объект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Оборудование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Единица </w:t>
            </w:r>
            <w:r>
              <w:rPr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единиц оборудования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BD4B4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BD4B4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62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Длительность выполнения на год</w:t>
            </w:r>
            <w:r>
              <w:rPr>
                <w:b/>
                <w:bCs/>
                <w:sz w:val="18"/>
                <w:szCs w:val="18"/>
              </w:rPr>
              <w:t>. (Час)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Требуемая квалификация производственного персонала</w:t>
            </w:r>
          </w:p>
        </w:tc>
        <w:tc>
          <w:tcPr>
            <w:tcW w:w="6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Кол-во производственного  персонала</w:t>
            </w:r>
          </w:p>
        </w:tc>
        <w:tc>
          <w:tcPr>
            <w:tcW w:w="62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Кол-во производственного персонала для выполнения работы по расчету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Требуемая группа допуска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BD4B4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Перечень </w:t>
            </w:r>
            <w:r>
              <w:rPr>
                <w:b/>
                <w:sz w:val="18"/>
              </w:rPr>
              <w:t>МТР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МТР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BD4B4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62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Время использования механизмов</w:t>
            </w:r>
          </w:p>
        </w:tc>
        <w:tc>
          <w:tcPr>
            <w:tcW w:w="63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Инструменты</w:t>
            </w:r>
          </w:p>
        </w:tc>
        <w:tc>
          <w:tcPr>
            <w:tcW w:w="6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инструментов</w:t>
            </w:r>
          </w:p>
        </w:tc>
        <w:tc>
          <w:tcPr>
            <w:tcW w:w="6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Инвентарь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инвентаря</w:t>
            </w:r>
          </w:p>
        </w:tc>
        <w:tc>
          <w:tcPr>
            <w:tcW w:w="62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Услуги лаборатории</w:t>
            </w:r>
          </w:p>
        </w:tc>
        <w:tc>
          <w:tcPr>
            <w:tcW w:w="10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Средства метрологического контроля. Контрольно-измерительные инструменты и приборы для выполнения работы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Нормативные документы на выполнение работы</w:t>
            </w:r>
          </w:p>
        </w:tc>
        <w:tc>
          <w:tcPr>
            <w:tcW w:w="59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Особые условия по безопасности выполнения работ</w:t>
            </w:r>
          </w:p>
        </w:tc>
      </w:tr>
      <w:tr>
        <w:trPr>
          <w:trHeight w:val="268" w:hRule="atLeast"/>
          <w:cantSplit w:val="true"/>
        </w:trPr>
        <w:tc>
          <w:tcPr>
            <w:tcW w:w="6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BD4B4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BD4B4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BD4B4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BD4B4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</w:tr>
    </w:tbl>
    <w:p>
      <w:pPr>
        <w:pStyle w:val="Normal"/>
        <w:ind w:firstLine="709"/>
        <w:jc w:val="center"/>
        <w:rPr>
          <w:b/>
          <w:sz w:val="20"/>
        </w:rPr>
      </w:pPr>
      <w:r/>
      <w:r>
        <w:rPr>
          <w:b/>
          <w:sz w:val="20"/>
        </w:rPr>
        <w:t>Перечень типовых работ по техническому обслуживанию на период_________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/>
      </w:r>
    </w:p>
    <w:p>
      <w:pPr>
        <w:sectPr>
          <w:footerReference w:type="default" r:id="rId4"/>
          <w:footerReference w:type="first" r:id="rId5"/>
          <w:type w:val="nextPage"/>
          <w:pgSz w:orient="landscape" w:w="16838" w:h="11906"/>
          <w:pgMar w:left="426" w:right="284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  <w:t>* ячейки, выделенные цветом, являются исходными данными для определения стоимости работ/услуг по ТО</w:t>
      </w:r>
    </w:p>
    <w:p>
      <w:pPr>
        <w:pStyle w:val="Normal"/>
        <w:ind w:left="8646" w:hang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2 </w:t>
      </w:r>
    </w:p>
    <w:p>
      <w:pPr>
        <w:pStyle w:val="Normal"/>
        <w:ind w:left="8646" w:hanging="0"/>
        <w:jc w:val="right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</w:t>
      </w:r>
    </w:p>
    <w:p>
      <w:pPr>
        <w:pStyle w:val="Normal"/>
        <w:ind w:left="8646" w:hanging="0"/>
        <w:jc w:val="right"/>
        <w:rPr>
          <w:sz w:val="20"/>
          <w:szCs w:val="20"/>
        </w:rPr>
      </w:pPr>
      <w:r>
        <w:rPr>
          <w:sz w:val="20"/>
          <w:szCs w:val="20"/>
        </w:rPr>
        <w:t>расчетов на выполнение работ/услуг</w:t>
      </w:r>
    </w:p>
    <w:p>
      <w:pPr>
        <w:pStyle w:val="Normal"/>
        <w:ind w:left="8646" w:hang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программе технического обслуживания</w:t>
      </w:r>
    </w:p>
    <w:p>
      <w:pPr>
        <w:pStyle w:val="Normal"/>
        <w:ind w:left="8646" w:hanging="0"/>
        <w:jc w:val="right"/>
        <w:rPr>
          <w:sz w:val="20"/>
          <w:szCs w:val="20"/>
        </w:rPr>
      </w:pPr>
      <w:r>
        <w:rPr>
          <w:sz w:val="20"/>
          <w:szCs w:val="20"/>
        </w:rPr>
        <w:t>энергооборудования, сетей, зданий и сооружений.</w:t>
      </w:r>
    </w:p>
    <w:p>
      <w:pPr>
        <w:pStyle w:val="Normal"/>
        <w:ind w:firstLine="709"/>
        <w:jc w:val="center"/>
        <w:rPr>
          <w:b/>
          <w:sz w:val="18"/>
        </w:rPr>
      </w:pPr>
      <w:r>
        <w:rPr>
          <w:b/>
          <w:sz w:val="20"/>
        </w:rPr>
        <w:t>Справочник стоимости типовых работ по техническому обслуживанию на период</w:t>
      </w:r>
      <w:r>
        <w:rPr>
          <w:b/>
          <w:sz w:val="18"/>
        </w:rPr>
        <w:t>_________</w:t>
      </w:r>
    </w:p>
    <w:p>
      <w:pPr>
        <w:pStyle w:val="Normal"/>
        <w:ind w:firstLine="709"/>
        <w:jc w:val="right"/>
        <w:rPr>
          <w:sz w:val="18"/>
        </w:rPr>
      </w:pPr>
      <w:r>
        <w:rPr>
          <w:sz w:val="18"/>
        </w:rPr>
      </w:r>
    </w:p>
    <w:tbl>
      <w:tblPr>
        <w:tblW w:w="15559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10"/>
        <w:gridCol w:w="510"/>
        <w:gridCol w:w="509"/>
        <w:gridCol w:w="510"/>
        <w:gridCol w:w="511"/>
        <w:gridCol w:w="510"/>
        <w:gridCol w:w="509"/>
        <w:gridCol w:w="510"/>
        <w:gridCol w:w="510"/>
        <w:gridCol w:w="512"/>
        <w:gridCol w:w="512"/>
        <w:gridCol w:w="507"/>
        <w:gridCol w:w="522"/>
        <w:gridCol w:w="510"/>
        <w:gridCol w:w="510"/>
        <w:gridCol w:w="511"/>
        <w:gridCol w:w="508"/>
        <w:gridCol w:w="511"/>
        <w:gridCol w:w="515"/>
        <w:gridCol w:w="512"/>
        <w:gridCol w:w="512"/>
        <w:gridCol w:w="510"/>
        <w:gridCol w:w="510"/>
        <w:gridCol w:w="512"/>
        <w:gridCol w:w="512"/>
        <w:gridCol w:w="509"/>
        <w:gridCol w:w="510"/>
        <w:gridCol w:w="655"/>
        <w:gridCol w:w="568"/>
        <w:gridCol w:w="538"/>
      </w:tblGrid>
      <w:tr>
        <w:trPr>
          <w:trHeight w:val="5803" w:hRule="atLeast"/>
          <w:cantSplit w:val="true"/>
        </w:trPr>
        <w:tc>
          <w:tcPr>
            <w:tcW w:w="5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№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Объект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Оборудование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Единица измерения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единиц оборудования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Шифр расценки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Единица измерения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Норма трудозатрат на ед. изм.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Состав работ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Средний разряд работ</w:t>
            </w:r>
          </w:p>
        </w:tc>
        <w:tc>
          <w:tcPr>
            <w:tcW w:w="50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52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Длительность выполнения на год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Стоимость ч/час, руб.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Общая стоимость услуг,  руб.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МТР</w:t>
            </w:r>
          </w:p>
        </w:tc>
        <w:tc>
          <w:tcPr>
            <w:tcW w:w="50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Единица измерения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Норма расхода МТР на единицу работ</w:t>
            </w:r>
          </w:p>
        </w:tc>
        <w:tc>
          <w:tcPr>
            <w:tcW w:w="51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 МТР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Обоснование стоимости МТР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Цена за единицу, руб. без НДС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Стоимость материалов, руб. без НДС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Норма эксплуатации механизмов, маш/час.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Обоснование стоимости механизмов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Время использования механизма, маш/час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Стоимость маш/час, руб.</w:t>
            </w:r>
          </w:p>
        </w:tc>
        <w:tc>
          <w:tcPr>
            <w:tcW w:w="65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D6E3BC" w:val="clear"/>
            <w:textDirection w:val="btL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Стоимость эксплуатации механизмов и автотранспорта, руб.</w:t>
            </w:r>
          </w:p>
        </w:tc>
        <w:tc>
          <w:tcPr>
            <w:tcW w:w="5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Особые условия по безопасности выполнения работ</w:t>
            </w:r>
          </w:p>
        </w:tc>
        <w:tc>
          <w:tcPr>
            <w:tcW w:w="53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b/>
                <w:sz w:val="18"/>
              </w:rPr>
            </w:pPr>
            <w:r>
              <w:rPr>
                <w:b/>
                <w:sz w:val="18"/>
              </w:rPr>
              <w:t>Примечание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orient="landscape" w:w="16838" w:h="11906"/>
          <w:pgMar w:left="454" w:right="454" w:gutter="0" w:header="0" w:top="1304" w:footer="709" w:bottom="924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18"/>
        </w:rPr>
      </w:pPr>
      <w:r>
        <w:rPr>
          <w:sz w:val="18"/>
        </w:rPr>
        <w:t>**ячейки, выделенные цветом, добавляются для определения стоимости работ/услуг по ТО</w:t>
      </w:r>
    </w:p>
    <w:p>
      <w:pPr>
        <w:pStyle w:val="Normal"/>
        <w:ind w:left="5811" w:hanging="0"/>
        <w:jc w:val="right"/>
        <w:rPr>
          <w:sz w:val="20"/>
          <w:szCs w:val="20"/>
        </w:rPr>
      </w:pPr>
      <w:r>
        <w:rPr>
          <w:sz w:val="20"/>
        </w:rPr>
        <w:t xml:space="preserve">Приложение </w:t>
      </w:r>
      <w:r>
        <w:rPr>
          <w:sz w:val="20"/>
          <w:szCs w:val="20"/>
        </w:rPr>
        <w:t>3</w:t>
      </w:r>
    </w:p>
    <w:p>
      <w:pPr>
        <w:pStyle w:val="Normal"/>
        <w:tabs>
          <w:tab w:val="clear" w:pos="708"/>
          <w:tab w:val="left" w:pos="11624" w:leader="none"/>
        </w:tabs>
        <w:ind w:left="5811" w:hanging="0"/>
        <w:jc w:val="right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</w:t>
      </w:r>
    </w:p>
    <w:p>
      <w:pPr>
        <w:pStyle w:val="Normal"/>
        <w:ind w:left="5811" w:hanging="0"/>
        <w:jc w:val="center"/>
        <w:rPr>
          <w:sz w:val="20"/>
          <w:szCs w:val="20"/>
        </w:rPr>
      </w:pPr>
      <w:r>
        <w:rPr>
          <w:sz w:val="20"/>
        </w:rPr>
        <w:t xml:space="preserve">расчетов на выполнение работ/услуг </w:t>
      </w:r>
    </w:p>
    <w:p>
      <w:pPr>
        <w:pStyle w:val="Normal"/>
        <w:ind w:left="5811" w:hanging="0"/>
        <w:jc w:val="center"/>
        <w:rPr>
          <w:sz w:val="20"/>
        </w:rPr>
      </w:pPr>
      <w:r>
        <w:rPr>
          <w:sz w:val="20"/>
        </w:rPr>
        <w:t>по программе технического обслуживания</w:t>
      </w:r>
    </w:p>
    <w:p>
      <w:pPr>
        <w:pStyle w:val="Normal"/>
        <w:ind w:left="5811" w:hanging="0"/>
        <w:jc w:val="center"/>
        <w:rPr>
          <w:sz w:val="20"/>
        </w:rPr>
      </w:pPr>
      <w:r>
        <w:rPr>
          <w:sz w:val="20"/>
        </w:rPr>
        <w:t xml:space="preserve">энергооборудования, </w:t>
      </w:r>
      <w:r>
        <w:rPr>
          <w:sz w:val="20"/>
          <w:szCs w:val="20"/>
        </w:rPr>
        <w:t xml:space="preserve">сетей, </w:t>
      </w:r>
      <w:r>
        <w:rPr>
          <w:sz w:val="20"/>
        </w:rPr>
        <w:t>зданий и сооружений.</w:t>
      </w:r>
    </w:p>
    <w:tbl>
      <w:tblPr>
        <w:tblW w:w="1587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55"/>
        <w:gridCol w:w="491"/>
        <w:gridCol w:w="1738"/>
        <w:gridCol w:w="329"/>
        <w:gridCol w:w="216"/>
        <w:gridCol w:w="554"/>
        <w:gridCol w:w="78"/>
        <w:gridCol w:w="22"/>
        <w:gridCol w:w="976"/>
        <w:gridCol w:w="781"/>
        <w:gridCol w:w="81"/>
        <w:gridCol w:w="267"/>
        <w:gridCol w:w="1133"/>
        <w:gridCol w:w="880"/>
        <w:gridCol w:w="670"/>
        <w:gridCol w:w="1002"/>
        <w:gridCol w:w="603"/>
        <w:gridCol w:w="665"/>
        <w:gridCol w:w="1424"/>
        <w:gridCol w:w="186"/>
        <w:gridCol w:w="240"/>
        <w:gridCol w:w="440"/>
        <w:gridCol w:w="666"/>
        <w:gridCol w:w="827"/>
        <w:gridCol w:w="194"/>
        <w:gridCol w:w="275"/>
        <w:gridCol w:w="682"/>
      </w:tblGrid>
      <w:tr>
        <w:trPr>
          <w:trHeight w:val="255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4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Приложение № _______</w:t>
            </w:r>
          </w:p>
        </w:tc>
      </w:tr>
      <w:tr>
        <w:trPr>
          <w:trHeight w:val="255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61" w:type="dxa"/>
            <w:gridSpan w:val="4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5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5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324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договору № _____ от "_____"___________202_г.</w:t>
            </w:r>
          </w:p>
        </w:tc>
      </w:tr>
      <w:tr>
        <w:trPr>
          <w:trHeight w:val="270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87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7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Согласовано: (</w:t>
            </w:r>
            <w:r>
              <w:rPr>
                <w:bCs/>
                <w:sz w:val="20"/>
                <w:szCs w:val="20"/>
              </w:rPr>
              <w:t>Подрядчик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87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Утверждаю:</w:t>
            </w:r>
            <w:r>
              <w:rPr>
                <w:bCs/>
                <w:sz w:val="20"/>
                <w:szCs w:val="20"/>
              </w:rPr>
              <w:t xml:space="preserve"> (Заказчик)</w:t>
            </w:r>
          </w:p>
        </w:tc>
        <w:tc>
          <w:tcPr>
            <w:tcW w:w="27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6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trHeight w:val="330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4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00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 Ф.И.О.</w:t>
            </w:r>
          </w:p>
        </w:tc>
        <w:tc>
          <w:tcPr>
            <w:tcW w:w="87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4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 Ф.И.О.</w:t>
            </w:r>
          </w:p>
        </w:tc>
      </w:tr>
      <w:tr>
        <w:trPr>
          <w:trHeight w:val="483" w:hRule="atLeast"/>
        </w:trPr>
        <w:tc>
          <w:tcPr>
            <w:tcW w:w="946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</w:r>
          </w:p>
        </w:tc>
        <w:tc>
          <w:tcPr>
            <w:tcW w:w="2283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492" w:type="dxa"/>
            <w:gridSpan w:val="6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6377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Сводный расчет стоимости</w:t>
            </w:r>
          </w:p>
        </w:tc>
        <w:tc>
          <w:tcPr>
            <w:tcW w:w="18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2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8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946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</w:r>
          </w:p>
        </w:tc>
        <w:tc>
          <w:tcPr>
            <w:tcW w:w="2283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492" w:type="dxa"/>
            <w:gridSpan w:val="6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6377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технического обслуживания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____________________ на 20________-20______ годы</w:t>
            </w:r>
          </w:p>
        </w:tc>
        <w:tc>
          <w:tcPr>
            <w:tcW w:w="18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2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8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946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</w:r>
          </w:p>
        </w:tc>
        <w:tc>
          <w:tcPr>
            <w:tcW w:w="6175" w:type="dxa"/>
            <w:gridSpan w:val="11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Составлен в ценах по состоянию на 20__- 20__г.</w:t>
            </w:r>
          </w:p>
        </w:tc>
        <w:tc>
          <w:tcPr>
            <w:tcW w:w="1550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</w:t>
            </w:r>
          </w:p>
        </w:tc>
        <w:tc>
          <w:tcPr>
            <w:tcW w:w="1151" w:type="dxa"/>
            <w:gridSpan w:val="3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</w:tr>
      <w:tr>
        <w:trPr>
          <w:trHeight w:val="739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выполняемых услуг</w:t>
            </w: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работы, руб.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материалов, руб.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механизмов, руб.</w:t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Итого, руб.</w:t>
            </w:r>
          </w:p>
        </w:tc>
      </w:tr>
      <w:tr>
        <w:trPr>
          <w:trHeight w:val="339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0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1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>
        <w:trPr>
          <w:trHeight w:val="529" w:hRule="atLeast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rPr>
          <w:trHeight w:val="358" w:hRule="atLeast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rPr>
          <w:trHeight w:val="408" w:hRule="atLeast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rPr>
          <w:trHeight w:val="256" w:hRule="atLeast"/>
        </w:trPr>
        <w:tc>
          <w:tcPr>
            <w:tcW w:w="45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3406" w:type="dxa"/>
            <w:gridSpan w:val="6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по договору</w:t>
            </w:r>
          </w:p>
        </w:tc>
        <w:tc>
          <w:tcPr>
            <w:tcW w:w="2127" w:type="dxa"/>
            <w:gridSpan w:val="5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trHeight w:val="255" w:hRule="atLeast"/>
        </w:trPr>
        <w:tc>
          <w:tcPr>
            <w:tcW w:w="4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2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9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5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5" w:hRule="atLeast"/>
        </w:trPr>
        <w:tc>
          <w:tcPr>
            <w:tcW w:w="4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32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Составил: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Проверил:</w:t>
            </w:r>
          </w:p>
        </w:tc>
        <w:tc>
          <w:tcPr>
            <w:tcW w:w="10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1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8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70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90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51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orient="landscape" w:w="16838" w:h="11906"/>
          <w:pgMar w:left="454" w:right="454" w:gutter="0" w:header="0" w:top="993" w:footer="709" w:bottom="924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tbl>
      <w:tblPr>
        <w:tblW w:w="15213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29"/>
        <w:gridCol w:w="1244"/>
        <w:gridCol w:w="788"/>
        <w:gridCol w:w="563"/>
        <w:gridCol w:w="1314"/>
        <w:gridCol w:w="2"/>
        <w:gridCol w:w="1121"/>
        <w:gridCol w:w="1202"/>
        <w:gridCol w:w="785"/>
        <w:gridCol w:w="569"/>
        <w:gridCol w:w="1021"/>
        <w:gridCol w:w="1250"/>
        <w:gridCol w:w="962"/>
        <w:gridCol w:w="961"/>
        <w:gridCol w:w="1138"/>
        <w:gridCol w:w="1132"/>
        <w:gridCol w:w="6"/>
        <w:gridCol w:w="726"/>
      </w:tblGrid>
      <w:tr>
        <w:trPr>
          <w:trHeight w:val="256" w:hRule="atLeast"/>
        </w:trPr>
        <w:tc>
          <w:tcPr>
            <w:tcW w:w="15213" w:type="dxa"/>
            <w:gridSpan w:val="18"/>
            <w:tcBorders/>
          </w:tcPr>
          <w:p>
            <w:pPr>
              <w:pStyle w:val="Normal"/>
              <w:pageBreakBefore/>
              <w:widowControl w:val="false"/>
              <w:spacing w:before="0" w:after="200"/>
              <w:jc w:val="righ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Приложение № 4</w:t>
            </w:r>
          </w:p>
        </w:tc>
      </w:tr>
      <w:tr>
        <w:trPr>
          <w:trHeight w:val="116" w:hRule="atLeast"/>
        </w:trPr>
        <w:tc>
          <w:tcPr>
            <w:tcW w:w="15213" w:type="dxa"/>
            <w:gridSpan w:val="18"/>
            <w:tcBorders/>
          </w:tcPr>
          <w:p>
            <w:pPr>
              <w:pStyle w:val="Normal"/>
              <w:widowControl w:val="false"/>
              <w:spacing w:before="0" w:after="200"/>
              <w:jc w:val="righ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к Требованиям к оформлению и составлению сметной документации на работы по программе ТО</w:t>
            </w:r>
          </w:p>
        </w:tc>
      </w:tr>
      <w:tr>
        <w:trPr>
          <w:trHeight w:val="256" w:hRule="atLeast"/>
        </w:trPr>
        <w:tc>
          <w:tcPr>
            <w:tcW w:w="14481" w:type="dxa"/>
            <w:gridSpan w:val="16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Calibri" w:cs="Calibri"/>
                <w:b w:val="false"/>
                <w:bCs w:val="false"/>
                <w:i/>
                <w:sz w:val="16"/>
                <w:szCs w:val="16"/>
              </w:rPr>
              <w:t xml:space="preserve">                                                </w:t>
            </w:r>
            <w:r>
              <w:rPr>
                <w:b w:val="false"/>
                <w:bCs w:val="false"/>
                <w:i/>
                <w:sz w:val="16"/>
                <w:szCs w:val="16"/>
              </w:rPr>
              <w:t>ПРИМЕР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6" w:hRule="atLeast"/>
        </w:trPr>
        <w:tc>
          <w:tcPr>
            <w:tcW w:w="15213" w:type="dxa"/>
            <w:gridSpan w:val="18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Расчет плановой цены</w:t>
            </w:r>
          </w:p>
        </w:tc>
      </w:tr>
      <w:tr>
        <w:trPr>
          <w:trHeight w:val="25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6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 w:val="false"/>
                <w:bCs w:val="false"/>
                <w:sz w:val="16"/>
                <w:szCs w:val="16"/>
              </w:rPr>
              <w:t>№</w:t>
            </w:r>
            <w:r>
              <w:rPr>
                <w:rFonts w:eastAsia="Calibri" w:cs="Calibri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b w:val="false"/>
                <w:bCs w:val="false"/>
                <w:sz w:val="16"/>
                <w:szCs w:val="16"/>
              </w:rPr>
              <w:t>п/п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Наименование планируемой к закупке продукции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Единица измерения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Требуемое количество</w:t>
            </w:r>
          </w:p>
        </w:tc>
        <w:tc>
          <w:tcPr>
            <w:tcW w:w="3639" w:type="dxa"/>
            <w:gridSpan w:val="4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Источник информации-1</w:t>
            </w:r>
          </w:p>
        </w:tc>
        <w:tc>
          <w:tcPr>
            <w:tcW w:w="3625" w:type="dxa"/>
            <w:gridSpan w:val="4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Источник информации-2</w:t>
            </w:r>
          </w:p>
        </w:tc>
        <w:tc>
          <w:tcPr>
            <w:tcW w:w="3061" w:type="dxa"/>
            <w:gridSpan w:val="3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Источник информации-3</w:t>
            </w:r>
          </w:p>
        </w:tc>
        <w:tc>
          <w:tcPr>
            <w:tcW w:w="1138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Сметная цена за единицу, руб. без НДС</w:t>
              <w:br/>
            </w:r>
          </w:p>
        </w:tc>
        <w:tc>
          <w:tcPr>
            <w:tcW w:w="72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КОММЕНТАРИЙ</w:t>
            </w:r>
          </w:p>
        </w:tc>
      </w:tr>
      <w:tr>
        <w:trPr>
          <w:trHeight w:val="1594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316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Наименование источника информации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единицу), руб. без НДС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весь объем), руб. без НДС</w:t>
            </w:r>
          </w:p>
        </w:tc>
        <w:tc>
          <w:tcPr>
            <w:tcW w:w="1354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Наименование источника информации</w:t>
            </w:r>
          </w:p>
        </w:tc>
        <w:tc>
          <w:tcPr>
            <w:tcW w:w="102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единицу), руб. без НДС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весь объем), руб. без НДС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Наименование источника информации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единицу) с учетом ценообразующих факторов, тыс. руб. без НДС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Стоимость продукции (за весь объем) с учетом ценообразующих факторов, руб. без НДС</w:t>
            </w:r>
          </w:p>
        </w:tc>
        <w:tc>
          <w:tcPr>
            <w:tcW w:w="1138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2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3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7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8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9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10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11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12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13</w:t>
            </w:r>
          </w:p>
        </w:tc>
        <w:tc>
          <w:tcPr>
            <w:tcW w:w="1138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14</w:t>
            </w:r>
          </w:p>
        </w:tc>
        <w:tc>
          <w:tcPr>
            <w:tcW w:w="72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15</w:t>
            </w:r>
          </w:p>
        </w:tc>
      </w:tr>
      <w:tr>
        <w:trPr>
          <w:trHeight w:val="702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ГАЗ-34039-32 стандартный СБХ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маш.час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20,00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ТКП ООО"___" от _____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500,00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10 000,00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ТКП ООО"___" от _____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650,00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13 000,00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ТКП ООО"___" от _____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580,00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11 600,00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576,67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491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Снегоболотоход  ТГ-126-06 "Иркут"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маш.час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702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Бурильная машина БМ-205В на шасси МТЗ-82.1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маш.час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491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Вилочный погрузчик ТВЕКС ВП-05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маш.час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6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Шкаф автоматизации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шт.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6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6</w:t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Кабель силовой …..</w:t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шт.</w:t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1,00</w:t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 w:val="false"/>
                <w:bCs w:val="false"/>
                <w:sz w:val="16"/>
                <w:szCs w:val="16"/>
              </w:rPr>
              <w:t>………</w:t>
            </w:r>
            <w:r>
              <w:rPr>
                <w:b w:val="false"/>
                <w:bCs w:val="false"/>
                <w:sz w:val="16"/>
                <w:szCs w:val="16"/>
              </w:rPr>
              <w:t>..</w:t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25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4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56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314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23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590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13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732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645" w:hRule="atLeast"/>
        </w:trPr>
        <w:tc>
          <w:tcPr>
            <w:tcW w:w="429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14784" w:type="dxa"/>
            <w:gridSpan w:val="17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* Если, в связи с условиями рынка получение ценовой информации из трех и более источников информации невозможно – рассчитать цену, как среднее арифметическое из полученных предложений (при олигопольном рынке) или принять единственное предложение (при монопольном рынке) (с указанием соответствующих пояснений).</w:t>
            </w:r>
          </w:p>
        </w:tc>
      </w:tr>
    </w:tbl>
    <w:p>
      <w:pPr>
        <w:pStyle w:val="Normal"/>
        <w:ind w:left="10490" w:hanging="0"/>
        <w:jc w:val="right"/>
        <w:rPr/>
      </w:pPr>
      <w:r>
        <w:rPr/>
      </w:r>
    </w:p>
    <w:p>
      <w:pPr>
        <w:pStyle w:val="ConsPlusNormal1"/>
        <w:widowControl/>
        <w:tabs>
          <w:tab w:val="clear" w:pos="708"/>
          <w:tab w:val="left" w:pos="993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ind w:left="567" w:hanging="0"/>
        <w:jc w:val="both"/>
        <w:rPr/>
      </w:pPr>
      <w:r>
        <w:rPr/>
      </w:r>
    </w:p>
    <w:p>
      <w:pPr>
        <w:pStyle w:val="ConsPlusNormal1"/>
        <w:widowControl/>
        <w:tabs>
          <w:tab w:val="clear" w:pos="708"/>
          <w:tab w:val="left" w:pos="993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10490" w:hanging="0"/>
        <w:jc w:val="right"/>
        <w:rPr/>
      </w:pPr>
      <w:r>
        <w:rPr/>
      </w:r>
      <w:r>
        <w:br w:type="page"/>
      </w:r>
    </w:p>
    <w:p>
      <w:pPr>
        <w:pStyle w:val="Normal"/>
        <w:bidi w:val="0"/>
        <w:jc w:val="right"/>
        <w:rPr>
          <w:sz w:val="20"/>
          <w:szCs w:val="20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em w:val="none"/>
        </w:rPr>
        <w:t xml:space="preserve">Приложение №5 </w:t>
      </w:r>
    </w:p>
    <w:p>
      <w:pPr>
        <w:pStyle w:val="Normal"/>
        <w:widowControl w:val="false"/>
        <w:jc w:val="right"/>
        <w:rPr>
          <w:color w:val="000000"/>
          <w:sz w:val="20"/>
          <w:szCs w:val="20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em w:val="none"/>
        </w:rPr>
        <w:t xml:space="preserve">к Требованиям к оформлению и </w:t>
      </w:r>
    </w:p>
    <w:p>
      <w:pPr>
        <w:pStyle w:val="Normal"/>
        <w:widowControl w:val="false"/>
        <w:jc w:val="right"/>
        <w:rPr>
          <w:color w:val="000000"/>
          <w:sz w:val="20"/>
          <w:szCs w:val="20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em w:val="none"/>
        </w:rPr>
        <w:t xml:space="preserve">составлению сметной документации </w:t>
      </w:r>
    </w:p>
    <w:p>
      <w:pPr>
        <w:pStyle w:val="Normal"/>
        <w:bidi w:val="0"/>
        <w:jc w:val="center"/>
        <w:rPr>
          <w:rFonts w:ascii="Times New Roman" w:hAnsi="Times New Roman"/>
          <w:b/>
          <w:i w:val="false"/>
          <w:i w:val="false"/>
          <w:strike w:val="false"/>
          <w:dstrike w:val="false"/>
          <w:outline w:val="false"/>
          <w:shadow w:val="false"/>
          <w:color w:val="000000"/>
          <w:sz w:val="27"/>
          <w:u w:val="single"/>
          <w:em w:val="none"/>
        </w:rPr>
      </w:pP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7"/>
          <w:u w:val="single"/>
          <w:em w:val="none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i w:val="false"/>
          <w:i w:val="false"/>
          <w:strike w:val="false"/>
          <w:dstrike w:val="false"/>
          <w:outline w:val="false"/>
          <w:shadow w:val="false"/>
          <w:color w:val="000000"/>
          <w:sz w:val="27"/>
          <w:u w:val="single"/>
          <w:em w:val="none"/>
        </w:rPr>
      </w:pP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7"/>
          <w:u w:val="single"/>
          <w:em w:val="none"/>
        </w:rPr>
        <w:t>Основные условия ценообразования к договору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/>
      </w:pPr>
      <w:r>
        <w:rPr/>
      </w:r>
    </w:p>
    <w:tbl>
      <w:tblPr>
        <w:tblW w:w="14817" w:type="dxa"/>
        <w:jc w:val="left"/>
        <w:tblInd w:w="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0"/>
        <w:gridCol w:w="2883"/>
        <w:gridCol w:w="2233"/>
        <w:gridCol w:w="2017"/>
        <w:gridCol w:w="4299"/>
        <w:gridCol w:w="2584"/>
      </w:tblGrid>
      <w:tr>
        <w:trPr>
          <w:trHeight w:val="394" w:hRule="atLeast"/>
        </w:trPr>
        <w:tc>
          <w:tcPr>
            <w:tcW w:w="14816" w:type="dxa"/>
            <w:gridSpan w:val="6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  <w:u w:val="single"/>
              </w:rPr>
              <w:t>Основные условия ценообразования к договору</w:t>
            </w:r>
          </w:p>
        </w:tc>
      </w:tr>
      <w:tr>
        <w:trPr>
          <w:trHeight w:val="300" w:hRule="atLeast"/>
        </w:trPr>
        <w:tc>
          <w:tcPr>
            <w:tcW w:w="80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23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01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29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58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п.п.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Раздел требований</w:t>
            </w:r>
          </w:p>
        </w:tc>
        <w:tc>
          <w:tcPr>
            <w:tcW w:w="8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Значение требований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Примечание/Обоснование</w:t>
            </w:r>
          </w:p>
        </w:tc>
      </w:tr>
      <w:tr>
        <w:trPr>
          <w:trHeight w:val="985" w:hRule="atLeast"/>
        </w:trPr>
        <w:tc>
          <w:tcPr>
            <w:tcW w:w="368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Требования</w:t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>
                <w:b/>
              </w:rPr>
              <w:t>на составление сметной документации на выполнение работ/услуг по программе технического обслуживания энергооборудования, сетей, зданий и сооружений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961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Метод определения сметной стоимости работ</w:t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Ресурсно-индексный (приоритетный)- с использованием сметных норм, сметных цен строительных ресурсов в базисном уровне цен и одновременным применением сметных цен строительных ресурсов в текущем уровне цен, информации об индексах изменения сметной стоимости строительства по группам однородных строительных ресурсов и с учетом иной информации, используемой для определения сметной стоимости строительства, размещенных в федеральной государственной информационной системе ценообразования в строительстве (далее - ФГИС ЦС). Сметная стоимость, определенная с применением ресурсно-индексного метода, приводится в ЛСР (ЛС) в текущем уровне цен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432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Применение сметно-нормативной базы</w:t>
            </w:r>
          </w:p>
        </w:tc>
        <w:tc>
          <w:tcPr>
            <w:tcW w:w="4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ФСНБ-2022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с изм. 1-18</w:t>
            </w:r>
          </w:p>
        </w:tc>
        <w:tc>
          <w:tcPr>
            <w:tcW w:w="25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i/>
              </w:rPr>
              <w:t>В случае отсутствия единичных расценок в действующей СНБ возможно определение сметной стоимости с применением ГЭСН) сборников СНБ ФСНБ-2022 (актуальной на момент составления сметной документации), сметных норм сборников  ЕНиР и ВНиР. При этом уровень оплаты труда для ГЭСН,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 Применение сметных норм сборников ГЭСН является приоритетным.</w:t>
            </w:r>
          </w:p>
        </w:tc>
      </w:tr>
      <w:tr>
        <w:trPr>
          <w:trHeight w:val="659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right"/>
              <w:rPr/>
            </w:pPr>
            <w:r>
              <w:rPr/>
              <w:t>ГЭСН, ЕНиР и ВНиР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25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490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Применение индексов пересчета в текущие цены</w:t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 xml:space="preserve">• </w:t>
            </w:r>
            <w:r>
              <w:rPr/>
              <w:t>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        <w:br/>
              <w:t>• индексы изменения сметных цен на перевозку грузов –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        <w:br/>
              <w:t>• индексы изменения сметной стоимости оборудования – применяются к сметной стоимости оборудования;</w:t>
              <w:br/>
              <w:t>• индексы изменения сметной стоимости, рассчитываемые для применения к сметной стоимости отдельных видов прочих работ и затрат;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523" w:hRule="atLeast"/>
        </w:trPr>
        <w:tc>
          <w:tcPr>
            <w:tcW w:w="8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4</w:t>
            </w:r>
          </w:p>
        </w:tc>
        <w:tc>
          <w:tcPr>
            <w:tcW w:w="28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Применение индексов-дефляторов</w:t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В сметных расчетах на этап работ применяются индексы-дефляторы Министерства экономического развития российской Федерации. Индексы-дефляторы применяются для пересчета сметной стоимости строительства из уровня цен на дату определения стоимости работ в уровень цен, соответствующих периоду выполнения работ по договору.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388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Ремонт, ТО, охрана (индексы дефляторы принимаются по данным макроэкономических показателей (вариант - базовый), Министерства экономического развития Российской Федерации, по строке -      Индекс-дефлятор (по сопоставимому кругу предприятий)).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На 2026 год — 5,6%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На 2027 год — 4,3%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На 2028 год — 4,3%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На 2029 год — 3,9%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Прогноз МЭР от 12.05.2026</w:t>
            </w:r>
          </w:p>
        </w:tc>
      </w:tr>
      <w:tr>
        <w:trPr>
          <w:trHeight w:val="2250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 xml:space="preserve">В случае если срок выполнения работ превышает календарный год, то индекс прогнозной инфляции для второго и последующих годов, определяется с учетом установленных договором сроков строительства по формуле: </w:t>
              <w:br/>
              <w:t xml:space="preserve">  Цд=С * Иинфл                         (2)</w:t>
              <w:br/>
              <w:t>Цд – стоимость договора; С - сметная стоимость подрядных работ, подлежащих выполнению подрядчиком;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6683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85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 xml:space="preserve">Иинф – индекс инфляции, рассчитываемый по формуле: </w:t>
              <w:br/>
              <w:t>И инф = Д1*К1+Д2*К2+...+Дi*Кi                 (3)</w:t>
              <w:br/>
              <w:t>Д1,Д2,Дi - доля сметной стоимости работ, подлежащих выполнению соответственно в 1-й, 2-й, 3-й, i-ый годы строительства;</w:t>
              <w:br/>
              <w:t>i - год завершения строительства объекта;</w:t>
              <w:br/>
              <w:t>К1 -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        <w:br/>
              <w:t>К2 -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        <w:br/>
              <w:t>К3 -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676" w:hRule="atLeast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Транспортные затраты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По доставке материальных ресурсов</w:t>
            </w:r>
          </w:p>
        </w:tc>
        <w:tc>
          <w:tcPr>
            <w:tcW w:w="63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в размере до 3-х процентов от отпускной цены материальных ресурсов (при невозможности определить затраты расчетом или по результатам конъюнктурного анализа), по решению заказчика.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i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>
        <w:trPr>
          <w:trHeight w:val="1262" w:hRule="atLeast"/>
        </w:trPr>
        <w:tc>
          <w:tcPr>
            <w:tcW w:w="8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6</w:t>
            </w:r>
          </w:p>
        </w:tc>
        <w:tc>
          <w:tcPr>
            <w:tcW w:w="28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Заготовительно-складские расходы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По доставке материальных ресурсов</w:t>
            </w:r>
          </w:p>
        </w:tc>
        <w:tc>
          <w:tcPr>
            <w:tcW w:w="63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 xml:space="preserve">• </w:t>
            </w:r>
            <w:r>
              <w:rPr/>
              <w:t>2% от отпускной цены материальных ресурсов (кроме металлоконструкций);</w:t>
              <w:br/>
              <w:t>• 0,75% от отпускной цены для металлоконструкций,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>
                <w:i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>
        <w:trPr>
          <w:trHeight w:val="1262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По доставке оборудования</w:t>
            </w:r>
          </w:p>
        </w:tc>
        <w:tc>
          <w:tcPr>
            <w:tcW w:w="63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 xml:space="preserve">• </w:t>
            </w:r>
            <w:r>
              <w:rPr/>
              <w:t>1,2% от отпускной цены оборудования.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017" w:hRule="atLeast"/>
        </w:trPr>
        <w:tc>
          <w:tcPr>
            <w:tcW w:w="8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7</w:t>
            </w:r>
          </w:p>
        </w:tc>
        <w:tc>
          <w:tcPr>
            <w:tcW w:w="28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Определение стоимости дополнительных работ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работы, входящие в договорную стоимость</w:t>
            </w:r>
          </w:p>
        </w:tc>
        <w:tc>
          <w:tcPr>
            <w:tcW w:w="63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При составлении сметной документации необходимо руководствоваться условиями ценообразования, учтенными в сметной документации к основному договору (дополнительному соглашению) в том числе: сметно-нормативная база, индексы перевода в текущие цены, понижающие договорные коэффициенты, индексы-дефляторы.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133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работы, не учтенных основным договором</w:t>
            </w:r>
          </w:p>
        </w:tc>
        <w:tc>
          <w:tcPr>
            <w:tcW w:w="63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При составлении сметной документации необходимо учитывать условия ценообразования актуальные на момент составления сметной документации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319" w:hRule="atLeast"/>
        </w:trPr>
        <w:tc>
          <w:tcPr>
            <w:tcW w:w="8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8</w:t>
            </w:r>
          </w:p>
        </w:tc>
        <w:tc>
          <w:tcPr>
            <w:tcW w:w="28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Командировочные расходы</w:t>
              <w:br/>
              <w:t>При необходимости учета командировочных расходов в сметной документации составляется расчет.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Суточные</w:t>
            </w:r>
          </w:p>
        </w:tc>
        <w:tc>
          <w:tcPr>
            <w:tcW w:w="2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СМР, ПНР, ТО, при командировании на территории не относящиеся к районам Крайнего Севера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right"/>
              <w:rPr/>
            </w:pPr>
            <w:r>
              <w:rPr/>
              <w:t>700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250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Проживание</w:t>
            </w:r>
          </w:p>
        </w:tc>
        <w:tc>
          <w:tcPr>
            <w:tcW w:w="2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  <w:t>СМР, ПНР, ТО, при командировании на территории не относящиеся к районам Крайнего Севера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right"/>
              <w:rPr/>
            </w:pPr>
            <w:r>
              <w:rPr/>
              <w:t>500</w:t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1917" w:hRule="atLeast"/>
        </w:trPr>
        <w:tc>
          <w:tcPr>
            <w:tcW w:w="8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  <w:t>Проезд: поезд (купе) или самолет (класс–эконом с багажом до 20 (двадцати) кг, ручная кладь до 10 (десяти) кг).</w:t>
              <w:br/>
              <w:t>Документы обосновывающие стоимость проезда прикладываютсся в обязательном порядке</w:t>
            </w:r>
          </w:p>
        </w:tc>
        <w:tc>
          <w:tcPr>
            <w:tcW w:w="4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2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/>
      </w:pPr>
      <w:r>
        <w:rPr/>
      </w:r>
    </w:p>
    <w:sectPr>
      <w:footerReference w:type="default" r:id="rId10"/>
      <w:footerReference w:type="first" r:id="rId11"/>
      <w:type w:val="nextPage"/>
      <w:pgSz w:orient="landscape" w:w="16838" w:h="11906"/>
      <w:pgMar w:left="1134" w:right="1134" w:gutter="0" w:header="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ook Antiqu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jc w:val="right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79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2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05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598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231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864" w:hanging="1440"/>
      </w:pPr>
      <w:rPr>
        <w:rFonts w:ascii="Times New Roman" w:hAnsi="Times New Roman" w:cs="Times New Roman"/>
      </w:rPr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97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6">
    <w:lvl w:ilvl="0">
      <w:start w:val="5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4"/>
        <w:szCs w:val="24"/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revisionView w:insDel="0" w:formatting="0"/>
  <w:trackRevisions/>
  <w:defaultTabStop w:val="708"/>
  <w:autoHyphenation w:val="true"/>
  <w:compat>
    <w:compatSetting w:name="compatibilityMode" w:uri="http://schemas.microsoft.com/office/word" w:val="12"/>
  </w:compat>
  <w:documentProtection w:edit="trackedChanges" w:enforcement="1" w:cryptAlgorithmSid="14" w:cryptSpinCount="100000" w:cryptProviderType="rsaAES" w:cryptAlgorithmClass="hash" w:cryptAlgorithmType="typeAny" w:salt="aJjSszsIGpjkvwFjW8FT4w==" w:hash="HXOy2ccx0f3HPTMu9iTF1VRoGtY2dIUVEXovY+xNytLNYDIvnDWLZqzVi7ZuiIZUKGsoqvHYNTbitLbD3m/q6A==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22fb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51580"/>
    <w:pPr>
      <w:keepNext w:val="true"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Нижний колонтитул Знак"/>
    <w:basedOn w:val="DefaultParagraphFont"/>
    <w:uiPriority w:val="99"/>
    <w:qFormat/>
    <w:rsid w:val="00d22fb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qFormat/>
    <w:rsid w:val="00d22fb7"/>
    <w:rPr/>
  </w:style>
  <w:style w:type="character" w:styleId="Style9" w:customStyle="1">
    <w:name w:val="Абзац списка Знак"/>
    <w:link w:val="ListParagraph"/>
    <w:uiPriority w:val="34"/>
    <w:qFormat/>
    <w:rsid w:val="006b746e"/>
    <w:rPr>
      <w:rFonts w:ascii="Calibri" w:hAnsi="Calibri" w:eastAsia="Times New Roman" w:cs="Times New Roman"/>
      <w:lang w:eastAsia="ru-RU"/>
    </w:rPr>
  </w:style>
  <w:style w:type="character" w:styleId="ConsPlusNormal" w:customStyle="1">
    <w:name w:val="ConsPlusNormal Знак"/>
    <w:link w:val="ConsPlusNormal1"/>
    <w:qFormat/>
    <w:rsid w:val="006b746e"/>
    <w:rPr>
      <w:rFonts w:ascii="Arial" w:hAnsi="Arial" w:eastAsia="Times New Roman" w:cs="Arial"/>
      <w:sz w:val="20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851580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Style10">
    <w:name w:val="Символ сноски"/>
    <w:qFormat/>
    <w:rPr/>
  </w:style>
  <w:style w:type="character" w:styleId="WW8Num9z0">
    <w:name w:val="WW8Num9z0"/>
    <w:qFormat/>
    <w:rPr>
      <w:b w:val="false"/>
    </w:rPr>
  </w:style>
  <w:style w:type="character" w:styleId="WW8Num9z1">
    <w:name w:val="WW8Num9z1"/>
    <w:qFormat/>
    <w:rPr>
      <w:rFonts w:ascii="Times New Roman" w:hAnsi="Times New Roman" w:cs="Times New Roman"/>
    </w:rPr>
  </w:style>
  <w:style w:type="character" w:styleId="WW8Num13z0">
    <w:name w:val="WW8Num13z0"/>
    <w:qFormat/>
    <w:rPr>
      <w:rFonts w:ascii="Times New Roman" w:hAnsi="Times New Roman" w:cs="Times New Roman"/>
      <w:color w:val="auto"/>
      <w:sz w:val="22"/>
      <w:szCs w:val="22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4z0">
    <w:name w:val="WW8Num14z0"/>
    <w:qFormat/>
    <w:rPr>
      <w:rFonts w:ascii="Times New Roman" w:hAnsi="Times New Roman" w:eastAsia="Times New Roman" w:cs="Times New Roman"/>
      <w:b w:val="false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Style11">
    <w:name w:val="Основной шрифт абзаца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ConsPlusNormal1" w:customStyle="1">
    <w:name w:val="ConsPlusNormal"/>
    <w:link w:val="ConsPlusNormal"/>
    <w:qFormat/>
    <w:rsid w:val="00d22fb7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8"/>
    <w:uiPriority w:val="99"/>
    <w:rsid w:val="00d22fb7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/>
      <w:sz w:val="28"/>
      <w:szCs w:val="28"/>
    </w:rPr>
  </w:style>
  <w:style w:type="paragraph" w:styleId="ListParagraph">
    <w:name w:val="List Paragraph"/>
    <w:basedOn w:val="Normal"/>
    <w:link w:val="Style9"/>
    <w:uiPriority w:val="34"/>
    <w:qFormat/>
    <w:rsid w:val="006b746e"/>
    <w:pPr>
      <w:spacing w:lineRule="auto" w:line="276" w:before="0" w:after="200"/>
      <w:ind w:left="720" w:hanging="0"/>
      <w:contextualSpacing/>
    </w:pPr>
    <w:rPr>
      <w:rFonts w:ascii="Calibri" w:hAnsi="Calibri" w:eastAsia="Times New Roman"/>
      <w:sz w:val="22"/>
      <w:szCs w:val="22"/>
    </w:rPr>
  </w:style>
  <w:style w:type="paragraph" w:styleId="Style15" w:customStyle="1">
    <w:name w:val="Пункт Знак"/>
    <w:basedOn w:val="Normal"/>
    <w:qFormat/>
    <w:rsid w:val="006b746e"/>
    <w:pPr>
      <w:numPr>
        <w:ilvl w:val="1"/>
        <w:numId w:val="4"/>
      </w:numPr>
      <w:tabs>
        <w:tab w:val="clear" w:pos="708"/>
        <w:tab w:val="left" w:pos="851" w:leader="none"/>
        <w:tab w:val="left" w:pos="1134" w:leader="none"/>
      </w:tabs>
      <w:spacing w:lineRule="auto" w:line="360"/>
      <w:jc w:val="both"/>
    </w:pPr>
    <w:rPr>
      <w:rFonts w:eastAsia="Times New Roman"/>
      <w:b/>
      <w:sz w:val="28"/>
      <w:szCs w:val="20"/>
    </w:rPr>
  </w:style>
  <w:style w:type="paragraph" w:styleId="Style16" w:customStyle="1">
    <w:name w:val="Подпункт"/>
    <w:basedOn w:val="Style15"/>
    <w:qFormat/>
    <w:rsid w:val="006b746e"/>
    <w:pPr>
      <w:numPr>
        <w:ilvl w:val="2"/>
      </w:numPr>
      <w:tabs>
        <w:tab w:val="clear" w:pos="1134"/>
        <w:tab w:val="left" w:pos="851" w:leader="none"/>
      </w:tabs>
    </w:pPr>
    <w:rPr/>
  </w:style>
  <w:style w:type="paragraph" w:styleId="Style17" w:customStyle="1">
    <w:name w:val="Подподпункт"/>
    <w:basedOn w:val="Style16"/>
    <w:qFormat/>
    <w:rsid w:val="006b746e"/>
    <w:pPr>
      <w:numPr>
        <w:ilvl w:val="3"/>
      </w:num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18" w:customStyle="1">
    <w:name w:val="Подподподпункт"/>
    <w:basedOn w:val="Normal"/>
    <w:qFormat/>
    <w:rsid w:val="006b746e"/>
    <w:pPr>
      <w:numPr>
        <w:ilvl w:val="4"/>
        <w:numId w:val="4"/>
      </w:numPr>
      <w:tabs>
        <w:tab w:val="clear" w:pos="708"/>
        <w:tab w:val="left" w:pos="1134" w:leader="none"/>
        <w:tab w:val="left" w:pos="1701" w:leader="none"/>
      </w:tabs>
      <w:spacing w:lineRule="auto" w:line="360"/>
      <w:jc w:val="both"/>
    </w:pPr>
    <w:rPr>
      <w:rFonts w:eastAsia="Times New Roman"/>
      <w:sz w:val="28"/>
      <w:szCs w:val="20"/>
    </w:rPr>
  </w:style>
  <w:style w:type="paragraph" w:styleId="11" w:customStyle="1">
    <w:name w:val="Пункт1"/>
    <w:basedOn w:val="Normal"/>
    <w:qFormat/>
    <w:rsid w:val="006b746e"/>
    <w:pPr>
      <w:numPr>
        <w:ilvl w:val="0"/>
        <w:numId w:val="4"/>
      </w:numPr>
      <w:spacing w:lineRule="auto" w:line="360" w:before="240" w:after="0"/>
      <w:jc w:val="center"/>
    </w:pPr>
    <w:rPr>
      <w:rFonts w:ascii="Arial" w:hAnsi="Arial" w:eastAsia="Times New Roman"/>
      <w:b/>
      <w:sz w:val="28"/>
      <w:szCs w:val="28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РГ_номер текста табл"/>
    <w:basedOn w:val="ListParagraph"/>
    <w:qFormat/>
    <w:pPr>
      <w:numPr>
        <w:ilvl w:val="0"/>
        <w:numId w:val="5"/>
      </w:numPr>
      <w:spacing w:lineRule="auto" w:line="240" w:before="0" w:after="0"/>
      <w:contextualSpacing/>
      <w:jc w:val="both"/>
    </w:pPr>
    <w:rPr>
      <w:rFonts w:ascii="Book Antiqua" w:hAnsi="Book Antiqua" w:eastAsia="Calibri" w:cs="Book Antiqua"/>
      <w:sz w:val="24"/>
      <w:szCs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WW8Num9">
    <w:name w:val="WW8Num9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1">
    <w:name w:val="WW8Num11"/>
    <w:qFormat/>
  </w:style>
  <w:style w:type="numbering" w:styleId="WW8Num14">
    <w:name w:val="WW8Num14"/>
    <w:qFormat/>
  </w:style>
  <w:style w:type="numbering" w:styleId="WW8Num15">
    <w:name w:val="WW8Num15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Application>AlterOffice/3.4.0.9$Linux_X86_64 LibreOffice_project/b8daf9e823b1a5463a2f48435ddc2e8696e7d4fc</Application>
  <AppVersion>15.0000</AppVersion>
  <Pages>14</Pages>
  <Words>2183</Words>
  <Characters>14874</Characters>
  <CharactersWithSpaces>16814</CharactersWithSpaces>
  <Paragraphs>368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2023-01-26T13:12:00Z</dcterms:created>
  <dc:creator>Авдеева Наталья Павловна</dc:creator>
  <dc:description/>
  <dc:language>ru-RU</dc:language>
  <cp:lastModifiedBy>kovalevaev@corp.gidroogk.com</cp:lastModifiedBy>
  <dcterms:modified xsi:type="dcterms:W3CDTF">2026-09-24T16:11:03Z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1</vt:bool>
  </property>
</Properties>
</file>