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_rels/document.xml.rels" ContentType="application/vnd.openxmlformats-package.relationships+xml"/>
  <Override PartName="/word/footer3.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numPr>
          <w:ilvl w:val="0"/>
          <w:numId w:val="0"/>
        </w:numPr>
        <w:ind w:hanging="0" w:left="0"/>
        <w:outlineLvl w:val="0"/>
        <w:rPr>
          <w:sz w:val="22"/>
          <w:szCs w:val="22"/>
        </w:rPr>
      </w:pPr>
      <w:r>
        <w:rPr>
          <w:sz w:val="22"/>
          <w:szCs w:val="22"/>
        </w:rPr>
        <w:t>Договор поставки № _________________</w:t>
      </w:r>
    </w:p>
    <w:p>
      <w:pPr>
        <w:pStyle w:val="Title"/>
        <w:numPr>
          <w:ilvl w:val="0"/>
          <w:numId w:val="0"/>
        </w:numPr>
        <w:ind w:firstLine="567" w:left="0"/>
        <w:outlineLvl w:val="0"/>
        <w:rPr>
          <w:sz w:val="22"/>
          <w:szCs w:val="22"/>
        </w:rPr>
      </w:pPr>
      <w:r>
        <w:rPr>
          <w:sz w:val="22"/>
          <w:szCs w:val="22"/>
        </w:rPr>
      </w:r>
    </w:p>
    <w:p>
      <w:pPr>
        <w:pStyle w:val="Normal"/>
        <w:shd w:val="clear" w:color="auto" w:fill="FFFFFF"/>
        <w:rPr>
          <w:sz w:val="22"/>
          <w:szCs w:val="22"/>
        </w:rPr>
      </w:pPr>
      <w:r>
        <w:rPr>
          <w:sz w:val="22"/>
          <w:szCs w:val="22"/>
        </w:rPr>
        <w:t>г. Волжский</w:t>
        <w:tab/>
        <w:tab/>
        <w:tab/>
        <w:tab/>
        <w:tab/>
        <w:tab/>
        <w:t xml:space="preserve">                            «____» ________________ 2026 г.</w:t>
      </w:r>
    </w:p>
    <w:p>
      <w:pPr>
        <w:pStyle w:val="Normal"/>
        <w:shd w:val="clear" w:color="auto" w:fill="FFFFFF"/>
        <w:ind w:firstLine="567"/>
        <w:jc w:val="both"/>
        <w:rPr>
          <w:sz w:val="22"/>
          <w:szCs w:val="22"/>
        </w:rPr>
      </w:pPr>
      <w:r>
        <w:rPr>
          <w:sz w:val="22"/>
          <w:szCs w:val="22"/>
        </w:rPr>
      </w:r>
    </w:p>
    <w:p>
      <w:pPr>
        <w:pStyle w:val="Normal"/>
        <w:ind w:firstLine="567"/>
        <w:jc w:val="both"/>
        <w:rPr>
          <w:sz w:val="22"/>
          <w:szCs w:val="22"/>
        </w:rPr>
      </w:pPr>
      <w:r>
        <w:rPr>
          <w:b/>
          <w:sz w:val="22"/>
          <w:szCs w:val="22"/>
        </w:rPr>
        <w:t xml:space="preserve">Акционерное общество «Гидроремонт-ВКК» (АО «Гидроремонт-ВКК»), </w:t>
      </w:r>
      <w:r>
        <w:rPr>
          <w:sz w:val="22"/>
          <w:szCs w:val="22"/>
        </w:rPr>
        <w:t>именуемое в дальнейшем «</w:t>
      </w:r>
      <w:r>
        <w:rPr>
          <w:b/>
          <w:sz w:val="22"/>
          <w:szCs w:val="22"/>
        </w:rPr>
        <w:t>Покупатель</w:t>
      </w:r>
      <w:r>
        <w:rPr>
          <w:sz w:val="22"/>
          <w:szCs w:val="22"/>
        </w:rPr>
        <w:t>», в лице ____________________________________, действующего на основании ____________________, с одной стороны, и</w:t>
      </w:r>
    </w:p>
    <w:p>
      <w:pPr>
        <w:pStyle w:val="Normal"/>
        <w:tabs>
          <w:tab w:val="clear" w:pos="720"/>
          <w:tab w:val="left" w:pos="993" w:leader="none"/>
        </w:tabs>
        <w:spacing w:before="0" w:after="0"/>
        <w:ind w:firstLine="567"/>
        <w:contextualSpacing/>
        <w:jc w:val="both"/>
        <w:rPr>
          <w:sz w:val="22"/>
          <w:szCs w:val="22"/>
        </w:rPr>
      </w:pPr>
      <w:r>
        <w:rPr>
          <w:b/>
          <w:sz w:val="22"/>
          <w:szCs w:val="22"/>
        </w:rPr>
        <w:t xml:space="preserve">__________________________, </w:t>
      </w:r>
      <w:r>
        <w:rPr>
          <w:sz w:val="22"/>
          <w:szCs w:val="22"/>
        </w:rPr>
        <w:t>именуемое в дальнейшем</w:t>
      </w:r>
      <w:r>
        <w:rPr>
          <w:b/>
          <w:sz w:val="22"/>
          <w:szCs w:val="22"/>
        </w:rPr>
        <w:t xml:space="preserve"> «Поставщик», </w:t>
      </w:r>
      <w:r>
        <w:rPr>
          <w:sz w:val="22"/>
          <w:szCs w:val="22"/>
        </w:rPr>
        <w:t xml:space="preserve">в лице __________________, действующего на основании ______________,  </w:t>
      </w:r>
    </w:p>
    <w:p>
      <w:pPr>
        <w:pStyle w:val="Normal"/>
        <w:tabs>
          <w:tab w:val="clear" w:pos="720"/>
          <w:tab w:val="left" w:pos="567" w:leader="none"/>
        </w:tabs>
        <w:ind w:firstLine="567"/>
        <w:jc w:val="both"/>
        <w:rPr>
          <w:sz w:val="22"/>
          <w:szCs w:val="22"/>
        </w:rPr>
      </w:pPr>
      <w:r>
        <w:rPr>
          <w:sz w:val="22"/>
          <w:szCs w:val="22"/>
        </w:rPr>
        <w:t xml:space="preserve">совместно в дальнейшем именуемые «Стороны», а по отдельности – «Сторона», по результатам закупки </w:t>
      </w:r>
      <w:r>
        <w:rPr>
          <w:sz w:val="22"/>
          <w:szCs w:val="22"/>
        </w:rPr>
        <w:t>способом __________________</w:t>
      </w:r>
      <w:r>
        <w:rPr>
          <w:sz w:val="22"/>
          <w:szCs w:val="22"/>
        </w:rPr>
        <w:t>, по лоту № 003</w:t>
      </w:r>
      <w:r>
        <w:rPr>
          <w:sz w:val="22"/>
          <w:szCs w:val="22"/>
        </w:rPr>
        <w:t>9</w:t>
      </w:r>
      <w:r>
        <w:rPr>
          <w:sz w:val="22"/>
          <w:szCs w:val="22"/>
        </w:rPr>
        <w:t xml:space="preserve">-ТПиР БЕЗОП ДОХ-2026-ГРВКК-ВолФ, на основании </w:t>
      </w:r>
      <w:r>
        <w:rPr>
          <w:sz w:val="22"/>
          <w:szCs w:val="22"/>
        </w:rPr>
        <w:t>___________________</w:t>
      </w:r>
      <w:r>
        <w:rPr>
          <w:sz w:val="22"/>
          <w:szCs w:val="22"/>
        </w:rPr>
        <w:t>, заключили настоящий договор (далее – «Договор») о нижеследующем:</w:t>
      </w:r>
    </w:p>
    <w:p>
      <w:pPr>
        <w:pStyle w:val="Normal"/>
        <w:ind w:firstLine="567"/>
        <w:jc w:val="both"/>
        <w:rPr>
          <w:sz w:val="22"/>
          <w:szCs w:val="22"/>
        </w:rPr>
      </w:pPr>
      <w:r>
        <w:rPr>
          <w:sz w:val="22"/>
          <w:szCs w:val="22"/>
        </w:rPr>
      </w:r>
    </w:p>
    <w:p>
      <w:pPr>
        <w:pStyle w:val="Normal"/>
        <w:widowControl w:val="false"/>
        <w:numPr>
          <w:ilvl w:val="0"/>
          <w:numId w:val="6"/>
        </w:numPr>
        <w:shd w:val="clear" w:color="auto" w:fill="FFFFFF"/>
        <w:tabs>
          <w:tab w:val="clear" w:pos="720"/>
          <w:tab w:val="left" w:pos="426" w:leader="none"/>
        </w:tabs>
        <w:ind w:hanging="0" w:left="0"/>
        <w:jc w:val="center"/>
        <w:rPr>
          <w:b/>
          <w:bCs/>
          <w:sz w:val="22"/>
          <w:szCs w:val="22"/>
        </w:rPr>
      </w:pPr>
      <w:r>
        <w:rPr>
          <w:b/>
          <w:bCs/>
          <w:sz w:val="22"/>
          <w:szCs w:val="22"/>
        </w:rPr>
        <w:t>Предмет Договора</w:t>
      </w:r>
    </w:p>
    <w:p>
      <w:pPr>
        <w:pStyle w:val="Normal"/>
        <w:widowControl w:val="false"/>
        <w:shd w:val="clear" w:color="auto" w:fill="FFFFFF"/>
        <w:ind w:hanging="0" w:left="567"/>
        <w:rPr>
          <w:b/>
          <w:bCs/>
          <w:sz w:val="22"/>
          <w:szCs w:val="22"/>
        </w:rPr>
      </w:pPr>
      <w:r>
        <w:rPr>
          <w:b/>
          <w:bCs/>
          <w:sz w:val="22"/>
          <w:szCs w:val="22"/>
        </w:rPr>
      </w:r>
    </w:p>
    <w:p>
      <w:pPr>
        <w:pStyle w:val="Title"/>
        <w:numPr>
          <w:ilvl w:val="1"/>
          <w:numId w:val="6"/>
        </w:numPr>
        <w:tabs>
          <w:tab w:val="clear" w:pos="720"/>
          <w:tab w:val="left" w:pos="993" w:leader="none"/>
        </w:tabs>
        <w:spacing w:before="0" w:after="0"/>
        <w:ind w:firstLine="567" w:left="0"/>
        <w:contextualSpacing/>
        <w:jc w:val="both"/>
        <w:rPr>
          <w:b w:val="false"/>
          <w:sz w:val="22"/>
          <w:szCs w:val="22"/>
        </w:rPr>
      </w:pPr>
      <w:r>
        <w:rPr>
          <w:b w:val="false"/>
          <w:sz w:val="22"/>
          <w:szCs w:val="22"/>
        </w:rPr>
        <w:t xml:space="preserve">Поставщик обязуется передать Покупателю </w:t>
      </w:r>
      <w:r>
        <w:rPr>
          <w:b/>
          <w:bCs/>
          <w:sz w:val="22"/>
          <w:szCs w:val="22"/>
        </w:rPr>
        <w:t>канат оцинкованный</w:t>
      </w:r>
      <w:r>
        <w:rPr>
          <w:sz w:val="22"/>
          <w:szCs w:val="22"/>
        </w:rPr>
        <w:t xml:space="preserve"> </w:t>
      </w:r>
      <w:r>
        <w:rPr>
          <w:b w:val="false"/>
          <w:sz w:val="22"/>
          <w:szCs w:val="22"/>
        </w:rPr>
        <w:t>(далее – «Продукция») на условиях, согласованных Сторонами в Договоре, в соответствии со Спецификацией № 1 (</w:t>
      </w:r>
      <w:r>
        <w:rPr>
          <w:sz w:val="22"/>
          <w:szCs w:val="22"/>
        </w:rPr>
        <w:t>Приложение № 1</w:t>
      </w:r>
      <w:r>
        <w:rPr>
          <w:b w:val="false"/>
          <w:sz w:val="22"/>
          <w:szCs w:val="22"/>
        </w:rPr>
        <w:t>), и техническими требованиями (</w:t>
      </w:r>
      <w:r>
        <w:rPr>
          <w:sz w:val="22"/>
          <w:szCs w:val="22"/>
        </w:rPr>
        <w:t>Приложение №2</w:t>
      </w:r>
      <w:r>
        <w:rPr>
          <w:b w:val="false"/>
          <w:sz w:val="22"/>
          <w:szCs w:val="22"/>
        </w:rPr>
        <w:t>), а Покупатель обязуется принять и оплатить Продукцию в установленном Договором порядке.</w:t>
      </w:r>
    </w:p>
    <w:p>
      <w:pPr>
        <w:pStyle w:val="ListParagraph"/>
        <w:numPr>
          <w:ilvl w:val="1"/>
          <w:numId w:val="6"/>
        </w:numPr>
        <w:shd w:val="clear" w:color="auto" w:fill="FFFFFF"/>
        <w:tabs>
          <w:tab w:val="clear" w:pos="720"/>
          <w:tab w:val="left" w:pos="540" w:leader="none"/>
          <w:tab w:val="left" w:pos="851" w:leader="none"/>
          <w:tab w:val="left" w:pos="993" w:leader="none"/>
        </w:tabs>
        <w:suppressAutoHyphens w:val="false"/>
        <w:spacing w:before="0" w:after="0"/>
        <w:ind w:firstLine="567" w:left="0"/>
        <w:contextualSpacing w:val="false"/>
        <w:jc w:val="both"/>
        <w:rPr>
          <w:shd w:fill="FFFFFF" w:val="clear"/>
        </w:rPr>
      </w:pPr>
      <w:r>
        <w:rPr>
          <w:sz w:val="22"/>
          <w:szCs w:val="22"/>
          <w:shd w:fill="FFFFFF" w:val="clear"/>
        </w:rPr>
        <w:t>Поставка осуществляется одной партией.</w:t>
      </w:r>
    </w:p>
    <w:p>
      <w:pPr>
        <w:pStyle w:val="ListParagraph"/>
        <w:numPr>
          <w:ilvl w:val="1"/>
          <w:numId w:val="6"/>
        </w:numPr>
        <w:shd w:val="clear" w:color="auto" w:fill="FFFFFF"/>
        <w:tabs>
          <w:tab w:val="clear" w:pos="720"/>
          <w:tab w:val="left" w:pos="142" w:leader="none"/>
          <w:tab w:val="left" w:pos="540" w:leader="none"/>
          <w:tab w:val="left" w:pos="993" w:leader="none"/>
        </w:tabs>
        <w:ind w:firstLine="567" w:left="0"/>
        <w:jc w:val="both"/>
        <w:rPr>
          <w:sz w:val="22"/>
          <w:szCs w:val="22"/>
        </w:rPr>
      </w:pPr>
      <w:r>
        <w:rPr>
          <w:sz w:val="22"/>
          <w:szCs w:val="22"/>
        </w:rPr>
        <w:t>Поставка по Договору выполняется для нужд Волжского филиала АО «Гидроремонт-ВКК» в г. Волжский.</w:t>
      </w:r>
    </w:p>
    <w:p>
      <w:pPr>
        <w:pStyle w:val="ListParagraph"/>
        <w:numPr>
          <w:ilvl w:val="1"/>
          <w:numId w:val="6"/>
        </w:numPr>
        <w:shd w:val="clear" w:color="auto" w:fill="FFFFFF"/>
        <w:tabs>
          <w:tab w:val="clear" w:pos="720"/>
          <w:tab w:val="left" w:pos="142" w:leader="none"/>
          <w:tab w:val="left" w:pos="540" w:leader="none"/>
          <w:tab w:val="left" w:pos="993" w:leader="none"/>
        </w:tabs>
        <w:ind w:firstLine="567" w:left="0"/>
        <w:jc w:val="both"/>
        <w:rPr>
          <w:sz w:val="22"/>
          <w:szCs w:val="22"/>
        </w:rPr>
      </w:pPr>
      <w:r>
        <w:rPr>
          <w:sz w:val="22"/>
          <w:szCs w:val="22"/>
        </w:rPr>
        <w:t>Место поставки: 404130, Волгоградская обл., г.Волжский, пр-т Ленина 1А территория филиала ПАО «РусГидро» - Волжская ГЭС» (далее – «Место поставки»).</w:t>
      </w:r>
    </w:p>
    <w:p>
      <w:pPr>
        <w:pStyle w:val="ListParagraph"/>
        <w:numPr>
          <w:ilvl w:val="1"/>
          <w:numId w:val="6"/>
        </w:numPr>
        <w:shd w:val="clear" w:color="auto" w:fill="FFFFFF"/>
        <w:tabs>
          <w:tab w:val="clear" w:pos="720"/>
          <w:tab w:val="left" w:pos="142" w:leader="none"/>
          <w:tab w:val="left" w:pos="540" w:leader="none"/>
          <w:tab w:val="left" w:pos="993" w:leader="none"/>
        </w:tabs>
        <w:ind w:firstLine="567" w:left="0"/>
        <w:jc w:val="both"/>
        <w:rPr>
          <w:sz w:val="22"/>
          <w:szCs w:val="22"/>
        </w:rPr>
      </w:pPr>
      <w:r>
        <w:rPr>
          <w:sz w:val="22"/>
          <w:szCs w:val="22"/>
        </w:rPr>
        <w:t>Срок поставки Продукции по Договору: в течение 10 календарных дней, с даты заключения договора.</w:t>
      </w:r>
    </w:p>
    <w:p>
      <w:pPr>
        <w:pStyle w:val="ListParagraph"/>
        <w:shd w:val="clear" w:color="auto" w:fill="FFFFFF"/>
        <w:tabs>
          <w:tab w:val="clear" w:pos="720"/>
          <w:tab w:val="left" w:pos="540" w:leader="none"/>
          <w:tab w:val="left" w:pos="1425" w:leader="none"/>
        </w:tabs>
        <w:spacing w:before="0" w:after="0"/>
        <w:ind w:firstLine="567" w:left="0"/>
        <w:contextualSpacing w:val="false"/>
        <w:jc w:val="both"/>
        <w:rPr>
          <w:sz w:val="22"/>
          <w:szCs w:val="22"/>
        </w:rPr>
      </w:pPr>
      <w:r>
        <w:rPr>
          <w:sz w:val="22"/>
          <w:szCs w:val="22"/>
        </w:rPr>
      </w:r>
      <w:bookmarkStart w:id="0" w:name="_GoBack"/>
      <w:bookmarkStart w:id="1" w:name="_GoBack"/>
      <w:bookmarkEnd w:id="1"/>
    </w:p>
    <w:p>
      <w:pPr>
        <w:pStyle w:val="Normal"/>
        <w:widowControl w:val="false"/>
        <w:numPr>
          <w:ilvl w:val="0"/>
          <w:numId w:val="6"/>
        </w:numPr>
        <w:shd w:val="clear" w:color="auto" w:fill="FFFFFF"/>
        <w:tabs>
          <w:tab w:val="clear" w:pos="720"/>
          <w:tab w:val="left" w:pos="426" w:leader="none"/>
        </w:tabs>
        <w:ind w:hanging="0" w:left="0"/>
        <w:jc w:val="center"/>
        <w:rPr>
          <w:b/>
          <w:sz w:val="22"/>
          <w:szCs w:val="22"/>
        </w:rPr>
      </w:pPr>
      <w:r>
        <w:rPr>
          <w:b/>
          <w:sz w:val="22"/>
          <w:szCs w:val="22"/>
        </w:rPr>
        <w:t>Цена Договора и порядок оплаты</w:t>
      </w:r>
    </w:p>
    <w:p>
      <w:pPr>
        <w:pStyle w:val="Normal"/>
        <w:widowControl w:val="false"/>
        <w:shd w:val="clear" w:color="auto" w:fill="FFFFFF"/>
        <w:rPr>
          <w:b/>
          <w:sz w:val="22"/>
          <w:szCs w:val="22"/>
        </w:rPr>
      </w:pPr>
      <w:r>
        <w:rPr>
          <w:b/>
          <w:sz w:val="22"/>
          <w:szCs w:val="22"/>
        </w:rPr>
      </w:r>
    </w:p>
    <w:p>
      <w:pPr>
        <w:pStyle w:val="ListParagraph"/>
        <w:numPr>
          <w:ilvl w:val="1"/>
          <w:numId w:val="6"/>
        </w:numPr>
        <w:shd w:val="clear" w:color="auto" w:fill="FFFFFF"/>
        <w:tabs>
          <w:tab w:val="clear" w:pos="720"/>
          <w:tab w:val="left" w:pos="851" w:leader="none"/>
          <w:tab w:val="left" w:pos="993" w:leader="none"/>
        </w:tabs>
        <w:spacing w:before="0" w:after="0"/>
        <w:ind w:firstLine="567" w:left="0"/>
        <w:contextualSpacing w:val="false"/>
        <w:jc w:val="both"/>
        <w:rPr>
          <w:sz w:val="22"/>
          <w:szCs w:val="22"/>
        </w:rPr>
      </w:pPr>
      <w:r>
        <w:rPr>
          <w:sz w:val="22"/>
          <w:szCs w:val="22"/>
        </w:rPr>
        <w:t xml:space="preserve">Общая стоимость Продукции (далее – «Цена Договора») составляет </w:t>
      </w:r>
      <w:r>
        <w:rPr>
          <w:b/>
          <w:bCs/>
          <w:sz w:val="22"/>
          <w:szCs w:val="22"/>
        </w:rPr>
        <w:t xml:space="preserve">_________ (__________) рублей ___ копеек без НДС, </w:t>
      </w:r>
      <w:r>
        <w:rPr>
          <w:b w:val="false"/>
          <w:bCs w:val="false"/>
          <w:sz w:val="22"/>
          <w:szCs w:val="22"/>
        </w:rPr>
        <w:t>при этом НДС исчисляется дополнительно по ставке, установленной ст. 164 Налогового кодекса РФ.</w:t>
      </w:r>
    </w:p>
    <w:p>
      <w:pPr>
        <w:pStyle w:val="ListParagraph"/>
        <w:numPr>
          <w:ilvl w:val="1"/>
          <w:numId w:val="6"/>
        </w:numPr>
        <w:tabs>
          <w:tab w:val="clear" w:pos="720"/>
          <w:tab w:val="left" w:pos="0" w:leader="none"/>
          <w:tab w:val="left" w:pos="851" w:leader="none"/>
          <w:tab w:val="left" w:pos="993" w:leader="none"/>
        </w:tabs>
        <w:spacing w:before="0" w:after="0"/>
        <w:ind w:firstLine="567" w:left="0"/>
        <w:contextualSpacing w:val="false"/>
        <w:jc w:val="both"/>
        <w:rPr>
          <w:sz w:val="22"/>
          <w:szCs w:val="22"/>
        </w:rPr>
      </w:pPr>
      <w:r>
        <w:rPr>
          <w:sz w:val="22"/>
          <w:szCs w:val="22"/>
        </w:rPr>
        <w:t xml:space="preserve">Цена Договора включает в себя </w:t>
      </w:r>
      <w:r>
        <w:rPr>
          <w:bCs/>
          <w:sz w:val="22"/>
          <w:szCs w:val="22"/>
        </w:rPr>
        <w:t xml:space="preserve">прибыль Поставщика, а также расходы Поставщика на производство или приобретение, транспортировку Продукции до Места поставки, погрузку,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Pr>
          <w:sz w:val="22"/>
          <w:szCs w:val="22"/>
        </w:rPr>
        <w:t xml:space="preserve">подлежащие уплате налоги, сборы и пошлины (в т.ч. по таможенному оформлению, если применимо), </w:t>
      </w:r>
      <w:r>
        <w:rPr>
          <w:bCs/>
          <w:sz w:val="22"/>
          <w:szCs w:val="22"/>
        </w:rPr>
        <w:t xml:space="preserve">а также </w:t>
      </w:r>
      <w:r>
        <w:rPr>
          <w:sz w:val="22"/>
          <w:szCs w:val="22"/>
        </w:rPr>
        <w:t xml:space="preserve">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 </w:t>
      </w:r>
    </w:p>
    <w:p>
      <w:pPr>
        <w:pStyle w:val="ListParagraph"/>
        <w:numPr>
          <w:ilvl w:val="1"/>
          <w:numId w:val="6"/>
        </w:numPr>
        <w:shd w:val="clear" w:color="auto" w:fill="FFFFFF"/>
        <w:tabs>
          <w:tab w:val="clear" w:pos="720"/>
          <w:tab w:val="left" w:pos="0" w:leader="none"/>
          <w:tab w:val="left" w:pos="851" w:leader="none"/>
          <w:tab w:val="left" w:pos="993" w:leader="none"/>
        </w:tabs>
        <w:spacing w:before="0" w:after="0"/>
        <w:ind w:firstLine="567" w:left="0"/>
        <w:contextualSpacing w:val="false"/>
        <w:jc w:val="both"/>
        <w:rPr>
          <w:sz w:val="22"/>
          <w:szCs w:val="22"/>
        </w:rPr>
      </w:pPr>
      <w:r>
        <w:rPr>
          <w:sz w:val="22"/>
          <w:szCs w:val="22"/>
        </w:rPr>
        <w:t>Цена единицы Продукции определена в Спецификации, является фиксированной и не подлежит изменению в одностороннем порядке.</w:t>
      </w:r>
    </w:p>
    <w:p>
      <w:pPr>
        <w:pStyle w:val="ListParagraph"/>
        <w:numPr>
          <w:ilvl w:val="1"/>
          <w:numId w:val="6"/>
        </w:numPr>
        <w:shd w:val="clear" w:color="auto" w:fill="FFFFFF"/>
        <w:tabs>
          <w:tab w:val="clear" w:pos="720"/>
          <w:tab w:val="left" w:pos="0" w:leader="none"/>
          <w:tab w:val="left" w:pos="851" w:leader="none"/>
          <w:tab w:val="left" w:pos="993" w:leader="none"/>
        </w:tabs>
        <w:spacing w:before="0" w:after="0"/>
        <w:ind w:firstLine="567" w:left="0"/>
        <w:contextualSpacing w:val="false"/>
        <w:jc w:val="both"/>
        <w:rPr>
          <w:sz w:val="22"/>
          <w:szCs w:val="22"/>
        </w:rPr>
      </w:pPr>
      <w:r>
        <w:rPr>
          <w:sz w:val="22"/>
          <w:szCs w:val="22"/>
        </w:rPr>
        <w:t>Стоимость единицы Продукции определяется в Спецификации (Приложение № 1).</w:t>
      </w:r>
    </w:p>
    <w:p>
      <w:pPr>
        <w:pStyle w:val="ListParagraph"/>
        <w:numPr>
          <w:ilvl w:val="1"/>
          <w:numId w:val="6"/>
        </w:numPr>
        <w:shd w:val="clear" w:color="auto" w:fill="FFFFFF"/>
        <w:tabs>
          <w:tab w:val="clear" w:pos="720"/>
          <w:tab w:val="left" w:pos="0" w:leader="none"/>
          <w:tab w:val="left" w:pos="851" w:leader="none"/>
          <w:tab w:val="left" w:pos="993" w:leader="none"/>
        </w:tabs>
        <w:spacing w:before="0" w:after="0"/>
        <w:ind w:firstLine="567" w:left="0"/>
        <w:contextualSpacing w:val="false"/>
        <w:jc w:val="both"/>
        <w:rPr>
          <w:sz w:val="22"/>
          <w:szCs w:val="22"/>
        </w:rPr>
      </w:pPr>
      <w:r>
        <w:rPr>
          <w:sz w:val="22"/>
          <w:szCs w:val="22"/>
        </w:rPr>
        <w:t>Оплата в соответствии с Договором осуществляется следующим образом:</w:t>
      </w:r>
    </w:p>
    <w:p>
      <w:pPr>
        <w:pStyle w:val="ListParagraph"/>
        <w:shd w:val="clear" w:color="auto" w:fill="FFFFFF"/>
        <w:tabs>
          <w:tab w:val="clear" w:pos="720"/>
          <w:tab w:val="left" w:pos="567" w:leader="none"/>
          <w:tab w:val="left" w:pos="1440" w:leader="none"/>
        </w:tabs>
        <w:ind w:firstLine="567" w:left="0"/>
        <w:jc w:val="both"/>
        <w:rPr>
          <w:sz w:val="22"/>
          <w:szCs w:val="22"/>
        </w:rPr>
      </w:pPr>
      <w:r>
        <w:rPr>
          <w:sz w:val="22"/>
          <w:szCs w:val="22"/>
        </w:rPr>
        <w:t>2.5.1. Платеж в размере 100% (сто процентов) стоимости поставленной Продукции производится Покупателем в течение 7 (семь) рабочих дней с даты подписания Товарной накладной по форме ТОРГ-12 или Универсального передаточного документа (УПД) на соответствующую Продукцию, при условии получения счета, выставленного Поставщиком с учетом п. 2.6. Договора.</w:t>
      </w:r>
    </w:p>
    <w:p>
      <w:pPr>
        <w:pStyle w:val="ListParagraph"/>
        <w:shd w:val="clear" w:color="auto" w:fill="FFFFFF"/>
        <w:tabs>
          <w:tab w:val="clear" w:pos="720"/>
          <w:tab w:val="left" w:pos="567" w:leader="none"/>
          <w:tab w:val="left" w:pos="1440" w:leader="none"/>
        </w:tabs>
        <w:ind w:firstLine="567" w:left="0"/>
        <w:jc w:val="both"/>
        <w:rPr>
          <w:sz w:val="22"/>
          <w:szCs w:val="22"/>
        </w:rPr>
      </w:pPr>
      <w:r>
        <w:rPr>
          <w:sz w:val="22"/>
          <w:szCs w:val="22"/>
        </w:rPr>
        <w:t>2.5.2. 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поставленной Поставщиком Продукции.</w:t>
      </w:r>
    </w:p>
    <w:p>
      <w:pPr>
        <w:pStyle w:val="ListParagraph"/>
        <w:numPr>
          <w:ilvl w:val="1"/>
          <w:numId w:val="12"/>
        </w:numPr>
        <w:shd w:val="clear" w:color="auto" w:fill="FFFFFF"/>
        <w:tabs>
          <w:tab w:val="clear" w:pos="720"/>
          <w:tab w:val="left" w:pos="480" w:leader="none"/>
          <w:tab w:val="left" w:pos="851" w:leader="none"/>
          <w:tab w:val="left" w:pos="993" w:leader="none"/>
        </w:tabs>
        <w:spacing w:before="0" w:after="0"/>
        <w:ind w:firstLine="567" w:left="0"/>
        <w:contextualSpacing w:val="false"/>
        <w:jc w:val="both"/>
        <w:rPr>
          <w:sz w:val="22"/>
          <w:szCs w:val="22"/>
        </w:rPr>
      </w:pPr>
      <w:r>
        <w:rPr>
          <w:sz w:val="22"/>
          <w:szCs w:val="22"/>
        </w:rPr>
        <w:t>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10 (Десять) календарных дней до истечения определенного в Договоре срока на оплату, оплата по счету Поставщика осуществляется в течение 10 (Десяти) календарных дней с даты его получения Покупателем.</w:t>
      </w:r>
    </w:p>
    <w:p>
      <w:pPr>
        <w:pStyle w:val="Normal"/>
        <w:widowControl w:val="false"/>
        <w:numPr>
          <w:ilvl w:val="1"/>
          <w:numId w:val="14"/>
        </w:numPr>
        <w:shd w:val="clear" w:color="auto" w:fill="FFFFFF"/>
        <w:tabs>
          <w:tab w:val="clear" w:pos="720"/>
          <w:tab w:val="left" w:pos="1134" w:leader="none"/>
        </w:tabs>
        <w:spacing w:before="0" w:after="0"/>
        <w:ind w:firstLine="567" w:left="0"/>
        <w:contextualSpacing/>
        <w:jc w:val="both"/>
        <w:rPr>
          <w:sz w:val="22"/>
          <w:szCs w:val="22"/>
        </w:rPr>
      </w:pPr>
      <w:r>
        <w:rPr>
          <w:sz w:val="22"/>
          <w:szCs w:val="22"/>
        </w:rPr>
        <w:t>Оплата производится в валюте Российской Федерации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pPr>
        <w:pStyle w:val="Normal"/>
        <w:widowControl w:val="false"/>
        <w:numPr>
          <w:ilvl w:val="1"/>
          <w:numId w:val="14"/>
        </w:numPr>
        <w:shd w:val="clear" w:color="auto" w:fill="FFFFFF"/>
        <w:tabs>
          <w:tab w:val="clear" w:pos="720"/>
          <w:tab w:val="left" w:pos="1134" w:leader="none"/>
          <w:tab w:val="left" w:pos="1425" w:leader="none"/>
        </w:tabs>
        <w:spacing w:before="0" w:after="0"/>
        <w:ind w:firstLine="567" w:left="0"/>
        <w:contextualSpacing/>
        <w:jc w:val="both"/>
        <w:rPr>
          <w:sz w:val="22"/>
          <w:szCs w:val="22"/>
        </w:rPr>
      </w:pPr>
      <w:r>
        <w:rPr>
          <w:sz w:val="22"/>
          <w:szCs w:val="22"/>
        </w:rPr>
        <w:t>По соглашению Сторон возможны иные формы расчетов, не противоречащие законодательству Российской Федерации.</w:t>
      </w:r>
    </w:p>
    <w:p>
      <w:pPr>
        <w:pStyle w:val="Normal"/>
        <w:widowControl w:val="false"/>
        <w:numPr>
          <w:ilvl w:val="1"/>
          <w:numId w:val="14"/>
        </w:numPr>
        <w:shd w:val="clear" w:color="auto" w:fill="FFFFFF"/>
        <w:tabs>
          <w:tab w:val="clear" w:pos="720"/>
          <w:tab w:val="left" w:pos="1134" w:leader="none"/>
          <w:tab w:val="left" w:pos="1425" w:leader="none"/>
        </w:tabs>
        <w:spacing w:before="0" w:after="0"/>
        <w:ind w:firstLine="567" w:left="0"/>
        <w:contextualSpacing/>
        <w:jc w:val="both"/>
        <w:rPr>
          <w:sz w:val="22"/>
          <w:szCs w:val="22"/>
        </w:rPr>
      </w:pPr>
      <w:r>
        <w:rPr>
          <w:sz w:val="22"/>
          <w:szCs w:val="22"/>
        </w:rPr>
        <w:t>Поставщик обязан представить Покупателю счета-фактуры/УПД, выставленные в сроки и оформленные в порядке, установленном законодательством Российской Федерации. В случае нарушения Поставщиком требований к оформлению счетов-фактур/УПД, он обязан произвести замену счета-фактуры/УПД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дней с даты получения авансового платежа счета-фактуры/УПД,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pPr>
        <w:pStyle w:val="ListParagraph"/>
        <w:numPr>
          <w:ilvl w:val="1"/>
          <w:numId w:val="14"/>
        </w:numPr>
        <w:tabs>
          <w:tab w:val="clear" w:pos="720"/>
          <w:tab w:val="left" w:pos="851" w:leader="none"/>
          <w:tab w:val="left" w:pos="1134" w:leader="none"/>
        </w:tabs>
        <w:ind w:firstLine="567" w:left="0"/>
        <w:jc w:val="both"/>
        <w:rPr>
          <w:sz w:val="22"/>
          <w:szCs w:val="22"/>
        </w:rPr>
      </w:pPr>
      <w:r>
        <w:rPr>
          <w:sz w:val="22"/>
          <w:szCs w:val="22"/>
        </w:rPr>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pPr>
        <w:pStyle w:val="ListParagraph"/>
        <w:numPr>
          <w:ilvl w:val="1"/>
          <w:numId w:val="14"/>
        </w:numPr>
        <w:tabs>
          <w:tab w:val="clear" w:pos="720"/>
          <w:tab w:val="left" w:pos="851" w:leader="none"/>
          <w:tab w:val="left" w:pos="1134" w:leader="none"/>
        </w:tabs>
        <w:ind w:firstLine="567" w:left="0"/>
        <w:jc w:val="both"/>
        <w:rPr>
          <w:sz w:val="22"/>
          <w:szCs w:val="22"/>
        </w:rPr>
      </w:pPr>
      <w:r>
        <w:rPr>
          <w:sz w:val="22"/>
          <w:szCs w:val="22"/>
        </w:rPr>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pPr>
        <w:pStyle w:val="Normal"/>
        <w:tabs>
          <w:tab w:val="clear" w:pos="720"/>
          <w:tab w:val="left" w:pos="0" w:leader="none"/>
          <w:tab w:val="left" w:pos="851" w:leader="none"/>
          <w:tab w:val="left" w:pos="1134" w:leader="none"/>
        </w:tabs>
        <w:spacing w:before="0" w:after="0"/>
        <w:ind w:firstLine="567"/>
        <w:contextualSpacing/>
        <w:jc w:val="both"/>
        <w:rPr>
          <w:sz w:val="22"/>
          <w:szCs w:val="22"/>
        </w:rPr>
      </w:pPr>
      <w:r>
        <w:rPr>
          <w:sz w:val="22"/>
          <w:szCs w:val="22"/>
        </w:rPr>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pPr>
        <w:pStyle w:val="Normal"/>
        <w:numPr>
          <w:ilvl w:val="0"/>
          <w:numId w:val="7"/>
        </w:numPr>
        <w:tabs>
          <w:tab w:val="clear" w:pos="720"/>
          <w:tab w:val="left" w:pos="0" w:leader="none"/>
          <w:tab w:val="left" w:pos="851" w:leader="none"/>
          <w:tab w:val="left" w:pos="993" w:leader="none"/>
          <w:tab w:val="left" w:pos="1134" w:leader="none"/>
        </w:tabs>
        <w:spacing w:before="0" w:after="0"/>
        <w:ind w:firstLine="567" w:left="0"/>
        <w:contextualSpacing/>
        <w:jc w:val="both"/>
        <w:rPr>
          <w:sz w:val="22"/>
          <w:szCs w:val="22"/>
        </w:rPr>
      </w:pPr>
      <w:r>
        <w:rPr>
          <w:sz w:val="22"/>
          <w:szCs w:val="22"/>
        </w:rPr>
        <w:t>срок задержки составляет единовременно 31 (Тридцать один) день или в совокупности 91 (Девяносто один) день и более;</w:t>
      </w:r>
    </w:p>
    <w:p>
      <w:pPr>
        <w:pStyle w:val="Normal"/>
        <w:numPr>
          <w:ilvl w:val="0"/>
          <w:numId w:val="7"/>
        </w:numPr>
        <w:tabs>
          <w:tab w:val="clear" w:pos="720"/>
          <w:tab w:val="left" w:pos="0" w:leader="none"/>
          <w:tab w:val="left" w:pos="851" w:leader="none"/>
          <w:tab w:val="left" w:pos="993" w:leader="none"/>
          <w:tab w:val="left" w:pos="1134" w:leader="none"/>
        </w:tabs>
        <w:spacing w:before="0" w:after="0"/>
        <w:ind w:firstLine="567" w:left="0"/>
        <w:contextualSpacing/>
        <w:jc w:val="both"/>
        <w:rPr>
          <w:sz w:val="22"/>
          <w:szCs w:val="22"/>
        </w:rPr>
      </w:pPr>
      <w:r>
        <w:rPr>
          <w:sz w:val="22"/>
          <w:szCs w:val="22"/>
        </w:rPr>
        <w:t>такие задержки происходят по вине Покупателя;</w:t>
      </w:r>
    </w:p>
    <w:p>
      <w:pPr>
        <w:pStyle w:val="Normal"/>
        <w:numPr>
          <w:ilvl w:val="0"/>
          <w:numId w:val="7"/>
        </w:numPr>
        <w:tabs>
          <w:tab w:val="clear" w:pos="720"/>
          <w:tab w:val="left" w:pos="0" w:leader="none"/>
          <w:tab w:val="left" w:pos="851" w:leader="none"/>
          <w:tab w:val="left" w:pos="993" w:leader="none"/>
          <w:tab w:val="left" w:pos="1134" w:leader="none"/>
        </w:tabs>
        <w:spacing w:before="0" w:after="0"/>
        <w:ind w:firstLine="567" w:left="0"/>
        <w:contextualSpacing/>
        <w:jc w:val="both"/>
        <w:rPr>
          <w:sz w:val="22"/>
          <w:szCs w:val="22"/>
        </w:rPr>
      </w:pPr>
      <w:r>
        <w:rPr>
          <w:sz w:val="22"/>
          <w:szCs w:val="22"/>
        </w:rPr>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pPr>
        <w:pStyle w:val="Normal"/>
        <w:numPr>
          <w:ilvl w:val="0"/>
          <w:numId w:val="7"/>
        </w:numPr>
        <w:tabs>
          <w:tab w:val="clear" w:pos="720"/>
          <w:tab w:val="left" w:pos="0" w:leader="none"/>
          <w:tab w:val="left" w:pos="851" w:leader="none"/>
          <w:tab w:val="left" w:pos="993" w:leader="none"/>
          <w:tab w:val="left" w:pos="1134" w:leader="none"/>
        </w:tabs>
        <w:spacing w:before="0" w:after="0"/>
        <w:ind w:firstLine="567" w:left="0"/>
        <w:contextualSpacing/>
        <w:jc w:val="both"/>
        <w:rPr>
          <w:sz w:val="22"/>
          <w:szCs w:val="22"/>
        </w:rPr>
      </w:pPr>
      <w:r>
        <w:rPr>
          <w:sz w:val="22"/>
          <w:szCs w:val="22"/>
        </w:rPr>
        <w:t>исполнение Поставщиком своего обязательства обусловлено исполнением обязательств Покупателем согласно Договору (встречное обязательство);</w:t>
      </w:r>
    </w:p>
    <w:p>
      <w:pPr>
        <w:pStyle w:val="Normal"/>
        <w:numPr>
          <w:ilvl w:val="0"/>
          <w:numId w:val="7"/>
        </w:numPr>
        <w:tabs>
          <w:tab w:val="clear" w:pos="720"/>
          <w:tab w:val="left" w:pos="0" w:leader="none"/>
          <w:tab w:val="left" w:pos="851" w:leader="none"/>
          <w:tab w:val="left" w:pos="993" w:leader="none"/>
          <w:tab w:val="left" w:pos="1134" w:leader="none"/>
        </w:tabs>
        <w:spacing w:before="0" w:after="0"/>
        <w:ind w:firstLine="567" w:left="0"/>
        <w:contextualSpacing/>
        <w:jc w:val="both"/>
        <w:rPr>
          <w:sz w:val="22"/>
          <w:szCs w:val="22"/>
        </w:rPr>
      </w:pPr>
      <w:r>
        <w:rPr>
          <w:sz w:val="22"/>
          <w:szCs w:val="22"/>
        </w:rPr>
        <w:t>обязательство Покупателя, по которому произошла задержка, не является денежным.</w:t>
      </w:r>
    </w:p>
    <w:p>
      <w:pPr>
        <w:pStyle w:val="ListParagraph"/>
        <w:numPr>
          <w:ilvl w:val="1"/>
          <w:numId w:val="14"/>
        </w:numPr>
        <w:tabs>
          <w:tab w:val="clear" w:pos="720"/>
          <w:tab w:val="left" w:pos="851" w:leader="none"/>
          <w:tab w:val="left" w:pos="993" w:leader="none"/>
          <w:tab w:val="left" w:pos="1134" w:leader="none"/>
        </w:tabs>
        <w:ind w:firstLine="567" w:left="0"/>
        <w:jc w:val="both"/>
        <w:rPr>
          <w:sz w:val="22"/>
          <w:szCs w:val="22"/>
        </w:rPr>
      </w:pPr>
      <w:r>
        <w:rPr>
          <w:sz w:val="22"/>
          <w:szCs w:val="22"/>
        </w:rPr>
        <w:t>Изменение стоимости Продукции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14"/>
        </w:numPr>
        <w:tabs>
          <w:tab w:val="clear" w:pos="720"/>
          <w:tab w:val="left" w:pos="851" w:leader="none"/>
          <w:tab w:val="left" w:pos="1134" w:leader="none"/>
        </w:tabs>
        <w:ind w:firstLine="567" w:left="0"/>
        <w:jc w:val="both"/>
        <w:rPr>
          <w:sz w:val="22"/>
          <w:szCs w:val="22"/>
        </w:rPr>
      </w:pPr>
      <w:r>
        <w:rPr>
          <w:sz w:val="22"/>
          <w:szCs w:val="22"/>
        </w:rPr>
        <w:t>Индексация Цены Договора не допускается.</w:t>
      </w:r>
    </w:p>
    <w:p>
      <w:pPr>
        <w:pStyle w:val="ListParagraph"/>
        <w:tabs>
          <w:tab w:val="clear" w:pos="720"/>
          <w:tab w:val="left" w:pos="851" w:leader="none"/>
          <w:tab w:val="left" w:pos="1425" w:leader="none"/>
        </w:tabs>
        <w:spacing w:before="0" w:after="0"/>
        <w:ind w:hanging="0" w:left="567"/>
        <w:contextualSpacing w:val="false"/>
        <w:jc w:val="both"/>
        <w:rPr>
          <w:sz w:val="22"/>
          <w:szCs w:val="22"/>
        </w:rPr>
      </w:pPr>
      <w:r>
        <w:rPr>
          <w:sz w:val="22"/>
          <w:szCs w:val="22"/>
        </w:rPr>
      </w:r>
    </w:p>
    <w:p>
      <w:pPr>
        <w:pStyle w:val="Normal"/>
        <w:widowControl w:val="false"/>
        <w:numPr>
          <w:ilvl w:val="0"/>
          <w:numId w:val="12"/>
        </w:numPr>
        <w:shd w:val="clear" w:color="auto" w:fill="FFFFFF"/>
        <w:ind w:hanging="0" w:left="0"/>
        <w:jc w:val="center"/>
        <w:rPr>
          <w:b/>
          <w:sz w:val="22"/>
          <w:szCs w:val="22"/>
        </w:rPr>
      </w:pPr>
      <w:r>
        <w:rPr>
          <w:b/>
          <w:sz w:val="22"/>
          <w:szCs w:val="22"/>
        </w:rPr>
        <w:t>Качество, количество и комплектность</w:t>
      </w:r>
    </w:p>
    <w:p>
      <w:pPr>
        <w:pStyle w:val="Normal"/>
        <w:widowControl w:val="false"/>
        <w:shd w:val="clear" w:color="auto" w:fill="FFFFFF"/>
        <w:ind w:hanging="0" w:left="567"/>
        <w:rPr>
          <w:b/>
          <w:sz w:val="22"/>
          <w:szCs w:val="22"/>
        </w:rPr>
      </w:pPr>
      <w:r>
        <w:rPr>
          <w:b/>
          <w:sz w:val="22"/>
          <w:szCs w:val="22"/>
        </w:rPr>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Продукция должна быть новой, не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Качество, комплектность, количество и ассортимент поставляемой Продукции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Поставщик обязан одновременно с передачей Продукции передать Покупателю относящиеся к ней документы, оформленные надлежащим образом:</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0"/>
        <w:ind w:firstLine="567" w:left="0"/>
        <w:contextualSpacing/>
        <w:jc w:val="both"/>
        <w:rPr>
          <w:sz w:val="22"/>
          <w:szCs w:val="22"/>
        </w:rPr>
      </w:pPr>
      <w:r>
        <w:rPr>
          <w:sz w:val="22"/>
          <w:szCs w:val="22"/>
        </w:rPr>
        <w:t>Сертификат качества в 2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0"/>
        <w:ind w:firstLine="567" w:left="0"/>
        <w:contextualSpacing/>
        <w:jc w:val="both"/>
        <w:rPr>
          <w:sz w:val="22"/>
          <w:szCs w:val="22"/>
        </w:rPr>
      </w:pPr>
      <w:r>
        <w:rPr>
          <w:sz w:val="22"/>
          <w:szCs w:val="22"/>
        </w:rPr>
        <w:t>Технический паспорт на русском языке в 2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0"/>
        <w:ind w:firstLine="567" w:left="0"/>
        <w:contextualSpacing/>
        <w:jc w:val="both"/>
        <w:rPr>
          <w:sz w:val="22"/>
          <w:szCs w:val="22"/>
        </w:rPr>
      </w:pPr>
      <w:r>
        <w:rPr>
          <w:sz w:val="22"/>
          <w:szCs w:val="22"/>
        </w:rPr>
        <w:t>Инструкция по эксплуатации (монтажу и т.п.) на русском языке в 2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0"/>
        <w:ind w:firstLine="567" w:left="0"/>
        <w:contextualSpacing/>
        <w:jc w:val="both"/>
        <w:rPr>
          <w:sz w:val="22"/>
          <w:szCs w:val="22"/>
        </w:rPr>
      </w:pPr>
      <w:r>
        <w:rPr>
          <w:sz w:val="22"/>
          <w:szCs w:val="22"/>
        </w:rPr>
        <w:t>Упаковочный лист на Продукцию 2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0"/>
        <w:ind w:firstLine="567" w:left="0"/>
        <w:contextualSpacing/>
        <w:jc w:val="both"/>
        <w:rPr>
          <w:sz w:val="22"/>
          <w:szCs w:val="22"/>
        </w:rPr>
      </w:pPr>
      <w:r>
        <w:rPr>
          <w:sz w:val="22"/>
          <w:szCs w:val="22"/>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Лицензии и т.п.) в зависимости от номенклатуры поставляемой Продукции;</w:t>
      </w:r>
    </w:p>
    <w:p>
      <w:pPr>
        <w:pStyle w:val="Normal"/>
        <w:widowControl w:val="false"/>
        <w:numPr>
          <w:ilvl w:val="0"/>
          <w:numId w:val="3"/>
        </w:numPr>
        <w:shd w:val="clear" w:color="auto" w:fill="FFFFFF"/>
        <w:tabs>
          <w:tab w:val="clear" w:pos="720"/>
          <w:tab w:val="left" w:pos="851" w:leader="none"/>
          <w:tab w:val="left" w:pos="900" w:leader="none"/>
          <w:tab w:val="left" w:pos="1134" w:leader="none"/>
          <w:tab w:val="left" w:pos="1276" w:leader="none"/>
        </w:tabs>
        <w:spacing w:before="0" w:after="0"/>
        <w:ind w:firstLine="567" w:left="0"/>
        <w:contextualSpacing/>
        <w:jc w:val="both"/>
        <w:rPr>
          <w:sz w:val="22"/>
          <w:szCs w:val="22"/>
        </w:rPr>
      </w:pPr>
      <w:r>
        <w:rPr>
          <w:sz w:val="22"/>
          <w:szCs w:val="22"/>
        </w:rPr>
        <w:t>Обязательные первичные документы:</w:t>
      </w:r>
    </w:p>
    <w:p>
      <w:pPr>
        <w:pStyle w:val="Normal"/>
        <w:widowControl w:val="false"/>
        <w:numPr>
          <w:ilvl w:val="0"/>
          <w:numId w:val="5"/>
        </w:numPr>
        <w:shd w:val="clear" w:color="auto" w:fill="FFFFFF"/>
        <w:tabs>
          <w:tab w:val="left" w:pos="720" w:leader="none"/>
          <w:tab w:val="left" w:pos="1134" w:leader="none"/>
          <w:tab w:val="left" w:pos="1276" w:leader="none"/>
        </w:tabs>
        <w:spacing w:before="0" w:after="0"/>
        <w:ind w:firstLine="567" w:left="0"/>
        <w:contextualSpacing/>
        <w:jc w:val="both"/>
        <w:rPr>
          <w:sz w:val="22"/>
          <w:szCs w:val="22"/>
        </w:rPr>
      </w:pPr>
      <w:r>
        <w:rPr>
          <w:sz w:val="22"/>
          <w:szCs w:val="22"/>
        </w:rPr>
        <w:t>Товарно-транспортную накладную формы №1-Т (для учета товарно-материальных ценностей и расчетов за их перевозки) или Железнодорожную накладную (форма № ГУ-27) в 2 экз.;</w:t>
      </w:r>
    </w:p>
    <w:p>
      <w:pPr>
        <w:pStyle w:val="Normal"/>
        <w:widowControl w:val="false"/>
        <w:numPr>
          <w:ilvl w:val="0"/>
          <w:numId w:val="5"/>
        </w:numPr>
        <w:shd w:val="clear" w:color="auto" w:fill="FFFFFF"/>
        <w:tabs>
          <w:tab w:val="left" w:pos="720" w:leader="none"/>
          <w:tab w:val="left" w:pos="1134" w:leader="none"/>
          <w:tab w:val="left" w:pos="1276" w:leader="none"/>
        </w:tabs>
        <w:spacing w:before="0" w:after="0"/>
        <w:ind w:firstLine="567" w:left="0"/>
        <w:contextualSpacing/>
        <w:jc w:val="both"/>
        <w:rPr>
          <w:sz w:val="22"/>
          <w:szCs w:val="22"/>
        </w:rPr>
      </w:pPr>
      <w:r>
        <w:rPr>
          <w:sz w:val="22"/>
          <w:szCs w:val="22"/>
        </w:rPr>
        <w:t>Товарную накладную по форме ТОРГ-12 или Универсальный передаточный документ (УПД) в 2 экз.</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 xml:space="preserve">В случае отсутствия указанных в п. 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 xml:space="preserve">Приемка Товара по количеству тар и упаковок, в которых осуществлялась его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color w:val="000000"/>
          <w:sz w:val="22"/>
          <w:szCs w:val="22"/>
        </w:rPr>
        <w:t>товарно-транспортную накладную формы № 1-Т или Железнодорожную накладную (форма № ГУ-27).</w:t>
      </w:r>
    </w:p>
    <w:p>
      <w:pPr>
        <w:pStyle w:val="Normal"/>
        <w:widowControl w:val="false"/>
        <w:numPr>
          <w:ilvl w:val="1"/>
          <w:numId w:val="4"/>
        </w:numPr>
        <w:tabs>
          <w:tab w:val="clear" w:pos="720"/>
          <w:tab w:val="left" w:pos="1134" w:leader="none"/>
          <w:tab w:val="left" w:pos="1276" w:leader="none"/>
        </w:tabs>
        <w:spacing w:before="0" w:after="0"/>
        <w:ind w:firstLine="567" w:left="0"/>
        <w:contextualSpacing/>
        <w:jc w:val="both"/>
        <w:rPr>
          <w:sz w:val="22"/>
          <w:szCs w:val="22"/>
        </w:rPr>
      </w:pPr>
      <w:r>
        <w:rPr>
          <w:sz w:val="22"/>
          <w:szCs w:val="22"/>
        </w:rPr>
        <w:t xml:space="preserve">Поставщик обязан обеспечить присутствие во время приемки Продукцию и в месте поставки своего представителя, уполномоченного надлежащим образом оформленной доверенностью на передачу Продукции Покупателю, 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Продукцию,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pPr>
        <w:pStyle w:val="Normal"/>
        <w:widowControl w:val="false"/>
        <w:numPr>
          <w:ilvl w:val="1"/>
          <w:numId w:val="4"/>
        </w:numPr>
        <w:tabs>
          <w:tab w:val="clear" w:pos="720"/>
          <w:tab w:val="left" w:pos="1134" w:leader="none"/>
          <w:tab w:val="left" w:pos="1276" w:leader="none"/>
        </w:tabs>
        <w:spacing w:before="0" w:after="0"/>
        <w:ind w:firstLine="567" w:left="0"/>
        <w:contextualSpacing/>
        <w:jc w:val="both"/>
        <w:rPr>
          <w:sz w:val="22"/>
          <w:szCs w:val="22"/>
        </w:rPr>
      </w:pPr>
      <w:r>
        <w:rPr>
          <w:sz w:val="22"/>
          <w:szCs w:val="22"/>
        </w:rPr>
        <w:t>Оригинал доверенности представителя Поставщика подлежит передаче Покупателю.</w:t>
      </w:r>
    </w:p>
    <w:p>
      <w:pPr>
        <w:pStyle w:val="Normal"/>
        <w:widowControl w:val="false"/>
        <w:numPr>
          <w:ilvl w:val="1"/>
          <w:numId w:val="4"/>
        </w:numPr>
        <w:tabs>
          <w:tab w:val="clear" w:pos="720"/>
          <w:tab w:val="left" w:pos="1134" w:leader="none"/>
          <w:tab w:val="left" w:pos="1276" w:leader="none"/>
        </w:tabs>
        <w:spacing w:before="0" w:after="0"/>
        <w:ind w:firstLine="567" w:left="0"/>
        <w:contextualSpacing/>
        <w:jc w:val="both"/>
        <w:rPr>
          <w:sz w:val="22"/>
          <w:szCs w:val="22"/>
        </w:rPr>
      </w:pPr>
      <w:r>
        <w:rPr>
          <w:sz w:val="22"/>
          <w:szCs w:val="22"/>
        </w:rPr>
        <w:t>В случае неявки представителя Поставщика и / или его отказа от подписания Акта рекламации при приемке Продукции, составленный и подписанный Покупателем 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При некомплектности, недопоставке, отсутствии необходимых принадлежностей, относящихся к Продукции, Покупатель вправе с одновременным направлением письменного уведомления Продавцу прекратить приемку Продукции до устранения нарушений. Поставщик обязан в течение 3 (трех)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 xml:space="preserve">Приемка Продукции со вскрытием упаковки производится Покупателем в течение 10 (десяти) рабочих дней с даты подписания </w:t>
      </w:r>
      <w:r>
        <w:rPr>
          <w:color w:val="000000"/>
          <w:sz w:val="22"/>
          <w:szCs w:val="22"/>
        </w:rPr>
        <w:t>товарно-транспортной накладной по форме № 1-Т) или Железнодорожной накладной (форма № ГУ-27)</w:t>
      </w:r>
      <w:r>
        <w:rPr>
          <w:sz w:val="22"/>
          <w:szCs w:val="22"/>
        </w:rPr>
        <w:t xml:space="preserve">. В случае отсутствия замечаний Покупатель подписывает </w:t>
      </w:r>
      <w:r>
        <w:rPr>
          <w:color w:val="000000"/>
          <w:sz w:val="22"/>
          <w:szCs w:val="22"/>
        </w:rPr>
        <w:t>товарную накладную унифицированной формы ТОРГ-12 или Универсальный передаточный документ (УПД).</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следующей партии Продукции.</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При невыполнении Поставщиком требований п. 3.11.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В случае, когда Продукция, комплектующие, принадлежности или документы, относящиеся к Продукции, не переданы Поставщиком в сроки, указанные в п. 3.4, 3.9 Договора, Покупатель вправе отказаться от Продукции, а Поставщик обязан не позднее 10 (Десяти) рабочих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 уплаченный им авансовый платеж.</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rFonts w:eastAsia="Calibri"/>
          <w:sz w:val="22"/>
          <w:szCs w:val="22"/>
          <w:lang w:eastAsia="en-US"/>
        </w:rPr>
        <w:t>Поставщик обязан установить на продукцию</w:t>
      </w:r>
      <w:r>
        <w:rPr>
          <w:rFonts w:eastAsia="Calibri"/>
          <w:sz w:val="22"/>
          <w:szCs w:val="22"/>
          <w:shd w:fill="auto" w:val="clear"/>
          <w:lang w:eastAsia="en-US"/>
        </w:rPr>
        <w:t xml:space="preserve"> гарантийный срок 12 (Двенадцать) месяцев с даты подписания Сторонами соответствующей товарной накладной по форме ТОРГ-12 или Универса</w:t>
      </w:r>
      <w:r>
        <w:rPr>
          <w:rFonts w:eastAsia="Calibri"/>
          <w:sz w:val="22"/>
          <w:szCs w:val="22"/>
          <w:lang w:eastAsia="en-US"/>
        </w:rPr>
        <w:t>льного передаточного документа (УПД), но не менее гарантийного срока изготовителя (производителя) продукции. Условия выполнения гарантийных обязательств поставщика или производителя не должны включать требование привлечения, специально аккредитованных производителем организаций или специалистов</w:t>
      </w:r>
      <w:r>
        <w:rPr>
          <w:sz w:val="22"/>
          <w:szCs w:val="22"/>
        </w:rPr>
        <w:t>.</w:t>
      </w:r>
    </w:p>
    <w:p>
      <w:pPr>
        <w:pStyle w:val="Normal"/>
        <w:tabs>
          <w:tab w:val="clear" w:pos="720"/>
          <w:tab w:val="left" w:pos="1134" w:leader="none"/>
          <w:tab w:val="left" w:pos="1276" w:leader="none"/>
        </w:tabs>
        <w:spacing w:before="0" w:after="0"/>
        <w:ind w:firstLine="567"/>
        <w:contextualSpacing/>
        <w:jc w:val="both"/>
        <w:rPr>
          <w:sz w:val="22"/>
          <w:szCs w:val="22"/>
        </w:rPr>
      </w:pPr>
      <w:r>
        <w:rPr>
          <w:sz w:val="22"/>
          <w:szCs w:val="22"/>
        </w:rPr>
        <w:t>Установленный в отношении Продукции Гарантийный срок распространяется на все составные части и комплектующие Продукции.</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 xml:space="preserve">Устранение недостатков осуществляется Поставщиком своими силами, за свой счет и в срок, указанный </w:t>
      </w:r>
      <w:bookmarkStart w:id="2" w:name="OLE_LINK6"/>
      <w:bookmarkStart w:id="3" w:name="OLE_LINK5"/>
      <w:r>
        <w:rPr>
          <w:sz w:val="22"/>
          <w:szCs w:val="22"/>
        </w:rPr>
        <w:t>Покупателем в соответствии с п. 3.17. Договора</w:t>
      </w:r>
      <w:bookmarkEnd w:id="2"/>
      <w:bookmarkEnd w:id="3"/>
      <w:r>
        <w:rPr>
          <w:sz w:val="22"/>
          <w:szCs w:val="22"/>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 1). Вывоз Продукции для целей устранения недостатков или утилизации осуществляется Поставщиком.</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Если Поставщик не устранит недостатки в срок, установленный согласно п. 3.17.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3.15. Договора и начинает исчисляться заново с даты приемки Покупателем замены или работ по устранению недостатков.</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Устранение недостатков Продукции или возврат ее стоимости, в том числе в рамках срока, установленного в соответствии с п. 3.13. Договора, не освобождает Поставщика от ответственности за убытки, причиненные Покупателю вследствие наличия таких недостатков.</w:t>
      </w:r>
    </w:p>
    <w:p>
      <w:pPr>
        <w:pStyle w:val="Normal"/>
        <w:widowControl w:val="false"/>
        <w:shd w:val="clear" w:color="auto" w:fill="FFFFFF"/>
        <w:tabs>
          <w:tab w:val="clear" w:pos="720"/>
          <w:tab w:val="left" w:pos="1134" w:leader="none"/>
          <w:tab w:val="left" w:pos="1276" w:leader="none"/>
        </w:tabs>
        <w:ind w:hanging="0" w:left="567"/>
        <w:jc w:val="both"/>
        <w:rPr>
          <w:sz w:val="22"/>
          <w:szCs w:val="22"/>
        </w:rPr>
      </w:pPr>
      <w:r>
        <w:rPr>
          <w:sz w:val="22"/>
          <w:szCs w:val="22"/>
        </w:rPr>
      </w:r>
    </w:p>
    <w:p>
      <w:pPr>
        <w:pStyle w:val="Normal"/>
        <w:widowControl w:val="false"/>
        <w:numPr>
          <w:ilvl w:val="0"/>
          <w:numId w:val="12"/>
        </w:numPr>
        <w:shd w:val="clear" w:color="auto" w:fill="FFFFFF"/>
        <w:ind w:hanging="0" w:left="0"/>
        <w:jc w:val="center"/>
        <w:rPr>
          <w:b/>
          <w:sz w:val="22"/>
          <w:szCs w:val="22"/>
        </w:rPr>
      </w:pPr>
      <w:r>
        <w:rPr>
          <w:b/>
          <w:sz w:val="22"/>
          <w:szCs w:val="22"/>
        </w:rPr>
        <w:t>Тара, упаковка, маркировка</w:t>
      </w:r>
    </w:p>
    <w:p>
      <w:pPr>
        <w:pStyle w:val="Normal"/>
        <w:widowControl w:val="false"/>
        <w:shd w:val="clear" w:color="auto" w:fill="FFFFFF"/>
        <w:rPr>
          <w:b/>
          <w:sz w:val="22"/>
          <w:szCs w:val="22"/>
        </w:rPr>
      </w:pPr>
      <w:r>
        <w:rPr>
          <w:b/>
          <w:sz w:val="22"/>
          <w:szCs w:val="22"/>
        </w:rPr>
      </w:r>
    </w:p>
    <w:p>
      <w:pPr>
        <w:pStyle w:val="ListParagraph"/>
        <w:numPr>
          <w:ilvl w:val="0"/>
          <w:numId w:val="4"/>
        </w:numPr>
        <w:shd w:val="clear" w:color="auto" w:fill="FFFFFF"/>
        <w:tabs>
          <w:tab w:val="clear" w:pos="720"/>
          <w:tab w:val="left" w:pos="993" w:leader="none"/>
          <w:tab w:val="left" w:pos="1418" w:leader="none"/>
        </w:tabs>
        <w:jc w:val="both"/>
        <w:rPr>
          <w:vanish/>
          <w:sz w:val="22"/>
          <w:szCs w:val="22"/>
        </w:rPr>
      </w:pPr>
      <w:r>
        <w:rPr>
          <w:vanish/>
          <w:sz w:val="22"/>
          <w:szCs w:val="22"/>
        </w:rPr>
      </w:r>
    </w:p>
    <w:p>
      <w:pPr>
        <w:pStyle w:val="Normal"/>
        <w:widowControl w:val="false"/>
        <w:shd w:val="clear" w:color="auto" w:fill="FFFFFF"/>
        <w:tabs>
          <w:tab w:val="clear" w:pos="720"/>
          <w:tab w:val="left" w:pos="993" w:leader="none"/>
          <w:tab w:val="left" w:pos="1276" w:leader="none"/>
          <w:tab w:val="left" w:pos="1418" w:leader="none"/>
        </w:tabs>
        <w:spacing w:before="0" w:after="0"/>
        <w:contextualSpacing/>
        <w:jc w:val="both"/>
        <w:rPr>
          <w:sz w:val="22"/>
          <w:szCs w:val="22"/>
        </w:rPr>
      </w:pPr>
      <w:r>
        <w:rPr>
          <w:sz w:val="22"/>
          <w:szCs w:val="22"/>
        </w:rPr>
        <w:t xml:space="preserve">         </w:t>
      </w:r>
      <w:r>
        <w:rPr>
          <w:sz w:val="22"/>
          <w:szCs w:val="22"/>
        </w:rPr>
        <w:t>4.1 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pPr>
        <w:pStyle w:val="Normal"/>
        <w:widowControl w:val="false"/>
        <w:shd w:val="clear" w:color="auto" w:fill="FFFFFF"/>
        <w:tabs>
          <w:tab w:val="clear" w:pos="720"/>
          <w:tab w:val="left" w:pos="993" w:leader="none"/>
          <w:tab w:val="left" w:pos="1276" w:leader="none"/>
          <w:tab w:val="left" w:pos="1418" w:leader="none"/>
        </w:tabs>
        <w:spacing w:before="0" w:after="0"/>
        <w:contextualSpacing/>
        <w:jc w:val="both"/>
        <w:rPr>
          <w:sz w:val="22"/>
          <w:szCs w:val="22"/>
        </w:rPr>
      </w:pPr>
      <w:r>
        <w:rPr>
          <w:sz w:val="22"/>
          <w:szCs w:val="22"/>
        </w:rPr>
        <w:t xml:space="preserve">    </w:t>
      </w:r>
      <w:r>
        <w:rPr>
          <w:sz w:val="22"/>
          <w:szCs w:val="22"/>
        </w:rPr>
        <w:t>4.2 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pPr>
        <w:pStyle w:val="Normal"/>
        <w:widowControl w:val="false"/>
        <w:shd w:val="clear" w:color="auto" w:fill="FFFFFF"/>
        <w:tabs>
          <w:tab w:val="clear" w:pos="720"/>
          <w:tab w:val="left" w:pos="993" w:leader="none"/>
          <w:tab w:val="left" w:pos="1276" w:leader="none"/>
          <w:tab w:val="left" w:pos="1418" w:leader="none"/>
        </w:tabs>
        <w:spacing w:before="0" w:after="0"/>
        <w:contextualSpacing/>
        <w:jc w:val="both"/>
        <w:rPr>
          <w:sz w:val="22"/>
          <w:szCs w:val="22"/>
        </w:rPr>
      </w:pPr>
      <w:r>
        <w:rPr>
          <w:sz w:val="22"/>
          <w:szCs w:val="22"/>
        </w:rPr>
        <w:t xml:space="preserve">       </w:t>
      </w:r>
      <w:r>
        <w:rPr>
          <w:sz w:val="22"/>
          <w:szCs w:val="22"/>
        </w:rPr>
        <w:t>4.3 Продукция, упаковка, тара должны быть надлежащим образом промаркированы. На таре и упаковке должны быть указаны:</w:t>
      </w:r>
    </w:p>
    <w:p>
      <w:pPr>
        <w:pStyle w:val="Normal"/>
        <w:widowControl w:val="false"/>
        <w:numPr>
          <w:ilvl w:val="0"/>
          <w:numId w:val="5"/>
        </w:numPr>
        <w:shd w:val="clear" w:color="auto" w:fill="FFFFFF"/>
        <w:tabs>
          <w:tab w:val="clear" w:pos="720"/>
          <w:tab w:val="left" w:pos="993" w:leader="none"/>
          <w:tab w:val="left" w:pos="1276" w:leader="none"/>
          <w:tab w:val="left" w:pos="1418" w:leader="none"/>
        </w:tabs>
        <w:spacing w:before="0" w:after="0"/>
        <w:ind w:firstLine="567" w:left="0"/>
        <w:contextualSpacing/>
        <w:jc w:val="both"/>
        <w:rPr>
          <w:sz w:val="22"/>
          <w:szCs w:val="22"/>
        </w:rPr>
      </w:pPr>
      <w:r>
        <w:rPr>
          <w:sz w:val="22"/>
          <w:szCs w:val="22"/>
        </w:rPr>
        <w:t>наименование и адрес грузоотправителя и грузополучателя;</w:t>
      </w:r>
    </w:p>
    <w:p>
      <w:pPr>
        <w:pStyle w:val="Normal"/>
        <w:widowControl w:val="false"/>
        <w:numPr>
          <w:ilvl w:val="0"/>
          <w:numId w:val="5"/>
        </w:numPr>
        <w:shd w:val="clear" w:color="auto" w:fill="FFFFFF"/>
        <w:tabs>
          <w:tab w:val="clear" w:pos="720"/>
          <w:tab w:val="left" w:pos="993" w:leader="none"/>
          <w:tab w:val="left" w:pos="1276" w:leader="none"/>
          <w:tab w:val="left" w:pos="1418" w:leader="none"/>
        </w:tabs>
        <w:spacing w:before="0" w:after="0"/>
        <w:ind w:firstLine="567" w:left="0"/>
        <w:contextualSpacing/>
        <w:jc w:val="both"/>
        <w:rPr>
          <w:sz w:val="22"/>
          <w:szCs w:val="22"/>
        </w:rPr>
      </w:pPr>
      <w:r>
        <w:rPr>
          <w:sz w:val="22"/>
          <w:szCs w:val="22"/>
        </w:rPr>
        <w:t>номер Товарной накладной и/или Товарно-транспортной накладной;</w:t>
      </w:r>
    </w:p>
    <w:p>
      <w:pPr>
        <w:pStyle w:val="Normal"/>
        <w:widowControl w:val="false"/>
        <w:numPr>
          <w:ilvl w:val="0"/>
          <w:numId w:val="5"/>
        </w:numPr>
        <w:shd w:val="clear" w:color="auto" w:fill="FFFFFF"/>
        <w:tabs>
          <w:tab w:val="clear" w:pos="720"/>
          <w:tab w:val="left" w:pos="993" w:leader="none"/>
          <w:tab w:val="left" w:pos="1276" w:leader="none"/>
          <w:tab w:val="left" w:pos="1418" w:leader="none"/>
        </w:tabs>
        <w:spacing w:before="0" w:after="0"/>
        <w:ind w:firstLine="567" w:left="0"/>
        <w:contextualSpacing/>
        <w:jc w:val="both"/>
        <w:rPr>
          <w:sz w:val="22"/>
          <w:szCs w:val="22"/>
        </w:rPr>
      </w:pPr>
      <w:r>
        <w:rPr>
          <w:sz w:val="22"/>
          <w:szCs w:val="22"/>
        </w:rPr>
        <w:t>вес, брутто/нетто каждого места;</w:t>
      </w:r>
    </w:p>
    <w:p>
      <w:pPr>
        <w:pStyle w:val="Normal"/>
        <w:widowControl w:val="false"/>
        <w:numPr>
          <w:ilvl w:val="0"/>
          <w:numId w:val="5"/>
        </w:numPr>
        <w:shd w:val="clear" w:color="auto" w:fill="FFFFFF"/>
        <w:tabs>
          <w:tab w:val="clear" w:pos="720"/>
          <w:tab w:val="left" w:pos="993" w:leader="none"/>
          <w:tab w:val="left" w:pos="1276" w:leader="none"/>
          <w:tab w:val="left" w:pos="1418" w:leader="none"/>
        </w:tabs>
        <w:spacing w:before="0" w:after="0"/>
        <w:ind w:firstLine="567" w:left="0"/>
        <w:contextualSpacing/>
        <w:jc w:val="both"/>
        <w:rPr>
          <w:sz w:val="22"/>
          <w:szCs w:val="22"/>
        </w:rPr>
      </w:pPr>
      <w:r>
        <w:rPr>
          <w:sz w:val="22"/>
          <w:szCs w:val="22"/>
        </w:rPr>
        <w:t>наименование Продукции;</w:t>
      </w:r>
    </w:p>
    <w:p>
      <w:pPr>
        <w:pStyle w:val="Normal"/>
        <w:widowControl w:val="false"/>
        <w:numPr>
          <w:ilvl w:val="0"/>
          <w:numId w:val="5"/>
        </w:numPr>
        <w:shd w:val="clear" w:color="auto" w:fill="FFFFFF"/>
        <w:tabs>
          <w:tab w:val="clear" w:pos="720"/>
          <w:tab w:val="left" w:pos="993" w:leader="none"/>
          <w:tab w:val="left" w:pos="1276" w:leader="none"/>
          <w:tab w:val="left" w:pos="1418" w:leader="none"/>
        </w:tabs>
        <w:spacing w:before="0" w:after="0"/>
        <w:ind w:firstLine="567" w:left="0"/>
        <w:contextualSpacing/>
        <w:jc w:val="both"/>
        <w:rPr>
          <w:sz w:val="22"/>
          <w:szCs w:val="22"/>
        </w:rPr>
      </w:pPr>
      <w:r>
        <w:rPr>
          <w:sz w:val="22"/>
          <w:szCs w:val="22"/>
        </w:rPr>
        <w:t>номера мест и их общее количество;</w:t>
      </w:r>
    </w:p>
    <w:p>
      <w:pPr>
        <w:pStyle w:val="Normal"/>
        <w:widowControl w:val="false"/>
        <w:numPr>
          <w:ilvl w:val="0"/>
          <w:numId w:val="5"/>
        </w:numPr>
        <w:shd w:val="clear" w:color="auto" w:fill="FFFFFF"/>
        <w:tabs>
          <w:tab w:val="clear" w:pos="720"/>
          <w:tab w:val="left" w:pos="993" w:leader="none"/>
          <w:tab w:val="left" w:pos="1276" w:leader="none"/>
          <w:tab w:val="left" w:pos="1418" w:leader="none"/>
        </w:tabs>
        <w:spacing w:before="0" w:after="0"/>
        <w:ind w:firstLine="567" w:left="0"/>
        <w:contextualSpacing/>
        <w:jc w:val="both"/>
        <w:rPr>
          <w:sz w:val="22"/>
          <w:szCs w:val="22"/>
        </w:rPr>
      </w:pPr>
      <w:r>
        <w:rPr>
          <w:sz w:val="22"/>
          <w:szCs w:val="22"/>
        </w:rPr>
        <w:t>весогабаритные характеристики мест;</w:t>
      </w:r>
    </w:p>
    <w:p>
      <w:pPr>
        <w:pStyle w:val="Normal"/>
        <w:widowControl w:val="false"/>
        <w:numPr>
          <w:ilvl w:val="0"/>
          <w:numId w:val="5"/>
        </w:numPr>
        <w:shd w:val="clear" w:color="auto" w:fill="FFFFFF"/>
        <w:tabs>
          <w:tab w:val="clear" w:pos="720"/>
          <w:tab w:val="left" w:pos="993" w:leader="none"/>
          <w:tab w:val="left" w:pos="1276" w:leader="none"/>
          <w:tab w:val="left" w:pos="1418" w:leader="none"/>
        </w:tabs>
        <w:spacing w:before="0" w:after="0"/>
        <w:ind w:firstLine="567" w:left="0"/>
        <w:contextualSpacing/>
        <w:jc w:val="both"/>
        <w:rPr>
          <w:sz w:val="22"/>
          <w:szCs w:val="22"/>
        </w:rPr>
      </w:pPr>
      <w:r>
        <w:rPr>
          <w:sz w:val="22"/>
          <w:szCs w:val="22"/>
        </w:rPr>
        <w:t>центр тяжести;</w:t>
      </w:r>
    </w:p>
    <w:p>
      <w:pPr>
        <w:pStyle w:val="Normal"/>
        <w:widowControl w:val="false"/>
        <w:numPr>
          <w:ilvl w:val="0"/>
          <w:numId w:val="5"/>
        </w:numPr>
        <w:shd w:val="clear" w:color="auto" w:fill="FFFFFF"/>
        <w:tabs>
          <w:tab w:val="clear" w:pos="720"/>
          <w:tab w:val="left" w:pos="993" w:leader="none"/>
          <w:tab w:val="left" w:pos="1276" w:leader="none"/>
          <w:tab w:val="left" w:pos="1418" w:leader="none"/>
        </w:tabs>
        <w:spacing w:before="0" w:after="0"/>
        <w:ind w:firstLine="567" w:left="0"/>
        <w:contextualSpacing/>
        <w:jc w:val="both"/>
        <w:rPr>
          <w:sz w:val="22"/>
          <w:szCs w:val="22"/>
        </w:rPr>
      </w:pPr>
      <w:r>
        <w:rPr>
          <w:sz w:val="22"/>
          <w:szCs w:val="22"/>
        </w:rPr>
        <w:t>условия хранения;</w:t>
      </w:r>
    </w:p>
    <w:p>
      <w:pPr>
        <w:pStyle w:val="Normal"/>
        <w:widowControl w:val="false"/>
        <w:numPr>
          <w:ilvl w:val="0"/>
          <w:numId w:val="5"/>
        </w:numPr>
        <w:shd w:val="clear" w:color="auto" w:fill="FFFFFF"/>
        <w:tabs>
          <w:tab w:val="clear" w:pos="720"/>
          <w:tab w:val="left" w:pos="993" w:leader="none"/>
          <w:tab w:val="left" w:pos="1276" w:leader="none"/>
          <w:tab w:val="left" w:pos="1418" w:leader="none"/>
        </w:tabs>
        <w:spacing w:before="0" w:after="0"/>
        <w:ind w:firstLine="567" w:left="0"/>
        <w:contextualSpacing/>
        <w:jc w:val="both"/>
        <w:rPr>
          <w:sz w:val="22"/>
          <w:szCs w:val="22"/>
        </w:rPr>
      </w:pPr>
      <w:r>
        <w:rPr>
          <w:sz w:val="22"/>
          <w:szCs w:val="22"/>
        </w:rPr>
        <w:t>обозначения типа «не бросать» и другие обычно используемые обозначения.</w:t>
      </w:r>
    </w:p>
    <w:p>
      <w:pPr>
        <w:pStyle w:val="Normal"/>
        <w:widowControl w:val="false"/>
        <w:shd w:val="clear" w:color="auto" w:fill="FFFFFF"/>
        <w:tabs>
          <w:tab w:val="clear" w:pos="720"/>
          <w:tab w:val="left" w:pos="993" w:leader="none"/>
          <w:tab w:val="left" w:pos="1276" w:leader="none"/>
          <w:tab w:val="left" w:pos="1418" w:leader="none"/>
        </w:tabs>
        <w:spacing w:before="0" w:after="0"/>
        <w:contextualSpacing/>
        <w:jc w:val="both"/>
        <w:rPr>
          <w:sz w:val="22"/>
          <w:szCs w:val="22"/>
        </w:rPr>
      </w:pPr>
      <w:r>
        <w:rPr>
          <w:sz w:val="22"/>
          <w:szCs w:val="22"/>
        </w:rPr>
        <w:t xml:space="preserve">        </w:t>
      </w:r>
      <w:r>
        <w:rPr>
          <w:sz w:val="22"/>
          <w:szCs w:val="22"/>
        </w:rPr>
        <w:t>4.4 Стоимость тары и упаковки включена в Цену Договора; тара и упаковка возврату не подлежат.</w:t>
      </w:r>
    </w:p>
    <w:p>
      <w:pPr>
        <w:pStyle w:val="Normal"/>
        <w:widowControl w:val="false"/>
        <w:shd w:val="clear" w:color="auto" w:fill="FFFFFF"/>
        <w:tabs>
          <w:tab w:val="clear" w:pos="720"/>
          <w:tab w:val="left" w:pos="1276" w:leader="none"/>
          <w:tab w:val="left" w:pos="1418" w:leader="none"/>
        </w:tabs>
        <w:ind w:firstLine="567"/>
        <w:jc w:val="both"/>
        <w:rPr>
          <w:sz w:val="22"/>
          <w:szCs w:val="22"/>
        </w:rPr>
      </w:pPr>
      <w:r>
        <w:rPr>
          <w:sz w:val="22"/>
          <w:szCs w:val="22"/>
        </w:rPr>
      </w:r>
    </w:p>
    <w:p>
      <w:pPr>
        <w:pStyle w:val="Normal"/>
        <w:widowControl w:val="false"/>
        <w:numPr>
          <w:ilvl w:val="0"/>
          <w:numId w:val="13"/>
        </w:numPr>
        <w:shd w:val="clear" w:color="auto" w:fill="FFFFFF"/>
        <w:jc w:val="center"/>
        <w:rPr>
          <w:b/>
          <w:sz w:val="22"/>
          <w:szCs w:val="22"/>
        </w:rPr>
      </w:pPr>
      <w:r>
        <w:rPr>
          <w:b/>
          <w:sz w:val="22"/>
          <w:szCs w:val="22"/>
        </w:rPr>
        <w:t>Сроки, порядок и условия поставки, переход права собственности</w:t>
      </w:r>
    </w:p>
    <w:p>
      <w:pPr>
        <w:pStyle w:val="Normal"/>
        <w:widowControl w:val="false"/>
        <w:shd w:val="clear" w:color="auto" w:fill="FFFFFF"/>
        <w:ind w:hanging="0" w:left="567"/>
        <w:rPr>
          <w:b/>
          <w:sz w:val="22"/>
          <w:szCs w:val="22"/>
        </w:rPr>
      </w:pPr>
      <w:r>
        <w:rPr>
          <w:b/>
          <w:sz w:val="22"/>
          <w:szCs w:val="22"/>
        </w:rPr>
      </w:r>
    </w:p>
    <w:p>
      <w:pPr>
        <w:pStyle w:val="ListParagraph"/>
        <w:numPr>
          <w:ilvl w:val="1"/>
          <w:numId w:val="13"/>
        </w:numPr>
        <w:tabs>
          <w:tab w:val="clear" w:pos="720"/>
          <w:tab w:val="left" w:pos="993" w:leader="none"/>
        </w:tabs>
        <w:spacing w:before="0" w:after="0"/>
        <w:ind w:firstLine="567" w:left="0"/>
        <w:contextualSpacing w:val="false"/>
        <w:jc w:val="both"/>
        <w:rPr>
          <w:shd w:fill="FFFFFF" w:val="clear"/>
        </w:rPr>
      </w:pPr>
      <w:r>
        <w:rPr>
          <w:sz w:val="22"/>
          <w:szCs w:val="22"/>
          <w:shd w:fill="FFFFFF" w:val="clear"/>
        </w:rPr>
        <w:t>Поставка Продукции по Договору осуществляется Поставщиком, согласно п. 1.2 Договора, в Место поставки согласно п. 1.4. Договора. Доставка Продукции осуществляется Поставщиком.</w:t>
      </w:r>
    </w:p>
    <w:p>
      <w:pPr>
        <w:pStyle w:val="Normal"/>
        <w:widowControl w:val="false"/>
        <w:numPr>
          <w:ilvl w:val="1"/>
          <w:numId w:val="13"/>
        </w:numPr>
        <w:shd w:val="clear" w:color="auto" w:fill="FFFFFF"/>
        <w:tabs>
          <w:tab w:val="clear" w:pos="720"/>
          <w:tab w:val="left" w:pos="993" w:leader="none"/>
        </w:tabs>
        <w:ind w:firstLine="567" w:left="0"/>
        <w:jc w:val="both"/>
        <w:rPr>
          <w:shd w:fill="FFFFFF" w:val="clear"/>
        </w:rPr>
      </w:pPr>
      <w:r>
        <w:rPr>
          <w:sz w:val="22"/>
          <w:szCs w:val="22"/>
          <w:shd w:fill="FFFFFF" w:val="clear"/>
        </w:rPr>
        <w:t>Поставщик обязан уведомить Покупателя о дате поставки Продукции не позднее, чем за 2 (Два) календарных дня до даты поставки.</w:t>
      </w:r>
    </w:p>
    <w:p>
      <w:pPr>
        <w:pStyle w:val="Normal"/>
        <w:widowControl w:val="false"/>
        <w:numPr>
          <w:ilvl w:val="1"/>
          <w:numId w:val="13"/>
        </w:numPr>
        <w:shd w:val="clear" w:color="auto" w:fill="FFFFFF"/>
        <w:tabs>
          <w:tab w:val="clear" w:pos="720"/>
          <w:tab w:val="left" w:pos="993" w:leader="none"/>
        </w:tabs>
        <w:ind w:firstLine="567" w:left="0"/>
        <w:jc w:val="both"/>
        <w:rPr>
          <w:shd w:fill="FFFFFF" w:val="clear"/>
        </w:rPr>
      </w:pPr>
      <w:r>
        <w:rPr>
          <w:sz w:val="22"/>
          <w:szCs w:val="22"/>
          <w:shd w:fill="FFFFFF" w:val="clear"/>
        </w:rPr>
        <w:t xml:space="preserve">Право собственности на Продукцию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и датой перехода риска случайной гибели или повреждения Продукции считается дата подписания Покупателем Товарной накладной по форме ТОРГ-12 или УПД. </w:t>
      </w:r>
    </w:p>
    <w:p>
      <w:pPr>
        <w:pStyle w:val="Normal"/>
        <w:widowControl w:val="false"/>
        <w:numPr>
          <w:ilvl w:val="1"/>
          <w:numId w:val="13"/>
        </w:numPr>
        <w:shd w:val="clear" w:color="auto" w:fill="FFFFFF"/>
        <w:tabs>
          <w:tab w:val="clear" w:pos="720"/>
          <w:tab w:val="left" w:pos="993" w:leader="none"/>
        </w:tabs>
        <w:ind w:firstLine="567" w:left="0"/>
        <w:jc w:val="both"/>
        <w:rPr>
          <w:sz w:val="22"/>
          <w:szCs w:val="22"/>
        </w:rPr>
      </w:pPr>
      <w:r>
        <w:rPr>
          <w:sz w:val="22"/>
          <w:szCs w:val="22"/>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pPr>
        <w:pStyle w:val="Normal"/>
        <w:widowControl w:val="false"/>
        <w:numPr>
          <w:ilvl w:val="1"/>
          <w:numId w:val="13"/>
        </w:numPr>
        <w:shd w:val="clear" w:color="auto" w:fill="FFFFFF"/>
        <w:tabs>
          <w:tab w:val="clear" w:pos="720"/>
          <w:tab w:val="left" w:pos="993" w:leader="none"/>
        </w:tabs>
        <w:ind w:firstLine="567" w:left="0"/>
        <w:jc w:val="both"/>
        <w:rPr>
          <w:sz w:val="22"/>
          <w:szCs w:val="22"/>
        </w:rPr>
      </w:pPr>
      <w:r>
        <w:rPr>
          <w:sz w:val="22"/>
          <w:szCs w:val="22"/>
        </w:rPr>
        <w:t xml:space="preserve">Поставщик несет ответственность за получение (если это необходимо) разрешений и лицензий властей на транспортировку Продукции в Место поставки и иных необходимых документов. </w:t>
      </w:r>
    </w:p>
    <w:p>
      <w:pPr>
        <w:pStyle w:val="Normal"/>
        <w:widowControl w:val="false"/>
        <w:shd w:val="clear" w:color="auto" w:fill="FFFFFF"/>
        <w:tabs>
          <w:tab w:val="clear" w:pos="720"/>
          <w:tab w:val="left" w:pos="1276" w:leader="none"/>
        </w:tabs>
        <w:ind w:firstLine="567"/>
        <w:jc w:val="both"/>
        <w:rPr>
          <w:sz w:val="22"/>
          <w:szCs w:val="22"/>
        </w:rPr>
      </w:pPr>
      <w:r>
        <w:rPr>
          <w:sz w:val="22"/>
          <w:szCs w:val="22"/>
        </w:rPr>
      </w:r>
    </w:p>
    <w:p>
      <w:pPr>
        <w:pStyle w:val="Normal"/>
        <w:widowControl w:val="false"/>
        <w:numPr>
          <w:ilvl w:val="0"/>
          <w:numId w:val="16"/>
        </w:numPr>
        <w:shd w:val="clear" w:color="auto" w:fill="FFFFFF"/>
        <w:tabs>
          <w:tab w:val="clear" w:pos="720"/>
          <w:tab w:val="left" w:pos="5321" w:leader="none"/>
        </w:tabs>
        <w:spacing w:before="0" w:after="0"/>
        <w:contextualSpacing/>
        <w:jc w:val="center"/>
        <w:rPr>
          <w:b/>
          <w:sz w:val="22"/>
          <w:szCs w:val="22"/>
        </w:rPr>
      </w:pPr>
      <w:r>
        <w:rPr>
          <w:b/>
          <w:sz w:val="22"/>
          <w:szCs w:val="22"/>
        </w:rPr>
        <w:t>Ответственность по Договору</w:t>
      </w:r>
    </w:p>
    <w:p>
      <w:pPr>
        <w:pStyle w:val="Normal"/>
        <w:widowControl w:val="false"/>
        <w:shd w:val="clear" w:color="auto" w:fill="FFFFFF"/>
        <w:tabs>
          <w:tab w:val="clear" w:pos="720"/>
          <w:tab w:val="left" w:pos="5321" w:leader="none"/>
        </w:tabs>
        <w:spacing w:before="0" w:after="0"/>
        <w:ind w:hanging="0" w:left="360"/>
        <w:contextualSpacing/>
        <w:rPr>
          <w:b/>
          <w:sz w:val="22"/>
          <w:szCs w:val="22"/>
        </w:rPr>
      </w:pPr>
      <w:r>
        <w:rPr>
          <w:b/>
          <w:sz w:val="22"/>
          <w:szCs w:val="22"/>
        </w:rPr>
      </w:r>
    </w:p>
    <w:p>
      <w:pPr>
        <w:pStyle w:val="Normal"/>
        <w:widowControl w:val="false"/>
        <w:numPr>
          <w:ilvl w:val="1"/>
          <w:numId w:val="16"/>
        </w:numPr>
        <w:shd w:val="clear" w:color="auto" w:fill="FFFFFF"/>
        <w:tabs>
          <w:tab w:val="clear" w:pos="720"/>
          <w:tab w:val="left" w:pos="1276" w:leader="none"/>
        </w:tabs>
        <w:spacing w:before="0" w:after="0"/>
        <w:ind w:firstLine="567" w:left="0"/>
        <w:contextualSpacing/>
        <w:jc w:val="both"/>
        <w:rPr>
          <w:sz w:val="22"/>
          <w:szCs w:val="22"/>
        </w:rPr>
      </w:pPr>
      <w:r>
        <w:rPr>
          <w:sz w:val="22"/>
          <w:szCs w:val="22"/>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pPr>
        <w:pStyle w:val="Normal"/>
        <w:widowControl w:val="false"/>
        <w:numPr>
          <w:ilvl w:val="1"/>
          <w:numId w:val="16"/>
        </w:numPr>
        <w:shd w:val="clear" w:color="auto" w:fill="FFFFFF"/>
        <w:tabs>
          <w:tab w:val="clear" w:pos="720"/>
          <w:tab w:val="left" w:pos="1276" w:leader="none"/>
        </w:tabs>
        <w:spacing w:before="0" w:after="0"/>
        <w:ind w:firstLine="567" w:left="0"/>
        <w:contextualSpacing/>
        <w:jc w:val="both"/>
        <w:rPr>
          <w:sz w:val="22"/>
          <w:szCs w:val="22"/>
        </w:rPr>
      </w:pPr>
      <w:r>
        <w:rPr>
          <w:sz w:val="22"/>
          <w:szCs w:val="22"/>
        </w:rPr>
        <w:t>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 если иное не предусмотрено законодательством Российской Федерации.</w:t>
      </w:r>
    </w:p>
    <w:p>
      <w:pPr>
        <w:pStyle w:val="Normal"/>
        <w:widowControl w:val="false"/>
        <w:numPr>
          <w:ilvl w:val="1"/>
          <w:numId w:val="16"/>
        </w:numPr>
        <w:shd w:val="clear" w:color="auto" w:fill="FFFFFF"/>
        <w:tabs>
          <w:tab w:val="clear" w:pos="720"/>
          <w:tab w:val="left" w:pos="1276" w:leader="none"/>
        </w:tabs>
        <w:spacing w:before="0" w:after="0"/>
        <w:ind w:firstLine="567" w:left="0"/>
        <w:contextualSpacing/>
        <w:jc w:val="both"/>
        <w:rPr>
          <w:sz w:val="22"/>
          <w:szCs w:val="22"/>
        </w:rPr>
      </w:pPr>
      <w:r>
        <w:rPr>
          <w:sz w:val="22"/>
          <w:szCs w:val="22"/>
        </w:rPr>
        <w:t>В случае нарушения Покупателем сроков оплаты поставленной Продукции Поставщик вправе потребовать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При этом такая неустойка является единственным возмещением объективно оцененных Сторонами возможных убытков Поставщика (исключительная неустойка).</w:t>
      </w:r>
    </w:p>
    <w:p>
      <w:pPr>
        <w:pStyle w:val="ListParagraph"/>
        <w:numPr>
          <w:ilvl w:val="1"/>
          <w:numId w:val="16"/>
        </w:numPr>
        <w:shd w:val="clear" w:color="auto" w:fill="FFFFFF"/>
        <w:tabs>
          <w:tab w:val="clear" w:pos="720"/>
          <w:tab w:val="left" w:pos="1276" w:leader="none"/>
        </w:tabs>
        <w:ind w:firstLine="567" w:left="0"/>
        <w:jc w:val="both"/>
        <w:rPr>
          <w:sz w:val="22"/>
          <w:szCs w:val="22"/>
        </w:rPr>
      </w:pPr>
      <w:r>
        <w:rPr>
          <w:sz w:val="22"/>
          <w:szCs w:val="22"/>
        </w:rPr>
        <w:t>В          случае нарушения Поставщиком обязательств по поставке Продукции (нарушение срока поставки, недопоставка), а также несвоевременного устранения выявленных недостатков Продукции, Покупатель вправе потребовать уплаты Поставщиком:</w:t>
      </w:r>
    </w:p>
    <w:p>
      <w:pPr>
        <w:pStyle w:val="ListParagraph"/>
        <w:numPr>
          <w:ilvl w:val="0"/>
          <w:numId w:val="0"/>
        </w:numPr>
        <w:shd w:val="clear" w:color="auto" w:fill="FFFFFF"/>
        <w:tabs>
          <w:tab w:val="clear" w:pos="720"/>
          <w:tab w:val="left" w:pos="1276" w:leader="none"/>
        </w:tabs>
        <w:ind w:hanging="0" w:left="0"/>
        <w:jc w:val="both"/>
        <w:rPr>
          <w:sz w:val="22"/>
          <w:szCs w:val="22"/>
        </w:rPr>
      </w:pPr>
      <w:r>
        <w:rPr>
          <w:sz w:val="22"/>
          <w:szCs w:val="22"/>
        </w:rPr>
        <w:t>–</w:t>
      </w:r>
      <w:r>
        <w:rPr>
          <w:sz w:val="22"/>
          <w:szCs w:val="22"/>
        </w:rPr>
        <w:tab/>
        <w:t>неустойки в размере 0,1 (ноль целых и одна десятая) процента от цены Договора за каждый день просрочки поставки Продукции;</w:t>
      </w:r>
    </w:p>
    <w:p>
      <w:pPr>
        <w:pStyle w:val="ListParagraph"/>
        <w:numPr>
          <w:ilvl w:val="0"/>
          <w:numId w:val="0"/>
        </w:numPr>
        <w:shd w:val="clear" w:color="auto" w:fill="FFFFFF"/>
        <w:tabs>
          <w:tab w:val="clear" w:pos="720"/>
          <w:tab w:val="left" w:pos="1276" w:leader="none"/>
        </w:tabs>
        <w:ind w:hanging="0" w:left="0"/>
        <w:jc w:val="both"/>
        <w:rPr>
          <w:sz w:val="22"/>
          <w:szCs w:val="22"/>
        </w:rPr>
      </w:pPr>
      <w:r>
        <w:rPr>
          <w:sz w:val="22"/>
          <w:szCs w:val="22"/>
        </w:rPr>
        <w:t>–</w:t>
      </w:r>
      <w:r>
        <w:rPr>
          <w:sz w:val="22"/>
          <w:szCs w:val="22"/>
        </w:rPr>
        <w:tab/>
        <w:t xml:space="preserve">неустойки в размере 0,1 (ноль целых и одна десятая) процента от цены Договора за каждый день просрочки – в случае несвоевременного устранения недостатков, влияющих на возможность эксплуатации (использования) Продукции; </w:t>
      </w:r>
    </w:p>
    <w:p>
      <w:pPr>
        <w:pStyle w:val="ListParagraph"/>
        <w:numPr>
          <w:ilvl w:val="0"/>
          <w:numId w:val="0"/>
        </w:numPr>
        <w:shd w:val="clear" w:color="auto" w:fill="FFFFFF"/>
        <w:tabs>
          <w:tab w:val="clear" w:pos="720"/>
          <w:tab w:val="left" w:pos="1276" w:leader="none"/>
        </w:tabs>
        <w:ind w:hanging="0" w:left="0"/>
        <w:jc w:val="both"/>
        <w:rPr>
          <w:sz w:val="22"/>
          <w:szCs w:val="22"/>
        </w:rPr>
      </w:pPr>
      <w:r>
        <w:rPr>
          <w:sz w:val="22"/>
          <w:szCs w:val="22"/>
        </w:rPr>
        <w:t>–</w:t>
      </w:r>
      <w:r>
        <w:rPr>
          <w:sz w:val="22"/>
          <w:szCs w:val="22"/>
        </w:rPr>
        <w:tab/>
        <w:t>неустойки в размере 0,1 (ноль целых и одна десятая) процента от стоимости некачественной Продукции за каждый день просрочки – в случае несвоевременного устранения недостатков, не влияющих на возможность эксплуатации (использования) Продукции. Уплата неустойки не лишает Покупателя права требовать от Поставщика уплаты процентов за пользование чужими денежными средствами в отношении предварительной оплаты (аванса), а также компенсации убытков.</w:t>
      </w:r>
    </w:p>
    <w:p>
      <w:pPr>
        <w:pStyle w:val="ListParagraph"/>
        <w:numPr>
          <w:ilvl w:val="1"/>
          <w:numId w:val="16"/>
        </w:numPr>
        <w:shd w:val="clear" w:color="auto" w:fill="FFFFFF"/>
        <w:tabs>
          <w:tab w:val="clear" w:pos="720"/>
          <w:tab w:val="left" w:pos="993" w:leader="none"/>
        </w:tabs>
        <w:ind w:firstLine="567" w:left="0"/>
        <w:jc w:val="both"/>
        <w:rPr>
          <w:sz w:val="22"/>
          <w:szCs w:val="22"/>
        </w:rPr>
      </w:pPr>
      <w:r>
        <w:rPr>
          <w:sz w:val="22"/>
          <w:szCs w:val="22"/>
        </w:rPr>
        <w:t>На сумму подлежащего возврату аванса начисляется штрафная неустойка в размере 0,1 (ноль целых и одна десятая) процента с даты, установленной для возврата аванса.</w:t>
      </w:r>
    </w:p>
    <w:p>
      <w:pPr>
        <w:pStyle w:val="ListParagraph"/>
        <w:numPr>
          <w:ilvl w:val="1"/>
          <w:numId w:val="16"/>
        </w:numPr>
        <w:shd w:val="clear" w:color="auto" w:fill="FFFFFF"/>
        <w:ind w:firstLine="567" w:left="0"/>
        <w:jc w:val="both"/>
        <w:rPr>
          <w:sz w:val="22"/>
          <w:szCs w:val="22"/>
        </w:rPr>
      </w:pPr>
      <w:r>
        <w:rPr>
          <w:sz w:val="22"/>
          <w:szCs w:val="22"/>
        </w:rPr>
        <w:t>Предусмотренная Договором неустойка является штрафной. Убытки подлежат возмещению в полной сумме сверх неустойки.</w:t>
      </w:r>
    </w:p>
    <w:p>
      <w:pPr>
        <w:pStyle w:val="Normal"/>
        <w:widowControl w:val="false"/>
        <w:numPr>
          <w:ilvl w:val="1"/>
          <w:numId w:val="16"/>
        </w:numPr>
        <w:shd w:val="clear" w:color="auto" w:fill="FFFFFF"/>
        <w:tabs>
          <w:tab w:val="clear" w:pos="720"/>
          <w:tab w:val="left" w:pos="567" w:leader="none"/>
        </w:tabs>
        <w:spacing w:before="0" w:after="0"/>
        <w:ind w:firstLine="560" w:left="0"/>
        <w:contextualSpacing/>
        <w:jc w:val="both"/>
        <w:rPr>
          <w:sz w:val="22"/>
          <w:szCs w:val="22"/>
        </w:rPr>
      </w:pPr>
      <w:r>
        <w:rPr>
          <w:sz w:val="22"/>
          <w:szCs w:val="22"/>
        </w:rPr>
        <w:t>В случае нарушения Поставщиком обязательств по поставке Продукции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pPr>
        <w:pStyle w:val="Normal"/>
        <w:widowControl w:val="false"/>
        <w:numPr>
          <w:ilvl w:val="1"/>
          <w:numId w:val="16"/>
        </w:numPr>
        <w:shd w:val="clear" w:color="auto" w:fill="FFFFFF"/>
        <w:tabs>
          <w:tab w:val="clear" w:pos="720"/>
          <w:tab w:val="left" w:pos="851" w:leader="none"/>
        </w:tabs>
        <w:spacing w:before="0" w:after="0"/>
        <w:ind w:firstLine="567" w:left="0"/>
        <w:contextualSpacing/>
        <w:jc w:val="both"/>
        <w:rPr>
          <w:sz w:val="22"/>
          <w:szCs w:val="22"/>
        </w:rPr>
      </w:pPr>
      <w:r>
        <w:rPr>
          <w:sz w:val="22"/>
          <w:szCs w:val="22"/>
        </w:rPr>
        <w:t>В случае, если в результате составления и выставления Поставщиком счетов-фактур/УПД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срока замены счета-фактуры/УПД, предусмотренного Договором, Покупатель имеет право требовать от Поставщика уплаты штрафа в размере 50 000 (Пятидесяти тысяч) рублей за каждый случай нарушения.</w:t>
      </w:r>
    </w:p>
    <w:p>
      <w:pPr>
        <w:pStyle w:val="Normal"/>
        <w:widowControl w:val="false"/>
        <w:numPr>
          <w:ilvl w:val="1"/>
          <w:numId w:val="16"/>
        </w:numPr>
        <w:shd w:val="clear" w:color="auto" w:fill="FFFFFF"/>
        <w:tabs>
          <w:tab w:val="clear" w:pos="720"/>
          <w:tab w:val="left" w:pos="1276" w:leader="none"/>
        </w:tabs>
        <w:spacing w:before="0" w:after="0"/>
        <w:ind w:firstLine="567" w:left="0"/>
        <w:contextualSpacing/>
        <w:jc w:val="both"/>
        <w:rPr>
          <w:sz w:val="22"/>
          <w:szCs w:val="22"/>
        </w:rPr>
      </w:pPr>
      <w:r>
        <w:rPr>
          <w:sz w:val="22"/>
          <w:szCs w:val="22"/>
        </w:rPr>
        <w:t xml:space="preserve">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pPr>
        <w:pStyle w:val="Normal"/>
        <w:widowControl w:val="false"/>
        <w:numPr>
          <w:ilvl w:val="1"/>
          <w:numId w:val="16"/>
        </w:numPr>
        <w:shd w:val="clear" w:color="auto" w:fill="FFFFFF"/>
        <w:tabs>
          <w:tab w:val="clear" w:pos="720"/>
          <w:tab w:val="left" w:pos="1276" w:leader="none"/>
        </w:tabs>
        <w:spacing w:before="0" w:after="0"/>
        <w:ind w:firstLine="567" w:left="0"/>
        <w:contextualSpacing/>
        <w:jc w:val="both"/>
        <w:rPr>
          <w:sz w:val="22"/>
          <w:szCs w:val="22"/>
        </w:rPr>
      </w:pPr>
      <w:r>
        <w:rPr>
          <w:sz w:val="22"/>
          <w:szCs w:val="22"/>
        </w:rPr>
        <w:t xml:space="preserve">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  </w:t>
      </w:r>
    </w:p>
    <w:p>
      <w:pPr>
        <w:pStyle w:val="Normal"/>
        <w:widowControl w:val="false"/>
        <w:numPr>
          <w:ilvl w:val="1"/>
          <w:numId w:val="16"/>
        </w:numPr>
        <w:shd w:val="clear" w:color="auto" w:fill="FFFFFF"/>
        <w:spacing w:before="0" w:after="0"/>
        <w:ind w:firstLine="567" w:left="0"/>
        <w:contextualSpacing/>
        <w:jc w:val="both"/>
        <w:rPr>
          <w:sz w:val="22"/>
          <w:szCs w:val="22"/>
        </w:rPr>
      </w:pPr>
      <w:r>
        <w:rPr>
          <w:sz w:val="22"/>
          <w:szCs w:val="22"/>
        </w:rPr>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pPr>
        <w:pStyle w:val="Normal"/>
        <w:widowControl w:val="false"/>
        <w:numPr>
          <w:ilvl w:val="1"/>
          <w:numId w:val="16"/>
        </w:numPr>
        <w:shd w:val="clear" w:color="auto" w:fill="FFFFFF"/>
        <w:spacing w:before="0" w:after="0"/>
        <w:ind w:firstLine="567" w:left="0"/>
        <w:contextualSpacing/>
        <w:jc w:val="both"/>
        <w:rPr>
          <w:sz w:val="22"/>
          <w:szCs w:val="22"/>
        </w:rPr>
      </w:pPr>
      <w:r>
        <w:rPr>
          <w:sz w:val="22"/>
          <w:szCs w:val="22"/>
        </w:rPr>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pPr>
        <w:pStyle w:val="ListParagraph"/>
        <w:widowControl/>
        <w:numPr>
          <w:ilvl w:val="1"/>
          <w:numId w:val="16"/>
        </w:numPr>
        <w:shd w:val="clear" w:color="auto" w:fill="FFFFFF"/>
        <w:tabs>
          <w:tab w:val="clear" w:pos="720"/>
          <w:tab w:val="left" w:pos="1134" w:leader="none"/>
        </w:tabs>
        <w:ind w:firstLine="567" w:left="0"/>
        <w:jc w:val="both"/>
        <w:rPr>
          <w:bCs/>
          <w:color w:val="000000"/>
          <w:sz w:val="22"/>
          <w:szCs w:val="22"/>
        </w:rPr>
      </w:pPr>
      <w:r>
        <w:rPr>
          <w:color w:val="000000"/>
          <w:sz w:val="22"/>
          <w:szCs w:val="22"/>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2"/>
          <w:szCs w:val="22"/>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tabs>
          <w:tab w:val="clear" w:pos="720"/>
          <w:tab w:val="left" w:pos="1134" w:leader="none"/>
        </w:tabs>
        <w:spacing w:before="0" w:after="0"/>
        <w:ind w:firstLine="567"/>
        <w:contextualSpacing/>
        <w:jc w:val="both"/>
        <w:rPr>
          <w:bCs/>
          <w:color w:val="000000"/>
          <w:sz w:val="22"/>
          <w:szCs w:val="22"/>
        </w:rPr>
      </w:pPr>
      <w:r>
        <w:rPr>
          <w:bCs/>
          <w:color w:val="000000"/>
          <w:sz w:val="22"/>
          <w:szCs w:val="22"/>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clear" w:pos="720"/>
          <w:tab w:val="left" w:pos="1134" w:leader="none"/>
        </w:tabs>
        <w:spacing w:before="0" w:after="0"/>
        <w:ind w:firstLine="567"/>
        <w:contextualSpacing/>
        <w:jc w:val="both"/>
        <w:rPr>
          <w:bCs/>
          <w:color w:val="000000"/>
          <w:sz w:val="22"/>
          <w:szCs w:val="22"/>
        </w:rPr>
      </w:pPr>
      <w:r>
        <w:rPr>
          <w:bCs/>
          <w:color w:val="000000"/>
          <w:sz w:val="22"/>
          <w:szCs w:val="22"/>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clear" w:pos="720"/>
          <w:tab w:val="left" w:pos="1134" w:leader="none"/>
        </w:tabs>
        <w:spacing w:before="0" w:after="0"/>
        <w:ind w:firstLine="567"/>
        <w:contextualSpacing/>
        <w:jc w:val="both"/>
        <w:rPr>
          <w:bCs/>
          <w:color w:val="000000"/>
          <w:sz w:val="22"/>
          <w:szCs w:val="22"/>
        </w:rPr>
      </w:pPr>
      <w:r>
        <w:rPr>
          <w:bCs/>
          <w:color w:val="000000"/>
          <w:sz w:val="22"/>
          <w:szCs w:val="22"/>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tabs>
          <w:tab w:val="clear" w:pos="720"/>
          <w:tab w:val="left" w:pos="1134" w:leader="none"/>
        </w:tabs>
        <w:spacing w:before="0" w:after="0"/>
        <w:ind w:firstLine="567"/>
        <w:contextualSpacing/>
        <w:jc w:val="both"/>
        <w:rPr>
          <w:bCs/>
          <w:color w:val="000000"/>
          <w:sz w:val="22"/>
          <w:szCs w:val="22"/>
        </w:rPr>
      </w:pPr>
      <w:r>
        <w:rPr>
          <w:bCs/>
          <w:color w:val="000000"/>
          <w:sz w:val="22"/>
          <w:szCs w:val="22"/>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clear" w:pos="720"/>
          <w:tab w:val="left" w:pos="1134" w:leader="none"/>
        </w:tabs>
        <w:spacing w:before="0" w:after="0"/>
        <w:ind w:firstLine="567"/>
        <w:contextualSpacing/>
        <w:jc w:val="both"/>
        <w:rPr>
          <w:bCs/>
          <w:color w:val="000000"/>
          <w:sz w:val="22"/>
          <w:szCs w:val="22"/>
        </w:rPr>
      </w:pPr>
      <w:r>
        <w:rPr>
          <w:bCs/>
          <w:color w:val="000000"/>
          <w:sz w:val="22"/>
          <w:szCs w:val="22"/>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clear" w:pos="720"/>
          <w:tab w:val="left" w:pos="567" w:leader="none"/>
          <w:tab w:val="left" w:pos="1134" w:leader="none"/>
        </w:tabs>
        <w:spacing w:before="0" w:after="0"/>
        <w:ind w:firstLine="567"/>
        <w:contextualSpacing/>
        <w:jc w:val="both"/>
        <w:rPr>
          <w:color w:val="000000"/>
          <w:sz w:val="22"/>
          <w:szCs w:val="22"/>
        </w:rPr>
      </w:pPr>
      <w:r>
        <w:rPr>
          <w:color w:val="000000"/>
          <w:sz w:val="22"/>
          <w:szCs w:val="22"/>
        </w:rPr>
        <w:t xml:space="preserve">Каналы связи Линия доверия Группы РусГидро: </w:t>
      </w:r>
    </w:p>
    <w:p>
      <w:pPr>
        <w:pStyle w:val="ListParagraph"/>
        <w:shd w:val="clear" w:color="auto" w:fill="FFFFFF"/>
        <w:tabs>
          <w:tab w:val="clear" w:pos="720"/>
          <w:tab w:val="left" w:pos="567" w:leader="none"/>
          <w:tab w:val="left" w:pos="1134" w:leader="none"/>
        </w:tabs>
        <w:ind w:firstLine="567" w:left="0"/>
        <w:jc w:val="both"/>
        <w:rPr>
          <w:sz w:val="22"/>
          <w:szCs w:val="22"/>
        </w:rPr>
      </w:pPr>
      <w:r>
        <w:rPr>
          <w:sz w:val="22"/>
          <w:szCs w:val="22"/>
        </w:rPr>
        <w:t>-Электронная почта: ld@rushydro.ru.</w:t>
      </w:r>
    </w:p>
    <w:p>
      <w:pPr>
        <w:pStyle w:val="ListParagraph"/>
        <w:shd w:val="clear" w:color="auto" w:fill="FFFFFF"/>
        <w:tabs>
          <w:tab w:val="clear" w:pos="720"/>
          <w:tab w:val="left" w:pos="567" w:leader="none"/>
          <w:tab w:val="left" w:pos="1134" w:leader="none"/>
        </w:tabs>
        <w:ind w:firstLine="567" w:left="0"/>
        <w:jc w:val="both"/>
        <w:rPr>
          <w:sz w:val="22"/>
          <w:szCs w:val="22"/>
        </w:rPr>
      </w:pPr>
      <w:r>
        <w:rPr>
          <w:sz w:val="22"/>
          <w:szCs w:val="22"/>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Normal"/>
        <w:widowControl w:val="false"/>
        <w:shd w:val="clear" w:color="auto" w:fill="FFFFFF"/>
        <w:tabs>
          <w:tab w:val="clear" w:pos="720"/>
          <w:tab w:val="left" w:pos="2276" w:leader="none"/>
          <w:tab w:val="left" w:pos="5321" w:leader="none"/>
        </w:tabs>
        <w:spacing w:before="0" w:after="0"/>
        <w:ind w:firstLine="567"/>
        <w:contextualSpacing/>
        <w:jc w:val="both"/>
        <w:rPr>
          <w:sz w:val="22"/>
          <w:szCs w:val="22"/>
        </w:rPr>
      </w:pPr>
      <w:r>
        <w:rPr>
          <w:sz w:val="22"/>
          <w:szCs w:val="22"/>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numPr>
          <w:ilvl w:val="1"/>
          <w:numId w:val="16"/>
        </w:numPr>
        <w:tabs>
          <w:tab w:val="clear" w:pos="720"/>
          <w:tab w:val="left" w:pos="1276" w:leader="none"/>
        </w:tabs>
        <w:ind w:firstLine="567" w:left="0"/>
        <w:jc w:val="both"/>
        <w:rPr>
          <w:bCs/>
          <w:sz w:val="22"/>
          <w:szCs w:val="22"/>
        </w:rPr>
      </w:pPr>
      <w:r>
        <w:rPr>
          <w:bCs/>
          <w:sz w:val="22"/>
          <w:szCs w:val="22"/>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pPr>
        <w:pStyle w:val="Normal"/>
        <w:widowControl w:val="false"/>
        <w:shd w:val="clear" w:color="auto" w:fill="FFFFFF"/>
        <w:tabs>
          <w:tab w:val="clear" w:pos="720"/>
          <w:tab w:val="left" w:pos="2276" w:leader="none"/>
          <w:tab w:val="left" w:pos="5321" w:leader="none"/>
        </w:tabs>
        <w:spacing w:before="0" w:after="0"/>
        <w:ind w:firstLine="567"/>
        <w:contextualSpacing/>
        <w:jc w:val="both"/>
        <w:rPr>
          <w:bCs/>
          <w:sz w:val="22"/>
          <w:szCs w:val="22"/>
        </w:rPr>
      </w:pPr>
      <w:r>
        <w:rPr>
          <w:bCs/>
          <w:sz w:val="22"/>
          <w:szCs w:val="22"/>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rPr>
          <w:sz w:val="22"/>
          <w:szCs w:val="22"/>
        </w:rPr>
        <w:t xml:space="preserve"> </w:t>
      </w:r>
      <w:r>
        <w:rPr>
          <w:bCs/>
          <w:sz w:val="22"/>
          <w:szCs w:val="22"/>
        </w:rPr>
        <w:t>сумма неустойки, подлежащая уплате виновной Стороной, определяется на основании решения суда.</w:t>
      </w:r>
    </w:p>
    <w:p>
      <w:pPr>
        <w:pStyle w:val="Normal"/>
        <w:widowControl w:val="false"/>
        <w:shd w:val="clear" w:color="auto" w:fill="FFFFFF"/>
        <w:tabs>
          <w:tab w:val="clear" w:pos="720"/>
          <w:tab w:val="left" w:pos="2276" w:leader="none"/>
          <w:tab w:val="left" w:pos="5321" w:leader="none"/>
        </w:tabs>
        <w:spacing w:before="0" w:after="0"/>
        <w:ind w:firstLine="567"/>
        <w:contextualSpacing/>
        <w:jc w:val="both"/>
        <w:rPr>
          <w:sz w:val="22"/>
          <w:szCs w:val="22"/>
        </w:rPr>
      </w:pPr>
      <w:r>
        <w:rPr>
          <w:sz w:val="22"/>
          <w:szCs w:val="22"/>
        </w:rPr>
      </w:r>
    </w:p>
    <w:p>
      <w:pPr>
        <w:pStyle w:val="Normal"/>
        <w:widowControl w:val="false"/>
        <w:numPr>
          <w:ilvl w:val="0"/>
          <w:numId w:val="16"/>
        </w:numPr>
        <w:shd w:val="clear" w:color="auto" w:fill="FFFFFF"/>
        <w:tabs>
          <w:tab w:val="clear" w:pos="720"/>
          <w:tab w:val="left" w:pos="1276" w:leader="none"/>
          <w:tab w:val="left" w:pos="5321" w:leader="none"/>
        </w:tabs>
        <w:spacing w:before="0" w:after="0"/>
        <w:ind w:hanging="0" w:left="0"/>
        <w:contextualSpacing/>
        <w:jc w:val="center"/>
        <w:rPr>
          <w:b/>
          <w:bCs/>
          <w:sz w:val="22"/>
          <w:szCs w:val="22"/>
        </w:rPr>
      </w:pPr>
      <w:r>
        <w:rPr>
          <w:b/>
          <w:bCs/>
          <w:sz w:val="22"/>
          <w:szCs w:val="22"/>
        </w:rPr>
        <w:t>Особые положения</w:t>
      </w:r>
    </w:p>
    <w:p>
      <w:pPr>
        <w:pStyle w:val="Normal"/>
        <w:widowControl w:val="false"/>
        <w:shd w:val="clear" w:color="auto" w:fill="FFFFFF"/>
        <w:tabs>
          <w:tab w:val="clear" w:pos="720"/>
          <w:tab w:val="left" w:pos="1276" w:leader="none"/>
          <w:tab w:val="left" w:pos="5321" w:leader="none"/>
        </w:tabs>
        <w:spacing w:before="0" w:after="0"/>
        <w:contextualSpacing/>
        <w:rPr>
          <w:b/>
          <w:bCs/>
          <w:sz w:val="22"/>
          <w:szCs w:val="22"/>
        </w:rPr>
      </w:pPr>
      <w:r>
        <w:rPr>
          <w:b/>
          <w:bCs/>
          <w:sz w:val="22"/>
          <w:szCs w:val="22"/>
        </w:rPr>
      </w:r>
    </w:p>
    <w:p>
      <w:pPr>
        <w:pStyle w:val="Normal"/>
        <w:widowControl w:val="false"/>
        <w:numPr>
          <w:ilvl w:val="1"/>
          <w:numId w:val="16"/>
        </w:numPr>
        <w:shd w:val="clear" w:color="auto" w:fill="FFFFFF"/>
        <w:tabs>
          <w:tab w:val="clear" w:pos="720"/>
          <w:tab w:val="left" w:pos="993" w:leader="none"/>
        </w:tabs>
        <w:spacing w:before="0" w:after="0"/>
        <w:ind w:firstLine="567" w:left="0"/>
        <w:contextualSpacing/>
        <w:jc w:val="both"/>
        <w:rPr>
          <w:sz w:val="22"/>
          <w:szCs w:val="22"/>
        </w:rPr>
      </w:pPr>
      <w:r>
        <w:rPr>
          <w:sz w:val="22"/>
          <w:szCs w:val="22"/>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sz w:val="22"/>
            <w:szCs w:val="22"/>
          </w:rPr>
          <w:t>№ 18162/09</w:t>
        </w:r>
      </w:hyperlink>
      <w:r>
        <w:rPr>
          <w:sz w:val="22"/>
          <w:szCs w:val="22"/>
        </w:rPr>
        <w:t xml:space="preserve"> и от 25.05.2010 </w:t>
      </w:r>
      <w:hyperlink r:id="rId3">
        <w:r>
          <w:rPr>
            <w:sz w:val="22"/>
            <w:szCs w:val="22"/>
          </w:rPr>
          <w:t>№ 15658/09</w:t>
        </w:r>
      </w:hyperlink>
      <w:r>
        <w:rPr>
          <w:sz w:val="22"/>
          <w:szCs w:val="22"/>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4">
        <w:r>
          <w:rPr>
            <w:sz w:val="22"/>
            <w:szCs w:val="22"/>
          </w:rPr>
          <w:t>Критери</w:t>
        </w:r>
      </w:hyperlink>
      <w:r>
        <w:rPr>
          <w:sz w:val="22"/>
          <w:szCs w:val="22"/>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pPr>
        <w:pStyle w:val="Normal"/>
        <w:widowControl w:val="false"/>
        <w:numPr>
          <w:ilvl w:val="1"/>
          <w:numId w:val="16"/>
        </w:numPr>
        <w:shd w:val="clear" w:color="auto" w:fill="FFFFFF"/>
        <w:tabs>
          <w:tab w:val="clear" w:pos="720"/>
          <w:tab w:val="left" w:pos="993" w:leader="none"/>
        </w:tabs>
        <w:spacing w:before="0" w:after="0"/>
        <w:ind w:firstLine="567" w:left="0"/>
        <w:contextualSpacing/>
        <w:jc w:val="both"/>
        <w:rPr>
          <w:sz w:val="22"/>
          <w:szCs w:val="22"/>
        </w:rPr>
      </w:pPr>
      <w:r>
        <w:rPr>
          <w:sz w:val="22"/>
          <w:szCs w:val="22"/>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pPr>
        <w:pStyle w:val="Normal"/>
        <w:widowControl w:val="false"/>
        <w:numPr>
          <w:ilvl w:val="1"/>
          <w:numId w:val="16"/>
        </w:numPr>
        <w:shd w:val="clear" w:color="auto" w:fill="FFFFFF"/>
        <w:tabs>
          <w:tab w:val="clear" w:pos="720"/>
          <w:tab w:val="left" w:pos="993" w:leader="none"/>
        </w:tabs>
        <w:spacing w:before="0" w:after="0"/>
        <w:ind w:firstLine="567" w:left="0"/>
        <w:contextualSpacing/>
        <w:jc w:val="both"/>
        <w:rPr>
          <w:sz w:val="22"/>
          <w:szCs w:val="22"/>
        </w:rPr>
      </w:pPr>
      <w:r>
        <w:rPr>
          <w:sz w:val="22"/>
          <w:szCs w:val="22"/>
        </w:rPr>
        <w:t>В случае нарушения Поставщиком обязательств, установленных в п. 7.1, 7.2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w:t>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pPr>
        <w:pStyle w:val="Normal"/>
        <w:widowControl w:val="false"/>
        <w:numPr>
          <w:ilvl w:val="1"/>
          <w:numId w:val="16"/>
        </w:numPr>
        <w:shd w:val="clear" w:color="auto" w:fill="FFFFFF"/>
        <w:tabs>
          <w:tab w:val="clear" w:pos="720"/>
          <w:tab w:val="left" w:pos="993" w:leader="none"/>
        </w:tabs>
        <w:spacing w:before="0" w:after="0"/>
        <w:ind w:firstLine="567" w:left="0"/>
        <w:contextualSpacing/>
        <w:jc w:val="both"/>
        <w:rPr>
          <w:sz w:val="22"/>
          <w:szCs w:val="22"/>
        </w:rPr>
      </w:pPr>
      <w:r>
        <w:rPr>
          <w:sz w:val="22"/>
          <w:szCs w:val="22"/>
        </w:rPr>
        <w:t>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п. 7.1, 7.2 Договора, сверх суммы штрафа.</w:t>
      </w:r>
    </w:p>
    <w:p>
      <w:pPr>
        <w:pStyle w:val="Normal"/>
        <w:widowControl w:val="false"/>
        <w:numPr>
          <w:ilvl w:val="1"/>
          <w:numId w:val="16"/>
        </w:numPr>
        <w:shd w:val="clear" w:color="auto" w:fill="FFFFFF"/>
        <w:tabs>
          <w:tab w:val="clear" w:pos="720"/>
          <w:tab w:val="left" w:pos="993" w:leader="none"/>
        </w:tabs>
        <w:spacing w:before="0" w:after="0"/>
        <w:ind w:firstLine="567" w:left="0"/>
        <w:contextualSpacing/>
        <w:jc w:val="both"/>
        <w:rPr>
          <w:sz w:val="22"/>
          <w:szCs w:val="22"/>
        </w:rPr>
      </w:pPr>
      <w:r>
        <w:rPr>
          <w:sz w:val="22"/>
          <w:szCs w:val="22"/>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pPr>
        <w:pStyle w:val="Normal"/>
        <w:widowControl w:val="false"/>
        <w:numPr>
          <w:ilvl w:val="1"/>
          <w:numId w:val="16"/>
        </w:numPr>
        <w:shd w:val="clear" w:color="auto" w:fill="FFFFFF"/>
        <w:tabs>
          <w:tab w:val="clear" w:pos="720"/>
          <w:tab w:val="left" w:pos="993" w:leader="none"/>
        </w:tabs>
        <w:spacing w:before="0" w:after="0"/>
        <w:ind w:firstLine="567" w:left="0"/>
        <w:contextualSpacing/>
        <w:jc w:val="both"/>
        <w:rPr>
          <w:sz w:val="22"/>
          <w:szCs w:val="22"/>
        </w:rPr>
      </w:pPr>
      <w:r>
        <w:rPr>
          <w:sz w:val="22"/>
          <w:szCs w:val="22"/>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pPr>
        <w:pStyle w:val="Normal"/>
        <w:widowControl w:val="false"/>
        <w:shd w:val="clear" w:color="auto" w:fill="FFFFFF"/>
        <w:tabs>
          <w:tab w:val="clear" w:pos="720"/>
          <w:tab w:val="left" w:pos="993" w:leader="none"/>
        </w:tabs>
        <w:spacing w:before="0" w:after="0"/>
        <w:ind w:firstLine="567"/>
        <w:contextualSpacing/>
        <w:jc w:val="both"/>
        <w:rPr>
          <w:sz w:val="22"/>
          <w:szCs w:val="22"/>
        </w:rPr>
      </w:pPr>
      <w:r>
        <w:rPr>
          <w:sz w:val="22"/>
          <w:szCs w:val="22"/>
        </w:rPr>
        <w:t>Независимо от других положений Договора, обязательства Поставщика по п. 7.3-7.5 Договора продолжают действовать в течение 4 (четырех) лет после окончания срока действия Договора.</w:t>
      </w:r>
    </w:p>
    <w:p>
      <w:pPr>
        <w:pStyle w:val="Normal"/>
        <w:widowControl w:val="false"/>
        <w:shd w:val="clear" w:color="auto" w:fill="FFFFFF"/>
        <w:tabs>
          <w:tab w:val="clear" w:pos="720"/>
          <w:tab w:val="left" w:pos="993" w:leader="none"/>
        </w:tabs>
        <w:spacing w:before="0" w:after="0"/>
        <w:ind w:firstLine="567"/>
        <w:contextualSpacing/>
        <w:jc w:val="both"/>
        <w:rPr>
          <w:sz w:val="22"/>
          <w:szCs w:val="22"/>
        </w:rPr>
      </w:pPr>
      <w:r>
        <w:rPr>
          <w:sz w:val="22"/>
          <w:szCs w:val="22"/>
        </w:rPr>
        <w:t xml:space="preserve"> </w:t>
      </w:r>
    </w:p>
    <w:p>
      <w:pPr>
        <w:pStyle w:val="ListParagraph"/>
        <w:numPr>
          <w:ilvl w:val="0"/>
          <w:numId w:val="16"/>
        </w:numPr>
        <w:shd w:val="clear" w:color="auto" w:fill="FFFFFF"/>
        <w:tabs>
          <w:tab w:val="clear" w:pos="720"/>
          <w:tab w:val="left" w:pos="1276" w:leader="none"/>
        </w:tabs>
        <w:jc w:val="center"/>
        <w:rPr>
          <w:b/>
          <w:bCs/>
          <w:sz w:val="22"/>
          <w:szCs w:val="22"/>
        </w:rPr>
      </w:pPr>
      <w:r>
        <w:rPr>
          <w:b/>
          <w:sz w:val="22"/>
          <w:szCs w:val="22"/>
        </w:rPr>
        <w:t>Форс</w:t>
      </w:r>
      <w:r>
        <w:rPr>
          <w:b/>
          <w:bCs/>
          <w:sz w:val="22"/>
          <w:szCs w:val="22"/>
        </w:rPr>
        <w:t>-мажор</w:t>
      </w:r>
    </w:p>
    <w:p>
      <w:pPr>
        <w:pStyle w:val="ListParagraph"/>
        <w:shd w:val="clear" w:color="auto" w:fill="FFFFFF"/>
        <w:tabs>
          <w:tab w:val="clear" w:pos="720"/>
          <w:tab w:val="left" w:pos="1276" w:leader="none"/>
        </w:tabs>
        <w:ind w:hanging="0" w:left="360"/>
        <w:rPr>
          <w:b/>
          <w:bCs/>
          <w:sz w:val="22"/>
          <w:szCs w:val="22"/>
        </w:rPr>
      </w:pPr>
      <w:r>
        <w:rPr>
          <w:b/>
          <w:bCs/>
          <w:sz w:val="22"/>
          <w:szCs w:val="22"/>
        </w:rPr>
      </w:r>
    </w:p>
    <w:p>
      <w:pPr>
        <w:pStyle w:val="Normal"/>
        <w:widowControl w:val="false"/>
        <w:numPr>
          <w:ilvl w:val="1"/>
          <w:numId w:val="16"/>
        </w:numPr>
        <w:shd w:val="clear" w:color="auto" w:fill="FFFFFF"/>
        <w:tabs>
          <w:tab w:val="clear" w:pos="720"/>
          <w:tab w:val="left" w:pos="1425" w:leader="none"/>
        </w:tabs>
        <w:spacing w:before="0" w:after="0"/>
        <w:ind w:firstLine="567" w:left="0"/>
        <w:contextualSpacing/>
        <w:jc w:val="both"/>
        <w:rPr>
          <w:sz w:val="22"/>
          <w:szCs w:val="22"/>
        </w:rPr>
      </w:pPr>
      <w:r>
        <w:rPr>
          <w:sz w:val="22"/>
          <w:szCs w:val="22"/>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pPr>
        <w:pStyle w:val="Normal"/>
        <w:widowControl w:val="false"/>
        <w:numPr>
          <w:ilvl w:val="1"/>
          <w:numId w:val="16"/>
        </w:numPr>
        <w:shd w:val="clear" w:color="auto" w:fill="FFFFFF"/>
        <w:tabs>
          <w:tab w:val="clear" w:pos="720"/>
          <w:tab w:val="left" w:pos="1425" w:leader="none"/>
        </w:tabs>
        <w:spacing w:before="0" w:after="0"/>
        <w:ind w:firstLine="567" w:left="0"/>
        <w:contextualSpacing/>
        <w:jc w:val="both"/>
        <w:rPr>
          <w:sz w:val="22"/>
          <w:szCs w:val="22"/>
        </w:rPr>
      </w:pPr>
      <w:r>
        <w:rPr>
          <w:sz w:val="22"/>
          <w:szCs w:val="22"/>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Normal"/>
        <w:widowControl w:val="false"/>
        <w:numPr>
          <w:ilvl w:val="1"/>
          <w:numId w:val="16"/>
        </w:numPr>
        <w:shd w:val="clear" w:color="auto" w:fill="FFFFFF"/>
        <w:tabs>
          <w:tab w:val="clear" w:pos="720"/>
          <w:tab w:val="left" w:pos="1425" w:leader="none"/>
        </w:tabs>
        <w:spacing w:before="0" w:after="0"/>
        <w:ind w:firstLine="567" w:left="0"/>
        <w:contextualSpacing/>
        <w:jc w:val="both"/>
        <w:rPr>
          <w:sz w:val="22"/>
          <w:szCs w:val="22"/>
        </w:rPr>
      </w:pPr>
      <w:r>
        <w:rPr>
          <w:sz w:val="22"/>
          <w:szCs w:val="22"/>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pPr>
        <w:pStyle w:val="Normal"/>
        <w:widowControl w:val="false"/>
        <w:numPr>
          <w:ilvl w:val="1"/>
          <w:numId w:val="16"/>
        </w:numPr>
        <w:shd w:val="clear" w:color="auto" w:fill="FFFFFF"/>
        <w:tabs>
          <w:tab w:val="clear" w:pos="720"/>
          <w:tab w:val="left" w:pos="1425" w:leader="none"/>
        </w:tabs>
        <w:spacing w:before="0" w:after="0"/>
        <w:ind w:firstLine="567" w:left="0"/>
        <w:contextualSpacing/>
        <w:jc w:val="both"/>
        <w:rPr>
          <w:sz w:val="22"/>
          <w:szCs w:val="22"/>
        </w:rPr>
      </w:pPr>
      <w:r>
        <w:rPr>
          <w:sz w:val="22"/>
          <w:szCs w:val="22"/>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pPr>
        <w:pStyle w:val="Normal"/>
        <w:widowControl w:val="false"/>
        <w:numPr>
          <w:ilvl w:val="1"/>
          <w:numId w:val="16"/>
        </w:numPr>
        <w:shd w:val="clear" w:color="auto" w:fill="FFFFFF"/>
        <w:tabs>
          <w:tab w:val="clear" w:pos="720"/>
          <w:tab w:val="left" w:pos="1425" w:leader="none"/>
        </w:tabs>
        <w:spacing w:before="0" w:after="0"/>
        <w:ind w:firstLine="567" w:left="0"/>
        <w:contextualSpacing/>
        <w:jc w:val="both"/>
        <w:rPr>
          <w:sz w:val="22"/>
          <w:szCs w:val="22"/>
        </w:rPr>
      </w:pPr>
      <w:r>
        <w:rPr>
          <w:sz w:val="22"/>
          <w:szCs w:val="22"/>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pPr>
        <w:pStyle w:val="Normal"/>
        <w:widowControl w:val="false"/>
        <w:numPr>
          <w:ilvl w:val="1"/>
          <w:numId w:val="16"/>
        </w:numPr>
        <w:shd w:val="clear" w:color="auto" w:fill="FFFFFF"/>
        <w:tabs>
          <w:tab w:val="clear" w:pos="720"/>
          <w:tab w:val="left" w:pos="1425" w:leader="none"/>
        </w:tabs>
        <w:spacing w:before="0" w:after="0"/>
        <w:ind w:firstLine="567" w:left="0"/>
        <w:contextualSpacing/>
        <w:jc w:val="both"/>
        <w:rPr>
          <w:sz w:val="22"/>
          <w:szCs w:val="22"/>
        </w:rPr>
      </w:pPr>
      <w:r>
        <w:rPr>
          <w:sz w:val="22"/>
          <w:szCs w:val="22"/>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pPr>
        <w:pStyle w:val="Normal"/>
        <w:widowControl w:val="false"/>
        <w:shd w:val="clear" w:color="auto" w:fill="FFFFFF"/>
        <w:tabs>
          <w:tab w:val="clear" w:pos="720"/>
          <w:tab w:val="left" w:pos="1425" w:leader="none"/>
          <w:tab w:val="left" w:pos="1636" w:leader="none"/>
        </w:tabs>
        <w:spacing w:before="0" w:after="0"/>
        <w:ind w:hanging="0" w:left="567"/>
        <w:contextualSpacing/>
        <w:jc w:val="both"/>
        <w:rPr>
          <w:sz w:val="22"/>
          <w:szCs w:val="22"/>
        </w:rPr>
      </w:pPr>
      <w:r>
        <w:rPr>
          <w:sz w:val="22"/>
          <w:szCs w:val="22"/>
        </w:rPr>
      </w:r>
    </w:p>
    <w:p>
      <w:pPr>
        <w:pStyle w:val="Normal"/>
        <w:widowControl w:val="false"/>
        <w:numPr>
          <w:ilvl w:val="0"/>
          <w:numId w:val="16"/>
        </w:numPr>
        <w:shd w:val="clear" w:color="auto" w:fill="FFFFFF"/>
        <w:tabs>
          <w:tab w:val="clear" w:pos="720"/>
          <w:tab w:val="left" w:pos="5321" w:leader="none"/>
        </w:tabs>
        <w:spacing w:before="0" w:after="0"/>
        <w:ind w:hanging="0" w:left="0"/>
        <w:contextualSpacing/>
        <w:jc w:val="center"/>
        <w:rPr>
          <w:b/>
          <w:bCs/>
          <w:sz w:val="22"/>
          <w:szCs w:val="22"/>
        </w:rPr>
      </w:pPr>
      <w:r>
        <w:rPr>
          <w:b/>
          <w:sz w:val="22"/>
          <w:szCs w:val="22"/>
        </w:rPr>
        <w:t>Конфиденциальность</w:t>
      </w:r>
    </w:p>
    <w:p>
      <w:pPr>
        <w:pStyle w:val="Normal"/>
        <w:widowControl w:val="false"/>
        <w:shd w:val="clear" w:color="auto" w:fill="FFFFFF"/>
        <w:tabs>
          <w:tab w:val="clear" w:pos="720"/>
          <w:tab w:val="left" w:pos="5321" w:leader="none"/>
        </w:tabs>
        <w:spacing w:before="0" w:after="0"/>
        <w:contextualSpacing/>
        <w:rPr>
          <w:b/>
          <w:bCs/>
          <w:sz w:val="22"/>
          <w:szCs w:val="22"/>
        </w:rPr>
      </w:pPr>
      <w:r>
        <w:rPr>
          <w:b/>
          <w:bCs/>
          <w:sz w:val="22"/>
          <w:szCs w:val="22"/>
        </w:rPr>
      </w:r>
    </w:p>
    <w:p>
      <w:pPr>
        <w:pStyle w:val="Normal"/>
        <w:widowControl w:val="false"/>
        <w:numPr>
          <w:ilvl w:val="1"/>
          <w:numId w:val="16"/>
        </w:numPr>
        <w:shd w:val="clear" w:color="auto" w:fill="FFFFFF"/>
        <w:tabs>
          <w:tab w:val="clear" w:pos="720"/>
          <w:tab w:val="left" w:pos="1425" w:leader="none"/>
        </w:tabs>
        <w:spacing w:before="0" w:after="0"/>
        <w:ind w:firstLine="567" w:left="0"/>
        <w:contextualSpacing/>
        <w:jc w:val="both"/>
        <w:rPr>
          <w:sz w:val="22"/>
          <w:szCs w:val="22"/>
        </w:rPr>
      </w:pPr>
      <w:r>
        <w:rPr>
          <w:sz w:val="22"/>
          <w:szCs w:val="22"/>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8"/>
        </w:numPr>
        <w:tabs>
          <w:tab w:val="clear" w:pos="720"/>
          <w:tab w:val="left" w:pos="851" w:leader="none"/>
          <w:tab w:val="left" w:pos="1134" w:leader="none"/>
        </w:tabs>
        <w:spacing w:before="0" w:after="0"/>
        <w:ind w:firstLine="567" w:left="0"/>
        <w:contextualSpacing/>
        <w:jc w:val="both"/>
        <w:rPr>
          <w:bCs/>
          <w:sz w:val="22"/>
          <w:szCs w:val="22"/>
        </w:rPr>
      </w:pPr>
      <w:r>
        <w:rPr>
          <w:bCs/>
          <w:sz w:val="22"/>
          <w:szCs w:val="22"/>
        </w:rPr>
        <w:t>данная Информация имеет действительную или потенциальную коммерческую ценность для Покупателя в силу неизвестности ее третьим лицам;</w:t>
      </w:r>
    </w:p>
    <w:p>
      <w:pPr>
        <w:pStyle w:val="Normal"/>
        <w:numPr>
          <w:ilvl w:val="0"/>
          <w:numId w:val="8"/>
        </w:numPr>
        <w:tabs>
          <w:tab w:val="clear" w:pos="720"/>
          <w:tab w:val="left" w:pos="851" w:leader="none"/>
          <w:tab w:val="left" w:pos="1134" w:leader="none"/>
        </w:tabs>
        <w:spacing w:before="0" w:after="0"/>
        <w:ind w:firstLine="567" w:left="0"/>
        <w:contextualSpacing/>
        <w:jc w:val="both"/>
        <w:rPr>
          <w:bCs/>
          <w:sz w:val="22"/>
          <w:szCs w:val="22"/>
        </w:rPr>
      </w:pPr>
      <w:r>
        <w:rPr>
          <w:bCs/>
          <w:sz w:val="22"/>
          <w:szCs w:val="22"/>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pPr>
        <w:pStyle w:val="Normal"/>
        <w:widowControl w:val="false"/>
        <w:numPr>
          <w:ilvl w:val="1"/>
          <w:numId w:val="16"/>
        </w:numPr>
        <w:shd w:val="clear" w:color="auto" w:fill="FFFFFF"/>
        <w:tabs>
          <w:tab w:val="clear" w:pos="720"/>
          <w:tab w:val="left" w:pos="1425" w:leader="none"/>
        </w:tabs>
        <w:spacing w:before="0" w:after="0"/>
        <w:ind w:firstLine="567" w:left="0"/>
        <w:contextualSpacing/>
        <w:jc w:val="both"/>
        <w:rPr>
          <w:sz w:val="22"/>
          <w:szCs w:val="22"/>
        </w:rPr>
      </w:pPr>
      <w:r>
        <w:rPr>
          <w:sz w:val="22"/>
          <w:szCs w:val="22"/>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Normal"/>
        <w:widowControl w:val="false"/>
        <w:numPr>
          <w:ilvl w:val="1"/>
          <w:numId w:val="16"/>
        </w:numPr>
        <w:shd w:val="clear" w:color="auto" w:fill="FFFFFF"/>
        <w:tabs>
          <w:tab w:val="clear" w:pos="720"/>
          <w:tab w:val="left" w:pos="1425" w:leader="none"/>
        </w:tabs>
        <w:spacing w:before="0" w:after="0"/>
        <w:ind w:firstLine="567" w:left="0"/>
        <w:contextualSpacing/>
        <w:jc w:val="both"/>
        <w:rPr>
          <w:sz w:val="22"/>
          <w:szCs w:val="22"/>
        </w:rPr>
      </w:pPr>
      <w:r>
        <w:rPr>
          <w:sz w:val="22"/>
          <w:szCs w:val="22"/>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Normal"/>
        <w:widowControl w:val="false"/>
        <w:numPr>
          <w:ilvl w:val="1"/>
          <w:numId w:val="16"/>
        </w:numPr>
        <w:shd w:val="clear" w:color="auto" w:fill="FFFFFF"/>
        <w:tabs>
          <w:tab w:val="clear" w:pos="720"/>
          <w:tab w:val="left" w:pos="1425" w:leader="none"/>
        </w:tabs>
        <w:spacing w:before="0" w:after="0"/>
        <w:ind w:firstLine="567" w:left="0"/>
        <w:contextualSpacing/>
        <w:jc w:val="both"/>
        <w:rPr>
          <w:sz w:val="22"/>
          <w:szCs w:val="22"/>
        </w:rPr>
      </w:pPr>
      <w:r>
        <w:rPr>
          <w:sz w:val="22"/>
          <w:szCs w:val="22"/>
        </w:rPr>
        <w:t>На документ, содержащий Информацию, Покупателем может быть нанесен гриф «Коммерческая тайна» с указанием обладателя этой информации.</w:t>
      </w:r>
    </w:p>
    <w:p>
      <w:pPr>
        <w:pStyle w:val="Normal"/>
        <w:widowControl w:val="false"/>
        <w:numPr>
          <w:ilvl w:val="1"/>
          <w:numId w:val="16"/>
        </w:numPr>
        <w:shd w:val="clear" w:color="auto" w:fill="FFFFFF"/>
        <w:tabs>
          <w:tab w:val="clear" w:pos="720"/>
          <w:tab w:val="left" w:pos="1425" w:leader="none"/>
        </w:tabs>
        <w:spacing w:before="0" w:after="0"/>
        <w:ind w:firstLine="567" w:left="0"/>
        <w:contextualSpacing/>
        <w:jc w:val="both"/>
        <w:rPr>
          <w:sz w:val="22"/>
          <w:szCs w:val="22"/>
        </w:rPr>
      </w:pPr>
      <w:r>
        <w:rPr>
          <w:sz w:val="22"/>
          <w:szCs w:val="22"/>
        </w:rPr>
        <w:t>Информация, подлежащая сохранению в тайне и неразглашению, может включать в себя, без ограничения приведенным перечнем:</w:t>
      </w:r>
    </w:p>
    <w:p>
      <w:pPr>
        <w:pStyle w:val="Normal"/>
        <w:numPr>
          <w:ilvl w:val="0"/>
          <w:numId w:val="8"/>
        </w:numPr>
        <w:tabs>
          <w:tab w:val="clear" w:pos="720"/>
          <w:tab w:val="left" w:pos="0" w:leader="none"/>
          <w:tab w:val="left" w:pos="1134" w:leader="none"/>
        </w:tabs>
        <w:spacing w:before="0" w:after="0"/>
        <w:ind w:firstLine="567" w:left="0"/>
        <w:contextualSpacing/>
        <w:jc w:val="both"/>
        <w:rPr>
          <w:bCs/>
          <w:sz w:val="22"/>
          <w:szCs w:val="22"/>
        </w:rPr>
      </w:pPr>
      <w:r>
        <w:rPr>
          <w:bCs/>
          <w:sz w:val="22"/>
          <w:szCs w:val="22"/>
        </w:rPr>
        <w:t>финансовую отчетность;</w:t>
      </w:r>
    </w:p>
    <w:p>
      <w:pPr>
        <w:pStyle w:val="Normal"/>
        <w:numPr>
          <w:ilvl w:val="0"/>
          <w:numId w:val="8"/>
        </w:numPr>
        <w:tabs>
          <w:tab w:val="clear" w:pos="720"/>
          <w:tab w:val="left" w:pos="0" w:leader="none"/>
          <w:tab w:val="left" w:pos="1134" w:leader="none"/>
        </w:tabs>
        <w:spacing w:before="0" w:after="0"/>
        <w:ind w:firstLine="567" w:left="0"/>
        <w:contextualSpacing/>
        <w:jc w:val="both"/>
        <w:rPr>
          <w:bCs/>
          <w:sz w:val="22"/>
          <w:szCs w:val="22"/>
        </w:rPr>
      </w:pPr>
      <w:r>
        <w:rPr>
          <w:bCs/>
          <w:sz w:val="22"/>
          <w:szCs w:val="22"/>
        </w:rPr>
        <w:t>учетные регистры бухгалтерского учета;</w:t>
      </w:r>
    </w:p>
    <w:p>
      <w:pPr>
        <w:pStyle w:val="Normal"/>
        <w:numPr>
          <w:ilvl w:val="0"/>
          <w:numId w:val="8"/>
        </w:numPr>
        <w:tabs>
          <w:tab w:val="clear" w:pos="720"/>
          <w:tab w:val="left" w:pos="0" w:leader="none"/>
          <w:tab w:val="left" w:pos="1134" w:leader="none"/>
        </w:tabs>
        <w:spacing w:before="0" w:after="0"/>
        <w:ind w:firstLine="567" w:left="0"/>
        <w:contextualSpacing/>
        <w:jc w:val="both"/>
        <w:rPr>
          <w:bCs/>
          <w:sz w:val="22"/>
          <w:szCs w:val="22"/>
        </w:rPr>
      </w:pPr>
      <w:r>
        <w:rPr>
          <w:bCs/>
          <w:sz w:val="22"/>
          <w:szCs w:val="22"/>
        </w:rPr>
        <w:t>бизнес-планы;</w:t>
      </w:r>
    </w:p>
    <w:p>
      <w:pPr>
        <w:pStyle w:val="Normal"/>
        <w:numPr>
          <w:ilvl w:val="0"/>
          <w:numId w:val="8"/>
        </w:numPr>
        <w:tabs>
          <w:tab w:val="clear" w:pos="720"/>
          <w:tab w:val="left" w:pos="0" w:leader="none"/>
          <w:tab w:val="left" w:pos="1134" w:leader="none"/>
        </w:tabs>
        <w:spacing w:before="0" w:after="0"/>
        <w:ind w:firstLine="567" w:left="0"/>
        <w:contextualSpacing/>
        <w:jc w:val="both"/>
        <w:rPr>
          <w:bCs/>
          <w:sz w:val="22"/>
          <w:szCs w:val="22"/>
        </w:rPr>
      </w:pPr>
      <w:r>
        <w:rPr>
          <w:bCs/>
          <w:sz w:val="22"/>
          <w:szCs w:val="22"/>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pPr>
        <w:pStyle w:val="Normal"/>
        <w:numPr>
          <w:ilvl w:val="0"/>
          <w:numId w:val="8"/>
        </w:numPr>
        <w:tabs>
          <w:tab w:val="clear" w:pos="720"/>
          <w:tab w:val="left" w:pos="0" w:leader="none"/>
          <w:tab w:val="left" w:pos="1134" w:leader="none"/>
        </w:tabs>
        <w:spacing w:before="0" w:after="0"/>
        <w:ind w:firstLine="567" w:left="0"/>
        <w:contextualSpacing/>
        <w:jc w:val="both"/>
        <w:rPr>
          <w:bCs/>
          <w:sz w:val="22"/>
          <w:szCs w:val="22"/>
        </w:rPr>
      </w:pPr>
      <w:r>
        <w:rPr>
          <w:bCs/>
          <w:sz w:val="22"/>
          <w:szCs w:val="22"/>
        </w:rPr>
        <w:t>сведения о финансовых, правовых, организационных и других взаимоотношениях между Покупателем и третьими лицами;</w:t>
      </w:r>
    </w:p>
    <w:p>
      <w:pPr>
        <w:pStyle w:val="Normal"/>
        <w:numPr>
          <w:ilvl w:val="0"/>
          <w:numId w:val="8"/>
        </w:numPr>
        <w:tabs>
          <w:tab w:val="clear" w:pos="720"/>
          <w:tab w:val="left" w:pos="0" w:leader="none"/>
          <w:tab w:val="left" w:pos="1134" w:leader="none"/>
        </w:tabs>
        <w:spacing w:before="0" w:after="0"/>
        <w:ind w:firstLine="567" w:left="0"/>
        <w:contextualSpacing/>
        <w:jc w:val="both"/>
        <w:rPr>
          <w:bCs/>
          <w:sz w:val="22"/>
          <w:szCs w:val="22"/>
        </w:rPr>
      </w:pPr>
      <w:r>
        <w:rPr>
          <w:bCs/>
          <w:sz w:val="22"/>
          <w:szCs w:val="22"/>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8"/>
        </w:numPr>
        <w:tabs>
          <w:tab w:val="clear" w:pos="720"/>
          <w:tab w:val="left" w:pos="0" w:leader="none"/>
          <w:tab w:val="left" w:pos="1134" w:leader="none"/>
        </w:tabs>
        <w:spacing w:before="0" w:after="0"/>
        <w:ind w:firstLine="567" w:left="0"/>
        <w:contextualSpacing/>
        <w:jc w:val="both"/>
        <w:rPr>
          <w:bCs/>
          <w:sz w:val="22"/>
          <w:szCs w:val="22"/>
        </w:rPr>
      </w:pPr>
      <w:r>
        <w:rPr>
          <w:bCs/>
          <w:sz w:val="22"/>
          <w:szCs w:val="22"/>
        </w:rPr>
        <w:t>сведения о подрядчиках, поставщиках оборудования, сырья и материалов, а также о покупателях продукции и их аффилированных лицах;</w:t>
      </w:r>
    </w:p>
    <w:p>
      <w:pPr>
        <w:pStyle w:val="Normal"/>
        <w:numPr>
          <w:ilvl w:val="0"/>
          <w:numId w:val="8"/>
        </w:numPr>
        <w:tabs>
          <w:tab w:val="clear" w:pos="720"/>
          <w:tab w:val="left" w:pos="0" w:leader="none"/>
          <w:tab w:val="left" w:pos="1134" w:leader="none"/>
        </w:tabs>
        <w:spacing w:before="0" w:after="0"/>
        <w:ind w:firstLine="567" w:left="0"/>
        <w:contextualSpacing/>
        <w:jc w:val="both"/>
        <w:rPr>
          <w:bCs/>
          <w:sz w:val="22"/>
          <w:szCs w:val="22"/>
        </w:rPr>
      </w:pPr>
      <w:r>
        <w:rPr>
          <w:bCs/>
          <w:sz w:val="22"/>
          <w:szCs w:val="22"/>
        </w:rPr>
        <w:t>сведения об объемах производства и/или реализации продукции и услуг Заказчика или его аффилированных лиц;</w:t>
      </w:r>
    </w:p>
    <w:p>
      <w:pPr>
        <w:pStyle w:val="Normal"/>
        <w:numPr>
          <w:ilvl w:val="0"/>
          <w:numId w:val="8"/>
        </w:numPr>
        <w:tabs>
          <w:tab w:val="clear" w:pos="720"/>
          <w:tab w:val="left" w:pos="0" w:leader="none"/>
          <w:tab w:val="left" w:pos="1134" w:leader="none"/>
        </w:tabs>
        <w:spacing w:before="0" w:after="0"/>
        <w:ind w:firstLine="567" w:left="0"/>
        <w:contextualSpacing/>
        <w:jc w:val="both"/>
        <w:rPr>
          <w:bCs/>
          <w:sz w:val="22"/>
          <w:szCs w:val="22"/>
        </w:rPr>
      </w:pPr>
      <w:r>
        <w:rPr>
          <w:bCs/>
          <w:sz w:val="22"/>
          <w:szCs w:val="22"/>
        </w:rPr>
        <w:t>материалы обобщения, анализа, оценки, иных действий по обработке вышеуказанной Информации и документов.</w:t>
      </w:r>
    </w:p>
    <w:p>
      <w:pPr>
        <w:pStyle w:val="Normal"/>
        <w:widowControl w:val="false"/>
        <w:numPr>
          <w:ilvl w:val="1"/>
          <w:numId w:val="16"/>
        </w:numPr>
        <w:shd w:val="clear" w:color="auto" w:fill="FFFFFF"/>
        <w:tabs>
          <w:tab w:val="clear" w:pos="720"/>
          <w:tab w:val="left" w:pos="1425" w:leader="none"/>
        </w:tabs>
        <w:spacing w:before="0" w:after="0"/>
        <w:ind w:firstLine="567" w:left="0"/>
        <w:contextualSpacing/>
        <w:jc w:val="both"/>
        <w:rPr>
          <w:sz w:val="22"/>
          <w:szCs w:val="22"/>
        </w:rPr>
      </w:pPr>
      <w:r>
        <w:rPr>
          <w:sz w:val="22"/>
          <w:szCs w:val="22"/>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pPr>
        <w:pStyle w:val="Normal"/>
        <w:widowControl w:val="false"/>
        <w:numPr>
          <w:ilvl w:val="2"/>
          <w:numId w:val="16"/>
        </w:numPr>
        <w:shd w:val="clear" w:color="auto" w:fill="FFFFFF"/>
        <w:spacing w:before="0" w:after="0"/>
        <w:ind w:firstLine="567" w:left="0"/>
        <w:contextualSpacing/>
        <w:jc w:val="both"/>
        <w:rPr>
          <w:sz w:val="22"/>
          <w:szCs w:val="22"/>
        </w:rPr>
      </w:pPr>
      <w:r>
        <w:rPr>
          <w:sz w:val="22"/>
          <w:szCs w:val="22"/>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pPr>
        <w:pStyle w:val="Normal"/>
        <w:widowControl w:val="false"/>
        <w:numPr>
          <w:ilvl w:val="2"/>
          <w:numId w:val="16"/>
        </w:numPr>
        <w:shd w:val="clear" w:color="auto" w:fill="FFFFFF"/>
        <w:spacing w:before="0" w:after="0"/>
        <w:ind w:firstLine="567" w:left="0"/>
        <w:contextualSpacing/>
        <w:jc w:val="both"/>
        <w:rPr>
          <w:sz w:val="22"/>
          <w:szCs w:val="22"/>
        </w:rPr>
      </w:pPr>
      <w:r>
        <w:rPr>
          <w:sz w:val="22"/>
          <w:szCs w:val="22"/>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pPr>
        <w:pStyle w:val="Normal"/>
        <w:widowControl w:val="false"/>
        <w:numPr>
          <w:ilvl w:val="2"/>
          <w:numId w:val="16"/>
        </w:numPr>
        <w:shd w:val="clear" w:color="auto" w:fill="FFFFFF"/>
        <w:spacing w:before="0" w:after="0"/>
        <w:ind w:firstLine="567" w:left="0"/>
        <w:contextualSpacing/>
        <w:jc w:val="both"/>
        <w:rPr>
          <w:sz w:val="22"/>
          <w:szCs w:val="22"/>
        </w:rPr>
      </w:pPr>
      <w:r>
        <w:rPr>
          <w:sz w:val="22"/>
          <w:szCs w:val="22"/>
        </w:rPr>
        <w:t xml:space="preserve">использовать Информацию исключительно для целей, для которых она была предоставлена; </w:t>
      </w:r>
    </w:p>
    <w:p>
      <w:pPr>
        <w:pStyle w:val="Normal"/>
        <w:widowControl w:val="false"/>
        <w:numPr>
          <w:ilvl w:val="2"/>
          <w:numId w:val="16"/>
        </w:numPr>
        <w:shd w:val="clear" w:color="auto" w:fill="FFFFFF"/>
        <w:spacing w:before="0" w:after="0"/>
        <w:ind w:firstLine="567" w:left="0"/>
        <w:contextualSpacing/>
        <w:jc w:val="both"/>
        <w:rPr>
          <w:sz w:val="22"/>
          <w:szCs w:val="22"/>
        </w:rPr>
      </w:pPr>
      <w:r>
        <w:rPr>
          <w:sz w:val="22"/>
          <w:szCs w:val="22"/>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Normal"/>
        <w:widowControl w:val="false"/>
        <w:numPr>
          <w:ilvl w:val="2"/>
          <w:numId w:val="16"/>
        </w:numPr>
        <w:shd w:val="clear" w:color="auto" w:fill="FFFFFF"/>
        <w:spacing w:before="0" w:after="0"/>
        <w:ind w:firstLine="567" w:left="0"/>
        <w:contextualSpacing/>
        <w:jc w:val="both"/>
        <w:rPr>
          <w:sz w:val="22"/>
          <w:szCs w:val="22"/>
        </w:rPr>
      </w:pPr>
      <w:r>
        <w:rPr>
          <w:sz w:val="22"/>
          <w:szCs w:val="22"/>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pPr>
        <w:pStyle w:val="Normal"/>
        <w:widowControl w:val="false"/>
        <w:numPr>
          <w:ilvl w:val="2"/>
          <w:numId w:val="16"/>
        </w:numPr>
        <w:shd w:val="clear" w:color="auto" w:fill="FFFFFF"/>
        <w:spacing w:before="0" w:after="0"/>
        <w:ind w:firstLine="567" w:left="0"/>
        <w:contextualSpacing/>
        <w:jc w:val="both"/>
        <w:rPr>
          <w:sz w:val="22"/>
          <w:szCs w:val="22"/>
        </w:rPr>
      </w:pPr>
      <w:r>
        <w:rPr>
          <w:sz w:val="22"/>
          <w:szCs w:val="22"/>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Normal"/>
        <w:widowControl w:val="false"/>
        <w:numPr>
          <w:ilvl w:val="2"/>
          <w:numId w:val="16"/>
        </w:numPr>
        <w:shd w:val="clear" w:color="auto" w:fill="FFFFFF"/>
        <w:spacing w:before="0" w:after="0"/>
        <w:ind w:firstLine="567" w:left="0"/>
        <w:contextualSpacing/>
        <w:jc w:val="both"/>
        <w:rPr>
          <w:sz w:val="22"/>
          <w:szCs w:val="22"/>
        </w:rPr>
      </w:pPr>
      <w:r>
        <w:rPr>
          <w:sz w:val="22"/>
          <w:szCs w:val="22"/>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pPr>
        <w:pStyle w:val="Normal"/>
        <w:widowControl w:val="false"/>
        <w:numPr>
          <w:ilvl w:val="2"/>
          <w:numId w:val="16"/>
        </w:numPr>
        <w:shd w:val="clear" w:color="auto" w:fill="FFFFFF"/>
        <w:spacing w:before="0" w:after="0"/>
        <w:ind w:firstLine="567" w:left="0"/>
        <w:contextualSpacing/>
        <w:jc w:val="both"/>
        <w:rPr>
          <w:sz w:val="22"/>
          <w:szCs w:val="22"/>
        </w:rPr>
      </w:pPr>
      <w:r>
        <w:rPr>
          <w:sz w:val="22"/>
          <w:szCs w:val="22"/>
        </w:rPr>
        <w:t>не разглашать третьим лицам факта передачи или получения Информации.</w:t>
      </w:r>
    </w:p>
    <w:p>
      <w:pPr>
        <w:pStyle w:val="Normal"/>
        <w:widowControl w:val="false"/>
        <w:numPr>
          <w:ilvl w:val="1"/>
          <w:numId w:val="16"/>
        </w:numPr>
        <w:shd w:val="clear" w:color="auto" w:fill="FFFFFF"/>
        <w:tabs>
          <w:tab w:val="clear" w:pos="720"/>
          <w:tab w:val="left" w:pos="1425" w:leader="none"/>
        </w:tabs>
        <w:spacing w:before="0" w:after="0"/>
        <w:ind w:firstLine="567" w:left="0"/>
        <w:contextualSpacing/>
        <w:jc w:val="both"/>
        <w:rPr>
          <w:sz w:val="22"/>
          <w:szCs w:val="22"/>
        </w:rPr>
      </w:pPr>
      <w:r>
        <w:rPr>
          <w:sz w:val="22"/>
          <w:szCs w:val="22"/>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pPr>
        <w:pStyle w:val="Normal"/>
        <w:widowControl w:val="false"/>
        <w:numPr>
          <w:ilvl w:val="1"/>
          <w:numId w:val="16"/>
        </w:numPr>
        <w:shd w:val="clear" w:color="auto" w:fill="FFFFFF"/>
        <w:tabs>
          <w:tab w:val="clear" w:pos="720"/>
          <w:tab w:val="left" w:pos="1425" w:leader="none"/>
        </w:tabs>
        <w:spacing w:before="0" w:after="0"/>
        <w:ind w:firstLine="567" w:left="0"/>
        <w:contextualSpacing/>
        <w:jc w:val="both"/>
        <w:rPr>
          <w:sz w:val="22"/>
          <w:szCs w:val="22"/>
        </w:rPr>
      </w:pPr>
      <w:r>
        <w:rPr>
          <w:sz w:val="22"/>
          <w:szCs w:val="22"/>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pPr>
        <w:pStyle w:val="Normal"/>
        <w:widowControl w:val="false"/>
        <w:numPr>
          <w:ilvl w:val="1"/>
          <w:numId w:val="16"/>
        </w:numPr>
        <w:shd w:val="clear" w:color="auto" w:fill="FFFFFF"/>
        <w:tabs>
          <w:tab w:val="clear" w:pos="720"/>
          <w:tab w:val="left" w:pos="1425" w:leader="none"/>
        </w:tabs>
        <w:spacing w:before="0" w:after="0"/>
        <w:ind w:firstLine="567" w:left="0"/>
        <w:contextualSpacing/>
        <w:jc w:val="both"/>
        <w:rPr>
          <w:sz w:val="22"/>
          <w:szCs w:val="22"/>
        </w:rPr>
      </w:pPr>
      <w:r>
        <w:rPr>
          <w:sz w:val="22"/>
          <w:szCs w:val="22"/>
        </w:rPr>
        <w:t>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w:t>
      </w:r>
    </w:p>
    <w:p>
      <w:pPr>
        <w:pStyle w:val="Normal"/>
        <w:widowControl w:val="false"/>
        <w:shd w:val="clear" w:color="auto" w:fill="FFFFFF"/>
        <w:tabs>
          <w:tab w:val="clear" w:pos="720"/>
          <w:tab w:val="left" w:pos="1425" w:leader="none"/>
          <w:tab w:val="left" w:pos="1636" w:leader="none"/>
        </w:tabs>
        <w:spacing w:before="0" w:after="0"/>
        <w:ind w:hanging="0" w:left="567"/>
        <w:contextualSpacing/>
        <w:jc w:val="both"/>
        <w:rPr>
          <w:sz w:val="22"/>
          <w:szCs w:val="22"/>
        </w:rPr>
      </w:pPr>
      <w:r>
        <w:rPr>
          <w:sz w:val="22"/>
          <w:szCs w:val="22"/>
        </w:rPr>
        <w:t xml:space="preserve"> </w:t>
      </w:r>
    </w:p>
    <w:p>
      <w:pPr>
        <w:pStyle w:val="Normal"/>
        <w:widowControl w:val="false"/>
        <w:numPr>
          <w:ilvl w:val="0"/>
          <w:numId w:val="16"/>
        </w:numPr>
        <w:shd w:val="clear" w:color="auto" w:fill="FFFFFF"/>
        <w:tabs>
          <w:tab w:val="clear" w:pos="720"/>
          <w:tab w:val="left" w:pos="5321" w:leader="none"/>
        </w:tabs>
        <w:spacing w:before="0" w:after="0"/>
        <w:ind w:hanging="0" w:left="0"/>
        <w:contextualSpacing/>
        <w:jc w:val="center"/>
        <w:rPr>
          <w:b/>
          <w:sz w:val="22"/>
          <w:szCs w:val="22"/>
        </w:rPr>
      </w:pPr>
      <w:r>
        <w:rPr>
          <w:b/>
          <w:sz w:val="22"/>
          <w:szCs w:val="22"/>
        </w:rPr>
        <w:t>Инсайдерская оговорка</w:t>
      </w:r>
    </w:p>
    <w:p>
      <w:pPr>
        <w:pStyle w:val="Normal"/>
        <w:widowControl w:val="false"/>
        <w:shd w:val="clear" w:color="auto" w:fill="FFFFFF"/>
        <w:tabs>
          <w:tab w:val="clear" w:pos="720"/>
          <w:tab w:val="left" w:pos="5321" w:leader="none"/>
        </w:tabs>
        <w:spacing w:before="0" w:after="0"/>
        <w:contextualSpacing/>
        <w:rPr>
          <w:b/>
          <w:sz w:val="22"/>
          <w:szCs w:val="22"/>
        </w:rPr>
      </w:pPr>
      <w:r>
        <w:rPr>
          <w:b/>
          <w:sz w:val="22"/>
          <w:szCs w:val="22"/>
        </w:rPr>
      </w:r>
    </w:p>
    <w:p>
      <w:pPr>
        <w:pStyle w:val="Normal"/>
        <w:widowControl w:val="false"/>
        <w:numPr>
          <w:ilvl w:val="1"/>
          <w:numId w:val="16"/>
        </w:numPr>
        <w:shd w:val="clear" w:color="auto" w:fill="FFFFFF"/>
        <w:tabs>
          <w:tab w:val="clear" w:pos="720"/>
          <w:tab w:val="left" w:pos="1425" w:leader="none"/>
        </w:tabs>
        <w:spacing w:before="0" w:after="0"/>
        <w:ind w:firstLine="567" w:left="0"/>
        <w:contextualSpacing/>
        <w:jc w:val="both"/>
        <w:rPr>
          <w:sz w:val="22"/>
          <w:szCs w:val="22"/>
        </w:rPr>
      </w:pPr>
      <w:r>
        <w:rPr>
          <w:sz w:val="22"/>
          <w:szCs w:val="22"/>
        </w:rPr>
        <w:t>Поставщик также обязуется:</w:t>
      </w:r>
    </w:p>
    <w:p>
      <w:pPr>
        <w:pStyle w:val="ListParagraph"/>
        <w:numPr>
          <w:ilvl w:val="2"/>
          <w:numId w:val="16"/>
        </w:numPr>
        <w:shd w:val="clear" w:color="auto" w:fill="FFFFFF"/>
        <w:ind w:firstLine="567" w:left="0"/>
        <w:jc w:val="both"/>
        <w:rPr>
          <w:sz w:val="22"/>
          <w:szCs w:val="22"/>
        </w:rPr>
      </w:pPr>
      <w:r>
        <w:rPr>
          <w:sz w:val="22"/>
          <w:szCs w:val="22"/>
        </w:rPr>
        <w:t>Не допускать случаев неправомерного использования инсайдерской информации Покупателя и/или ПАО «РусГидро» и/или разглашения инсайдерской информации Покупателя и/или ПАО «РусГидро», а также принимать все зависящие от него меры для защиты инсайдерской информации Покупателя и/или ПАО «РусГидро» от неправомерного использования;</w:t>
      </w:r>
    </w:p>
    <w:p>
      <w:pPr>
        <w:pStyle w:val="ListParagraph"/>
        <w:numPr>
          <w:ilvl w:val="2"/>
          <w:numId w:val="16"/>
        </w:numPr>
        <w:shd w:val="clear" w:color="auto" w:fill="FFFFFF"/>
        <w:ind w:firstLine="567" w:left="0"/>
        <w:jc w:val="both"/>
        <w:rPr>
          <w:sz w:val="22"/>
          <w:szCs w:val="22"/>
        </w:rPr>
      </w:pPr>
      <w:r>
        <w:rPr>
          <w:sz w:val="22"/>
          <w:szCs w:val="22"/>
        </w:rPr>
        <w:t>Ознакомиться с действующей редакцией Положения об инсайдерской информации ПАО «РусГидро», размещенной на официальном сайте ПАО «РусГидро» в сети Интернет и соблюдать ее требования, а также требования законодательства Российской Федерации об инсайдерской информации и манипулировании рынком.</w:t>
      </w:r>
    </w:p>
    <w:p>
      <w:pPr>
        <w:pStyle w:val="ListParagraph"/>
        <w:shd w:val="clear" w:color="auto" w:fill="FFFFFF"/>
        <w:tabs>
          <w:tab w:val="clear" w:pos="720"/>
          <w:tab w:val="left" w:pos="2160" w:leader="none"/>
        </w:tabs>
        <w:ind w:hanging="0" w:left="567"/>
        <w:jc w:val="both"/>
        <w:rPr>
          <w:sz w:val="22"/>
          <w:szCs w:val="22"/>
        </w:rPr>
      </w:pPr>
      <w:r>
        <w:rPr>
          <w:sz w:val="22"/>
          <w:szCs w:val="22"/>
        </w:rPr>
      </w:r>
    </w:p>
    <w:p>
      <w:pPr>
        <w:pStyle w:val="Normal"/>
        <w:widowControl w:val="false"/>
        <w:numPr>
          <w:ilvl w:val="0"/>
          <w:numId w:val="16"/>
        </w:numPr>
        <w:shd w:val="clear" w:color="auto" w:fill="FFFFFF"/>
        <w:tabs>
          <w:tab w:val="clear" w:pos="720"/>
          <w:tab w:val="left" w:pos="5321" w:leader="none"/>
        </w:tabs>
        <w:spacing w:before="0" w:after="0"/>
        <w:ind w:hanging="0" w:left="0"/>
        <w:contextualSpacing/>
        <w:jc w:val="center"/>
        <w:rPr>
          <w:b/>
          <w:sz w:val="22"/>
          <w:szCs w:val="22"/>
        </w:rPr>
      </w:pPr>
      <w:r>
        <w:rPr>
          <w:b/>
          <w:sz w:val="22"/>
          <w:szCs w:val="22"/>
        </w:rPr>
        <w:t>Разрешение споров</w:t>
      </w:r>
    </w:p>
    <w:p>
      <w:pPr>
        <w:pStyle w:val="Normal"/>
        <w:widowControl w:val="false"/>
        <w:shd w:val="clear" w:color="auto" w:fill="FFFFFF"/>
        <w:tabs>
          <w:tab w:val="clear" w:pos="720"/>
          <w:tab w:val="left" w:pos="5321" w:leader="none"/>
        </w:tabs>
        <w:spacing w:before="0" w:after="0"/>
        <w:contextualSpacing/>
        <w:rPr>
          <w:b/>
          <w:sz w:val="22"/>
          <w:szCs w:val="22"/>
        </w:rPr>
      </w:pPr>
      <w:r>
        <w:rPr>
          <w:b/>
          <w:sz w:val="22"/>
          <w:szCs w:val="22"/>
        </w:rPr>
      </w:r>
    </w:p>
    <w:p>
      <w:pPr>
        <w:pStyle w:val="Normal"/>
        <w:widowControl w:val="false"/>
        <w:numPr>
          <w:ilvl w:val="1"/>
          <w:numId w:val="16"/>
        </w:numPr>
        <w:shd w:val="clear" w:color="auto" w:fill="FFFFFF"/>
        <w:tabs>
          <w:tab w:val="left" w:pos="720" w:leader="none"/>
        </w:tabs>
        <w:spacing w:before="0" w:after="0"/>
        <w:ind w:firstLine="567" w:left="0"/>
        <w:contextualSpacing/>
        <w:jc w:val="both"/>
        <w:rPr>
          <w:sz w:val="22"/>
          <w:szCs w:val="22"/>
        </w:rPr>
      </w:pPr>
      <w:r>
        <w:rPr>
          <w:sz w:val="22"/>
          <w:szCs w:val="22"/>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pPr>
        <w:pStyle w:val="Normal"/>
        <w:widowControl w:val="false"/>
        <w:numPr>
          <w:ilvl w:val="1"/>
          <w:numId w:val="16"/>
        </w:numPr>
        <w:shd w:val="clear" w:color="auto" w:fill="FFFFFF"/>
        <w:tabs>
          <w:tab w:val="left" w:pos="720" w:leader="none"/>
        </w:tabs>
        <w:spacing w:before="0" w:after="0"/>
        <w:ind w:firstLine="567" w:left="0"/>
        <w:contextualSpacing/>
        <w:jc w:val="both"/>
        <w:rPr>
          <w:sz w:val="22"/>
          <w:szCs w:val="22"/>
        </w:rPr>
      </w:pPr>
      <w:r>
        <w:rPr>
          <w:sz w:val="22"/>
          <w:szCs w:val="22"/>
        </w:rPr>
        <w:t>В случае не достижения соглашения в ходе переговоров, указанных в п. 11.1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pPr>
        <w:pStyle w:val="Normal"/>
        <w:widowControl w:val="false"/>
        <w:numPr>
          <w:ilvl w:val="1"/>
          <w:numId w:val="16"/>
        </w:numPr>
        <w:shd w:val="clear" w:color="auto" w:fill="FFFFFF"/>
        <w:tabs>
          <w:tab w:val="left" w:pos="720" w:leader="none"/>
        </w:tabs>
        <w:spacing w:before="0" w:after="0"/>
        <w:ind w:firstLine="567" w:left="0"/>
        <w:contextualSpacing/>
        <w:jc w:val="both"/>
        <w:rPr>
          <w:sz w:val="22"/>
          <w:szCs w:val="22"/>
        </w:rPr>
      </w:pPr>
      <w:r>
        <w:rPr>
          <w:sz w:val="22"/>
          <w:szCs w:val="22"/>
        </w:rPr>
        <w:t xml:space="preserve"> </w:t>
      </w:r>
      <w:r>
        <w:rPr>
          <w:sz w:val="22"/>
          <w:szCs w:val="22"/>
        </w:rPr>
        <w:t>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4" w:name="Par2"/>
      <w:bookmarkEnd w:id="4"/>
    </w:p>
    <w:p>
      <w:pPr>
        <w:pStyle w:val="Normal"/>
        <w:widowControl w:val="false"/>
        <w:numPr>
          <w:ilvl w:val="1"/>
          <w:numId w:val="16"/>
        </w:numPr>
        <w:shd w:val="clear" w:color="auto" w:fill="FFFFFF"/>
        <w:tabs>
          <w:tab w:val="left" w:pos="720" w:leader="none"/>
        </w:tabs>
        <w:spacing w:before="0" w:after="0"/>
        <w:ind w:firstLine="567" w:left="0"/>
        <w:contextualSpacing/>
        <w:jc w:val="both"/>
        <w:rPr>
          <w:sz w:val="22"/>
          <w:szCs w:val="22"/>
        </w:rPr>
      </w:pPr>
      <w:r>
        <w:rPr>
          <w:sz w:val="22"/>
          <w:szCs w:val="22"/>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pPr>
        <w:pStyle w:val="Normal"/>
        <w:widowControl w:val="false"/>
        <w:numPr>
          <w:ilvl w:val="1"/>
          <w:numId w:val="16"/>
        </w:numPr>
        <w:shd w:val="clear" w:color="auto" w:fill="FFFFFF"/>
        <w:tabs>
          <w:tab w:val="left" w:pos="720" w:leader="none"/>
        </w:tabs>
        <w:spacing w:before="0" w:after="0"/>
        <w:ind w:firstLine="567" w:left="0"/>
        <w:contextualSpacing/>
        <w:jc w:val="both"/>
        <w:rPr>
          <w:sz w:val="22"/>
          <w:szCs w:val="22"/>
        </w:rPr>
      </w:pPr>
      <w:r>
        <w:rPr>
          <w:sz w:val="22"/>
          <w:szCs w:val="22"/>
        </w:rPr>
        <w:t xml:space="preserve"> </w:t>
      </w:r>
      <w:r>
        <w:rPr>
          <w:sz w:val="22"/>
          <w:szCs w:val="22"/>
        </w:rPr>
        <w:t>В случае не урегулирования разногласий в претензионном порядке, а также в случае неполучения ответа на претензию в течение срока, указанного в п. 11.4. Договора, спор передается в Арбитражный суд г.Москвы.</w:t>
      </w:r>
    </w:p>
    <w:p>
      <w:pPr>
        <w:pStyle w:val="Normal"/>
        <w:widowControl w:val="false"/>
        <w:shd w:val="clear" w:color="auto" w:fill="FFFFFF"/>
        <w:tabs>
          <w:tab w:val="left" w:pos="720" w:leader="none"/>
        </w:tabs>
        <w:spacing w:before="0" w:after="0"/>
        <w:ind w:hanging="0" w:left="567"/>
        <w:contextualSpacing/>
        <w:jc w:val="both"/>
        <w:rPr>
          <w:sz w:val="22"/>
          <w:szCs w:val="22"/>
        </w:rPr>
      </w:pPr>
      <w:r>
        <w:rPr>
          <w:sz w:val="22"/>
          <w:szCs w:val="22"/>
        </w:rPr>
      </w:r>
    </w:p>
    <w:p>
      <w:pPr>
        <w:pStyle w:val="Normal"/>
        <w:widowControl w:val="false"/>
        <w:numPr>
          <w:ilvl w:val="0"/>
          <w:numId w:val="16"/>
        </w:numPr>
        <w:shd w:val="clear" w:color="auto" w:fill="FFFFFF"/>
        <w:tabs>
          <w:tab w:val="clear" w:pos="720"/>
          <w:tab w:val="left" w:pos="5321" w:leader="none"/>
        </w:tabs>
        <w:spacing w:before="0" w:after="0"/>
        <w:ind w:hanging="0" w:left="0"/>
        <w:contextualSpacing/>
        <w:jc w:val="center"/>
        <w:rPr>
          <w:b/>
          <w:bCs/>
          <w:sz w:val="22"/>
          <w:szCs w:val="22"/>
        </w:rPr>
      </w:pPr>
      <w:r>
        <w:rPr>
          <w:b/>
          <w:bCs/>
          <w:sz w:val="22"/>
          <w:szCs w:val="22"/>
        </w:rPr>
        <w:t>Прекращение (расторжение) Договора</w:t>
      </w:r>
    </w:p>
    <w:p>
      <w:pPr>
        <w:pStyle w:val="Normal"/>
        <w:widowControl w:val="false"/>
        <w:shd w:val="clear" w:color="auto" w:fill="FFFFFF"/>
        <w:tabs>
          <w:tab w:val="clear" w:pos="720"/>
          <w:tab w:val="left" w:pos="5321" w:leader="none"/>
        </w:tabs>
        <w:spacing w:before="0" w:after="0"/>
        <w:contextualSpacing/>
        <w:rPr>
          <w:b/>
          <w:bCs/>
          <w:sz w:val="22"/>
          <w:szCs w:val="22"/>
        </w:rPr>
      </w:pPr>
      <w:r>
        <w:rPr>
          <w:b/>
          <w:bCs/>
          <w:sz w:val="22"/>
          <w:szCs w:val="22"/>
        </w:rPr>
      </w:r>
    </w:p>
    <w:p>
      <w:pPr>
        <w:pStyle w:val="Normal"/>
        <w:widowControl w:val="false"/>
        <w:numPr>
          <w:ilvl w:val="1"/>
          <w:numId w:val="16"/>
        </w:numPr>
        <w:shd w:val="clear" w:color="auto" w:fill="FFFFFF"/>
        <w:spacing w:before="0" w:after="0"/>
        <w:ind w:firstLine="567" w:left="0"/>
        <w:contextualSpacing/>
        <w:jc w:val="both"/>
        <w:rPr>
          <w:sz w:val="22"/>
          <w:szCs w:val="22"/>
        </w:rPr>
      </w:pPr>
      <w:r>
        <w:rPr>
          <w:sz w:val="22"/>
          <w:szCs w:val="22"/>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Normal"/>
        <w:widowControl w:val="false"/>
        <w:numPr>
          <w:ilvl w:val="1"/>
          <w:numId w:val="16"/>
        </w:numPr>
        <w:shd w:val="clear" w:color="auto" w:fill="FFFFFF"/>
        <w:spacing w:before="0" w:after="0"/>
        <w:ind w:firstLine="567" w:left="0"/>
        <w:contextualSpacing/>
        <w:jc w:val="both"/>
        <w:rPr>
          <w:sz w:val="22"/>
          <w:szCs w:val="22"/>
        </w:rPr>
      </w:pPr>
      <w:r>
        <w:rPr>
          <w:sz w:val="22"/>
          <w:szCs w:val="22"/>
        </w:rPr>
        <w:t>Покупатель вправе в одностороннем внесудебном порядке отказаться от Договора при условии обязательного направления письменного уведомления об этом Поставщику. В этом случае Договор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w:t>
      </w:r>
    </w:p>
    <w:p>
      <w:pPr>
        <w:pStyle w:val="Normal"/>
        <w:widowControl w:val="false"/>
        <w:numPr>
          <w:ilvl w:val="1"/>
          <w:numId w:val="16"/>
        </w:numPr>
        <w:shd w:val="clear" w:color="auto" w:fill="FFFFFF"/>
        <w:spacing w:before="0" w:after="0"/>
        <w:ind w:firstLine="567" w:left="0"/>
        <w:contextualSpacing/>
        <w:jc w:val="both"/>
        <w:rPr>
          <w:sz w:val="22"/>
          <w:szCs w:val="22"/>
        </w:rPr>
      </w:pPr>
      <w:r>
        <w:rPr>
          <w:sz w:val="22"/>
          <w:szCs w:val="22"/>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Normal"/>
        <w:widowControl w:val="false"/>
        <w:shd w:val="clear" w:color="auto" w:fill="FFFFFF"/>
        <w:tabs>
          <w:tab w:val="clear" w:pos="720"/>
          <w:tab w:val="left" w:pos="1134" w:leader="none"/>
        </w:tabs>
        <w:spacing w:before="0" w:after="0"/>
        <w:ind w:firstLine="567"/>
        <w:contextualSpacing/>
        <w:jc w:val="both"/>
        <w:rPr>
          <w:sz w:val="22"/>
          <w:szCs w:val="22"/>
        </w:rPr>
      </w:pPr>
      <w:r>
        <w:rPr>
          <w:sz w:val="22"/>
          <w:szCs w:val="22"/>
        </w:rPr>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pPr>
        <w:pStyle w:val="Normal"/>
        <w:widowControl w:val="false"/>
        <w:numPr>
          <w:ilvl w:val="1"/>
          <w:numId w:val="16"/>
        </w:numPr>
        <w:shd w:val="clear" w:color="auto" w:fill="FFFFFF"/>
        <w:spacing w:before="0" w:after="0"/>
        <w:ind w:firstLine="567" w:left="0"/>
        <w:contextualSpacing/>
        <w:jc w:val="both"/>
        <w:rPr>
          <w:sz w:val="22"/>
          <w:szCs w:val="22"/>
        </w:rPr>
      </w:pPr>
      <w:r>
        <w:rPr>
          <w:sz w:val="22"/>
          <w:szCs w:val="22"/>
        </w:rPr>
        <w:t>Стороны установили, что существенным нарушением Договора Поставщиком является:</w:t>
      </w:r>
    </w:p>
    <w:p>
      <w:pPr>
        <w:pStyle w:val="Normal"/>
        <w:widowControl w:val="false"/>
        <w:numPr>
          <w:ilvl w:val="2"/>
          <w:numId w:val="16"/>
        </w:numPr>
        <w:shd w:val="clear" w:color="auto" w:fill="FFFFFF"/>
        <w:tabs>
          <w:tab w:val="clear" w:pos="720"/>
          <w:tab w:val="left" w:pos="1276" w:leader="none"/>
        </w:tabs>
        <w:spacing w:before="0" w:after="0"/>
        <w:ind w:firstLine="567" w:left="0"/>
        <w:contextualSpacing/>
        <w:jc w:val="both"/>
        <w:rPr>
          <w:sz w:val="22"/>
          <w:szCs w:val="22"/>
        </w:rPr>
      </w:pPr>
      <w:r>
        <w:rPr>
          <w:sz w:val="22"/>
          <w:szCs w:val="22"/>
        </w:rPr>
        <w:t>просрочка Поставщиком выполнения обязательств по Договору более чем на 15 (пятнадцать) календарных дней;</w:t>
      </w:r>
    </w:p>
    <w:p>
      <w:pPr>
        <w:pStyle w:val="Normal"/>
        <w:widowControl w:val="false"/>
        <w:numPr>
          <w:ilvl w:val="2"/>
          <w:numId w:val="16"/>
        </w:numPr>
        <w:shd w:val="clear" w:color="auto" w:fill="FFFFFF"/>
        <w:tabs>
          <w:tab w:val="clear" w:pos="720"/>
          <w:tab w:val="left" w:pos="1276" w:leader="none"/>
        </w:tabs>
        <w:spacing w:before="0" w:after="0"/>
        <w:ind w:firstLine="567" w:left="0"/>
        <w:contextualSpacing/>
        <w:jc w:val="both"/>
        <w:rPr>
          <w:sz w:val="22"/>
          <w:szCs w:val="22"/>
        </w:rPr>
      </w:pPr>
      <w:r>
        <w:rPr>
          <w:sz w:val="22"/>
          <w:szCs w:val="22"/>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pPr>
        <w:pStyle w:val="Normal"/>
        <w:widowControl w:val="false"/>
        <w:numPr>
          <w:ilvl w:val="2"/>
          <w:numId w:val="16"/>
        </w:numPr>
        <w:shd w:val="clear" w:color="auto" w:fill="FFFFFF"/>
        <w:tabs>
          <w:tab w:val="clear" w:pos="720"/>
          <w:tab w:val="left" w:pos="1276" w:leader="none"/>
        </w:tabs>
        <w:spacing w:before="0" w:after="0"/>
        <w:ind w:firstLine="567" w:left="0"/>
        <w:contextualSpacing/>
        <w:jc w:val="both"/>
        <w:rPr>
          <w:sz w:val="22"/>
          <w:szCs w:val="22"/>
        </w:rPr>
      </w:pPr>
      <w:r>
        <w:rPr>
          <w:sz w:val="22"/>
          <w:szCs w:val="22"/>
        </w:rPr>
        <w:t>при установлении Покупателем нецелесообразности дальнейшего исполнения Договора – с возмещением Поставщику фактически понесенных затрат;</w:t>
      </w:r>
    </w:p>
    <w:p>
      <w:pPr>
        <w:pStyle w:val="Normal"/>
        <w:widowControl w:val="false"/>
        <w:numPr>
          <w:ilvl w:val="2"/>
          <w:numId w:val="16"/>
        </w:numPr>
        <w:shd w:val="clear" w:color="auto" w:fill="FFFFFF"/>
        <w:tabs>
          <w:tab w:val="clear" w:pos="720"/>
          <w:tab w:val="left" w:pos="1276" w:leader="none"/>
        </w:tabs>
        <w:spacing w:before="0" w:after="0"/>
        <w:ind w:firstLine="567" w:left="0"/>
        <w:contextualSpacing/>
        <w:jc w:val="both"/>
        <w:rPr>
          <w:sz w:val="22"/>
          <w:szCs w:val="22"/>
        </w:rPr>
      </w:pPr>
      <w:r>
        <w:rPr>
          <w:sz w:val="22"/>
          <w:szCs w:val="22"/>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Normal"/>
        <w:widowControl w:val="false"/>
        <w:numPr>
          <w:ilvl w:val="2"/>
          <w:numId w:val="16"/>
        </w:numPr>
        <w:shd w:val="clear" w:color="auto" w:fill="FFFFFF"/>
        <w:tabs>
          <w:tab w:val="clear" w:pos="720"/>
          <w:tab w:val="left" w:pos="1276" w:leader="none"/>
        </w:tabs>
        <w:spacing w:before="0" w:after="0"/>
        <w:ind w:firstLine="567" w:left="0"/>
        <w:contextualSpacing/>
        <w:jc w:val="both"/>
        <w:rPr>
          <w:sz w:val="22"/>
          <w:szCs w:val="22"/>
        </w:rPr>
      </w:pPr>
      <w:r>
        <w:rPr>
          <w:sz w:val="22"/>
          <w:szCs w:val="22"/>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pPr>
        <w:pStyle w:val="Normal"/>
        <w:widowControl w:val="false"/>
        <w:numPr>
          <w:ilvl w:val="2"/>
          <w:numId w:val="16"/>
        </w:numPr>
        <w:shd w:val="clear" w:color="auto" w:fill="FFFFFF"/>
        <w:tabs>
          <w:tab w:val="clear" w:pos="720"/>
          <w:tab w:val="left" w:pos="1276" w:leader="none"/>
        </w:tabs>
        <w:spacing w:before="0" w:after="0"/>
        <w:ind w:firstLine="567" w:left="0"/>
        <w:contextualSpacing/>
        <w:jc w:val="both"/>
        <w:rPr>
          <w:sz w:val="22"/>
          <w:szCs w:val="22"/>
        </w:rPr>
      </w:pPr>
      <w:r>
        <w:rPr>
          <w:sz w:val="22"/>
          <w:szCs w:val="22"/>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13 Договора, и имеющих существенное значение для его заключения и исполнения;</w:t>
      </w:r>
    </w:p>
    <w:p>
      <w:pPr>
        <w:pStyle w:val="Normal"/>
        <w:widowControl w:val="false"/>
        <w:numPr>
          <w:ilvl w:val="2"/>
          <w:numId w:val="16"/>
        </w:numPr>
        <w:shd w:val="clear" w:color="auto" w:fill="FFFFFF"/>
        <w:tabs>
          <w:tab w:val="clear" w:pos="720"/>
          <w:tab w:val="left" w:pos="1276" w:leader="none"/>
        </w:tabs>
        <w:spacing w:before="0" w:after="0"/>
        <w:ind w:firstLine="567" w:left="0"/>
        <w:contextualSpacing/>
        <w:jc w:val="both"/>
        <w:rPr>
          <w:sz w:val="22"/>
          <w:szCs w:val="22"/>
        </w:rPr>
      </w:pPr>
      <w:r>
        <w:rPr>
          <w:sz w:val="22"/>
          <w:szCs w:val="22"/>
        </w:rPr>
        <w:t>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w:t>
      </w:r>
    </w:p>
    <w:p>
      <w:pPr>
        <w:pStyle w:val="Normal"/>
        <w:widowControl w:val="false"/>
        <w:numPr>
          <w:ilvl w:val="1"/>
          <w:numId w:val="16"/>
        </w:numPr>
        <w:shd w:val="clear" w:color="auto" w:fill="FFFFFF"/>
        <w:spacing w:before="0" w:after="0"/>
        <w:ind w:firstLine="567" w:left="0"/>
        <w:contextualSpacing/>
        <w:jc w:val="both"/>
        <w:rPr>
          <w:sz w:val="22"/>
          <w:szCs w:val="22"/>
        </w:rPr>
      </w:pPr>
      <w:r>
        <w:rPr>
          <w:sz w:val="22"/>
          <w:szCs w:val="22"/>
        </w:rPr>
        <w:t>В случае отказа Покупателя от Договора в случаях, предусмотренных пунктами 12.2., 12.3., 12.4 Договора, Договор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в том числе направленного по электронной почте.</w:t>
      </w:r>
    </w:p>
    <w:p>
      <w:pPr>
        <w:pStyle w:val="Normal"/>
        <w:widowControl w:val="false"/>
        <w:numPr>
          <w:ilvl w:val="1"/>
          <w:numId w:val="16"/>
        </w:numPr>
        <w:shd w:val="clear" w:color="auto" w:fill="FFFFFF"/>
        <w:spacing w:before="0" w:after="0"/>
        <w:ind w:firstLine="567" w:left="0"/>
        <w:contextualSpacing/>
        <w:jc w:val="both"/>
        <w:rPr>
          <w:sz w:val="22"/>
          <w:szCs w:val="22"/>
        </w:rPr>
      </w:pPr>
      <w:r>
        <w:rPr>
          <w:sz w:val="22"/>
          <w:szCs w:val="22"/>
        </w:rPr>
        <w:t>Договор считается расторгнутым по основаниям, предусмотренным пунктом 12.1, с даты, указанной в уведомлении о расторжении Договора.</w:t>
      </w:r>
    </w:p>
    <w:p>
      <w:pPr>
        <w:pStyle w:val="Normal"/>
        <w:widowControl w:val="false"/>
        <w:numPr>
          <w:ilvl w:val="1"/>
          <w:numId w:val="16"/>
        </w:numPr>
        <w:shd w:val="clear" w:color="auto" w:fill="FFFFFF"/>
        <w:spacing w:before="0" w:after="0"/>
        <w:ind w:firstLine="567" w:left="0"/>
        <w:contextualSpacing/>
        <w:jc w:val="both"/>
        <w:rPr>
          <w:sz w:val="22"/>
          <w:szCs w:val="22"/>
        </w:rPr>
      </w:pPr>
      <w:r>
        <w:rPr>
          <w:sz w:val="22"/>
          <w:szCs w:val="22"/>
        </w:rPr>
        <w:t>Поставщик ни при каких обстоятельствах не имеет права на компенсацию упущенной выгоды в связи с досрочным расторжением Договора по любым основаниям.</w:t>
      </w:r>
    </w:p>
    <w:p>
      <w:pPr>
        <w:pStyle w:val="Normal"/>
        <w:widowControl w:val="false"/>
        <w:numPr>
          <w:ilvl w:val="1"/>
          <w:numId w:val="16"/>
        </w:numPr>
        <w:shd w:val="clear" w:color="auto" w:fill="FFFFFF"/>
        <w:spacing w:before="0" w:after="0"/>
        <w:ind w:firstLine="567" w:left="0"/>
        <w:contextualSpacing/>
        <w:jc w:val="both"/>
        <w:rPr>
          <w:sz w:val="22"/>
          <w:szCs w:val="22"/>
        </w:rPr>
      </w:pPr>
      <w:r>
        <w:rPr>
          <w:sz w:val="22"/>
          <w:szCs w:val="22"/>
        </w:rPr>
        <w:t>С даты прекращения (расторжения) Договора Поставщик обязан прекратить поставку Продукции.</w:t>
      </w:r>
    </w:p>
    <w:p>
      <w:pPr>
        <w:pStyle w:val="Normal"/>
        <w:widowControl w:val="false"/>
        <w:numPr>
          <w:ilvl w:val="1"/>
          <w:numId w:val="16"/>
        </w:numPr>
        <w:shd w:val="clear" w:color="auto" w:fill="FFFFFF"/>
        <w:spacing w:before="0" w:after="0"/>
        <w:ind w:firstLine="567" w:left="0"/>
        <w:contextualSpacing/>
        <w:jc w:val="both"/>
        <w:rPr>
          <w:sz w:val="22"/>
          <w:szCs w:val="22"/>
        </w:rPr>
      </w:pPr>
      <w:r>
        <w:rPr>
          <w:sz w:val="22"/>
          <w:szCs w:val="22"/>
        </w:rPr>
        <w:t xml:space="preserve">При прекращении (расторжении) Договора по основаниям, указанным </w:t>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3 Договора, а также обязательств Поставщика по оплате неустойки, штрафов, возмещению убытков в случаях и размерах, предусмотренных Договором.</w:t>
      </w:r>
    </w:p>
    <w:p>
      <w:pPr>
        <w:pStyle w:val="Normal"/>
        <w:widowControl w:val="false"/>
        <w:shd w:val="clear" w:color="auto" w:fill="FFFFFF"/>
        <w:tabs>
          <w:tab w:val="clear" w:pos="720"/>
          <w:tab w:val="left" w:pos="1636" w:leader="none"/>
        </w:tabs>
        <w:spacing w:before="0" w:after="0"/>
        <w:ind w:hanging="0" w:left="567"/>
        <w:contextualSpacing/>
        <w:jc w:val="both"/>
        <w:rPr>
          <w:sz w:val="22"/>
          <w:szCs w:val="22"/>
        </w:rPr>
      </w:pPr>
      <w:r>
        <w:rPr>
          <w:sz w:val="22"/>
          <w:szCs w:val="22"/>
        </w:rPr>
      </w:r>
    </w:p>
    <w:p>
      <w:pPr>
        <w:pStyle w:val="ListParagraph"/>
        <w:shd w:val="clear" w:color="auto" w:fill="FFFFFF"/>
        <w:ind w:hanging="0" w:left="360"/>
        <w:jc w:val="center"/>
        <w:rPr>
          <w:b/>
          <w:sz w:val="22"/>
          <w:szCs w:val="22"/>
        </w:rPr>
      </w:pPr>
      <w:r>
        <w:rPr>
          <w:b/>
          <w:bCs/>
          <w:sz w:val="22"/>
          <w:szCs w:val="22"/>
        </w:rPr>
        <w:t>13. Заверения</w:t>
      </w:r>
      <w:r>
        <w:rPr>
          <w:b/>
          <w:sz w:val="22"/>
          <w:szCs w:val="22"/>
        </w:rPr>
        <w:t xml:space="preserve"> Сторон</w:t>
      </w:r>
    </w:p>
    <w:p>
      <w:pPr>
        <w:pStyle w:val="ListParagraph"/>
        <w:shd w:val="clear" w:color="auto" w:fill="FFFFFF"/>
        <w:ind w:hanging="0" w:left="360"/>
        <w:jc w:val="center"/>
        <w:rPr>
          <w:b/>
          <w:sz w:val="22"/>
          <w:szCs w:val="22"/>
        </w:rPr>
      </w:pPr>
      <w:r>
        <w:rPr>
          <w:b/>
          <w:sz w:val="22"/>
          <w:szCs w:val="22"/>
        </w:rPr>
      </w:r>
    </w:p>
    <w:p>
      <w:pPr>
        <w:pStyle w:val="Normal"/>
        <w:shd w:val="clear" w:color="auto" w:fill="FFFFFF"/>
        <w:tabs>
          <w:tab w:val="clear" w:pos="720"/>
          <w:tab w:val="left" w:pos="1134" w:leader="none"/>
        </w:tabs>
        <w:ind w:firstLine="567"/>
        <w:jc w:val="both"/>
        <w:rPr>
          <w:sz w:val="22"/>
          <w:szCs w:val="22"/>
        </w:rPr>
      </w:pPr>
      <w:r>
        <w:rPr>
          <w:bCs/>
          <w:sz w:val="22"/>
          <w:szCs w:val="22"/>
        </w:rPr>
        <w:t>13.1.  Каждая</w:t>
      </w:r>
      <w:r>
        <w:rPr>
          <w:sz w:val="22"/>
          <w:szCs w:val="22"/>
        </w:rPr>
        <w:t xml:space="preserve"> из Сторон заявляет и подтверждает другой Стороне, что: </w:t>
      </w:r>
    </w:p>
    <w:p>
      <w:pPr>
        <w:pStyle w:val="ListParagraph"/>
        <w:widowControl/>
        <w:numPr>
          <w:ilvl w:val="0"/>
          <w:numId w:val="9"/>
        </w:numPr>
        <w:shd w:val="clear" w:color="auto" w:fill="FFFFFF"/>
        <w:tabs>
          <w:tab w:val="clear" w:pos="720"/>
          <w:tab w:val="left" w:pos="709" w:leader="none"/>
          <w:tab w:val="left" w:pos="1134" w:leader="none"/>
        </w:tabs>
        <w:ind w:firstLine="567" w:left="0"/>
        <w:jc w:val="both"/>
        <w:rPr>
          <w:sz w:val="22"/>
          <w:szCs w:val="22"/>
        </w:rPr>
      </w:pPr>
      <w:r>
        <w:rPr>
          <w:sz w:val="22"/>
          <w:szCs w:val="22"/>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widowControl/>
        <w:numPr>
          <w:ilvl w:val="0"/>
          <w:numId w:val="9"/>
        </w:numPr>
        <w:shd w:val="clear" w:color="auto" w:fill="FFFFFF"/>
        <w:tabs>
          <w:tab w:val="clear" w:pos="720"/>
          <w:tab w:val="left" w:pos="709" w:leader="none"/>
          <w:tab w:val="left" w:pos="1134" w:leader="none"/>
        </w:tabs>
        <w:ind w:firstLine="567" w:left="0"/>
        <w:jc w:val="both"/>
        <w:rPr>
          <w:sz w:val="22"/>
          <w:szCs w:val="22"/>
        </w:rPr>
      </w:pPr>
      <w:r>
        <w:rPr>
          <w:sz w:val="22"/>
          <w:szCs w:val="22"/>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widowControl/>
        <w:numPr>
          <w:ilvl w:val="0"/>
          <w:numId w:val="9"/>
        </w:numPr>
        <w:shd w:val="clear" w:color="auto" w:fill="FFFFFF"/>
        <w:tabs>
          <w:tab w:val="clear" w:pos="720"/>
          <w:tab w:val="left" w:pos="709" w:leader="none"/>
          <w:tab w:val="left" w:pos="1134" w:leader="none"/>
        </w:tabs>
        <w:ind w:firstLine="567" w:left="0"/>
        <w:jc w:val="both"/>
        <w:rPr>
          <w:sz w:val="22"/>
          <w:szCs w:val="22"/>
        </w:rPr>
      </w:pPr>
      <w:r>
        <w:rPr>
          <w:sz w:val="22"/>
          <w:szCs w:val="22"/>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widowControl/>
        <w:numPr>
          <w:ilvl w:val="0"/>
          <w:numId w:val="9"/>
        </w:numPr>
        <w:shd w:val="clear" w:color="auto" w:fill="FFFFFF"/>
        <w:tabs>
          <w:tab w:val="clear" w:pos="720"/>
          <w:tab w:val="left" w:pos="709" w:leader="none"/>
          <w:tab w:val="left" w:pos="1134" w:leader="none"/>
        </w:tabs>
        <w:ind w:firstLine="567" w:left="0"/>
        <w:jc w:val="both"/>
        <w:rPr>
          <w:sz w:val="22"/>
          <w:szCs w:val="22"/>
        </w:rPr>
      </w:pPr>
      <w:r>
        <w:rPr>
          <w:sz w:val="22"/>
          <w:szCs w:val="22"/>
        </w:rPr>
        <w:t>лица, подписывающие от имени Сторон настоящий Договор, надлежащим образом уполномочены на его подписание;</w:t>
      </w:r>
    </w:p>
    <w:p>
      <w:pPr>
        <w:pStyle w:val="ListParagraph"/>
        <w:widowControl/>
        <w:numPr>
          <w:ilvl w:val="0"/>
          <w:numId w:val="9"/>
        </w:numPr>
        <w:shd w:val="clear" w:color="auto" w:fill="FFFFFF"/>
        <w:tabs>
          <w:tab w:val="clear" w:pos="720"/>
          <w:tab w:val="left" w:pos="709" w:leader="none"/>
          <w:tab w:val="left" w:pos="1134" w:leader="none"/>
        </w:tabs>
        <w:ind w:firstLine="567" w:left="0"/>
        <w:jc w:val="both"/>
        <w:rPr>
          <w:sz w:val="22"/>
          <w:szCs w:val="22"/>
        </w:rPr>
      </w:pPr>
      <w:r>
        <w:rPr>
          <w:sz w:val="22"/>
          <w:szCs w:val="22"/>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Normal"/>
        <w:shd w:val="clear" w:color="auto" w:fill="FFFFFF"/>
        <w:tabs>
          <w:tab w:val="clear" w:pos="720"/>
          <w:tab w:val="left" w:pos="1134" w:leader="none"/>
        </w:tabs>
        <w:ind w:firstLine="567"/>
        <w:jc w:val="both"/>
        <w:rPr>
          <w:sz w:val="22"/>
          <w:szCs w:val="22"/>
        </w:rPr>
      </w:pPr>
      <w:r>
        <w:rPr>
          <w:sz w:val="22"/>
          <w:szCs w:val="22"/>
        </w:rPr>
        <w:t>13.2. Поставщик заявляет и заверяет Покупателя в том, что на момент заключения настоящего Договора:</w:t>
      </w:r>
    </w:p>
    <w:p>
      <w:pPr>
        <w:pStyle w:val="ListParagraph"/>
        <w:widowControl/>
        <w:numPr>
          <w:ilvl w:val="0"/>
          <w:numId w:val="11"/>
        </w:numPr>
        <w:shd w:val="clear" w:color="auto" w:fill="FFFFFF"/>
        <w:tabs>
          <w:tab w:val="clear" w:pos="720"/>
          <w:tab w:val="left" w:pos="709" w:leader="none"/>
          <w:tab w:val="left" w:pos="1134" w:leader="none"/>
        </w:tabs>
        <w:ind w:firstLine="567" w:left="0"/>
        <w:jc w:val="both"/>
        <w:rPr>
          <w:sz w:val="22"/>
          <w:szCs w:val="22"/>
        </w:rPr>
      </w:pPr>
      <w:r>
        <w:rPr>
          <w:sz w:val="22"/>
          <w:szCs w:val="22"/>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11"/>
        </w:numPr>
        <w:shd w:val="clear" w:color="auto" w:fill="FFFFFF"/>
        <w:tabs>
          <w:tab w:val="clear" w:pos="720"/>
          <w:tab w:val="left" w:pos="709" w:leader="none"/>
          <w:tab w:val="left" w:pos="1134" w:leader="none"/>
        </w:tabs>
        <w:ind w:firstLine="567" w:left="0"/>
        <w:jc w:val="both"/>
        <w:rPr>
          <w:sz w:val="22"/>
          <w:szCs w:val="22"/>
        </w:rPr>
      </w:pPr>
      <w:r>
        <w:rPr>
          <w:sz w:val="22"/>
          <w:szCs w:val="22"/>
        </w:rPr>
        <w:t>руководителем Поставщика является лицо, не являющееся массовым руководителем;</w:t>
      </w:r>
    </w:p>
    <w:p>
      <w:pPr>
        <w:pStyle w:val="ListParagraph"/>
        <w:widowControl/>
        <w:numPr>
          <w:ilvl w:val="0"/>
          <w:numId w:val="11"/>
        </w:numPr>
        <w:shd w:val="clear" w:color="auto" w:fill="FFFFFF"/>
        <w:tabs>
          <w:tab w:val="clear" w:pos="720"/>
          <w:tab w:val="left" w:pos="709" w:leader="none"/>
          <w:tab w:val="left" w:pos="1134" w:leader="none"/>
        </w:tabs>
        <w:ind w:firstLine="567" w:left="0"/>
        <w:jc w:val="both"/>
        <w:rPr>
          <w:sz w:val="22"/>
          <w:szCs w:val="22"/>
        </w:rPr>
      </w:pPr>
      <w:r>
        <w:rPr>
          <w:sz w:val="22"/>
          <w:szCs w:val="22"/>
        </w:rPr>
        <w:t xml:space="preserve">фактически находится по адресу, указанному в Едином государственном реестре юридических лиц; </w:t>
      </w:r>
    </w:p>
    <w:p>
      <w:pPr>
        <w:pStyle w:val="ListParagraph"/>
        <w:widowControl/>
        <w:numPr>
          <w:ilvl w:val="0"/>
          <w:numId w:val="11"/>
        </w:numPr>
        <w:shd w:val="clear" w:color="auto" w:fill="FFFFFF"/>
        <w:tabs>
          <w:tab w:val="clear" w:pos="720"/>
          <w:tab w:val="left" w:pos="709" w:leader="none"/>
          <w:tab w:val="left" w:pos="1134" w:leader="none"/>
        </w:tabs>
        <w:ind w:firstLine="567" w:left="0"/>
        <w:jc w:val="both"/>
        <w:rPr>
          <w:sz w:val="22"/>
          <w:szCs w:val="22"/>
        </w:rPr>
      </w:pPr>
      <w:r>
        <w:rPr>
          <w:sz w:val="22"/>
          <w:szCs w:val="22"/>
        </w:rPr>
        <w:t>своевременно и в полном объеме уплачивает налоги и сборы в соответствии с законодательством Российской Федерации;</w:t>
      </w:r>
    </w:p>
    <w:p>
      <w:pPr>
        <w:pStyle w:val="ListParagraph"/>
        <w:widowControl/>
        <w:numPr>
          <w:ilvl w:val="0"/>
          <w:numId w:val="10"/>
        </w:numPr>
        <w:shd w:val="clear" w:color="auto" w:fill="FFFFFF"/>
        <w:tabs>
          <w:tab w:val="clear" w:pos="720"/>
          <w:tab w:val="left" w:pos="567" w:leader="none"/>
          <w:tab w:val="left" w:pos="709" w:leader="none"/>
          <w:tab w:val="left" w:pos="1418" w:leader="none"/>
        </w:tabs>
        <w:ind w:firstLine="567" w:left="0"/>
        <w:jc w:val="both"/>
        <w:rPr>
          <w:sz w:val="22"/>
          <w:szCs w:val="22"/>
        </w:rPr>
      </w:pPr>
      <w:r>
        <w:rPr>
          <w:sz w:val="22"/>
          <w:szCs w:val="22"/>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ListParagraph"/>
        <w:widowControl/>
        <w:numPr>
          <w:ilvl w:val="0"/>
          <w:numId w:val="10"/>
        </w:numPr>
        <w:shd w:val="clear" w:color="auto" w:fill="FFFFFF"/>
        <w:tabs>
          <w:tab w:val="clear" w:pos="720"/>
          <w:tab w:val="left" w:pos="567" w:leader="none"/>
          <w:tab w:val="left" w:pos="709" w:leader="none"/>
          <w:tab w:val="left" w:pos="1418" w:leader="none"/>
        </w:tabs>
        <w:ind w:firstLine="567" w:left="0"/>
        <w:jc w:val="both"/>
        <w:rPr>
          <w:sz w:val="22"/>
          <w:szCs w:val="22"/>
        </w:rPr>
      </w:pPr>
      <w:r>
        <w:rPr>
          <w:sz w:val="22"/>
          <w:szCs w:val="22"/>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10"/>
        </w:numPr>
        <w:shd w:val="clear" w:color="auto" w:fill="FFFFFF"/>
        <w:tabs>
          <w:tab w:val="clear" w:pos="720"/>
          <w:tab w:val="left" w:pos="567" w:leader="none"/>
          <w:tab w:val="left" w:pos="709" w:leader="none"/>
          <w:tab w:val="left" w:pos="1418" w:leader="none"/>
        </w:tabs>
        <w:ind w:firstLine="567" w:left="0"/>
        <w:jc w:val="both"/>
        <w:rPr>
          <w:sz w:val="22"/>
          <w:szCs w:val="22"/>
        </w:rPr>
      </w:pPr>
      <w:r>
        <w:rPr>
          <w:sz w:val="22"/>
          <w:szCs w:val="22"/>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pPr>
        <w:pStyle w:val="ListParagraph"/>
        <w:widowControl/>
        <w:numPr>
          <w:ilvl w:val="0"/>
          <w:numId w:val="10"/>
        </w:numPr>
        <w:shd w:val="clear" w:color="auto" w:fill="FFFFFF"/>
        <w:tabs>
          <w:tab w:val="clear" w:pos="720"/>
          <w:tab w:val="left" w:pos="567" w:leader="none"/>
          <w:tab w:val="left" w:pos="709" w:leader="none"/>
          <w:tab w:val="left" w:pos="1418" w:leader="none"/>
        </w:tabs>
        <w:ind w:firstLine="567" w:left="0"/>
        <w:jc w:val="both"/>
        <w:rPr>
          <w:sz w:val="22"/>
          <w:szCs w:val="22"/>
        </w:rPr>
      </w:pPr>
      <w:r>
        <w:rPr>
          <w:sz w:val="22"/>
          <w:szCs w:val="22"/>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10"/>
        </w:numPr>
        <w:shd w:val="clear" w:color="auto" w:fill="FFFFFF"/>
        <w:tabs>
          <w:tab w:val="clear" w:pos="720"/>
          <w:tab w:val="left" w:pos="567" w:leader="none"/>
          <w:tab w:val="left" w:pos="709" w:leader="none"/>
          <w:tab w:val="left" w:pos="1418" w:leader="none"/>
        </w:tabs>
        <w:ind w:firstLine="567" w:left="0"/>
        <w:jc w:val="both"/>
        <w:rPr>
          <w:sz w:val="22"/>
          <w:szCs w:val="22"/>
        </w:rPr>
      </w:pPr>
      <w:r>
        <w:rPr>
          <w:sz w:val="22"/>
          <w:szCs w:val="22"/>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pPr>
        <w:pStyle w:val="Normal"/>
        <w:shd w:val="clear" w:color="auto" w:fill="FFFFFF"/>
        <w:tabs>
          <w:tab w:val="clear" w:pos="720"/>
          <w:tab w:val="left" w:pos="1134" w:leader="none"/>
        </w:tabs>
        <w:ind w:firstLine="567"/>
        <w:jc w:val="both"/>
        <w:rPr>
          <w:sz w:val="22"/>
          <w:szCs w:val="22"/>
        </w:rPr>
      </w:pPr>
      <w:r>
        <w:rPr>
          <w:sz w:val="22"/>
          <w:szCs w:val="22"/>
        </w:rPr>
        <w:t xml:space="preserve">13.3. 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Normal"/>
        <w:shd w:val="clear" w:color="auto" w:fill="FFFFFF"/>
        <w:tabs>
          <w:tab w:val="clear" w:pos="720"/>
          <w:tab w:val="left" w:pos="1134" w:leader="none"/>
        </w:tabs>
        <w:ind w:firstLine="567"/>
        <w:jc w:val="both"/>
        <w:rPr>
          <w:sz w:val="22"/>
          <w:szCs w:val="22"/>
        </w:rPr>
      </w:pPr>
      <w:r>
        <w:rPr>
          <w:sz w:val="22"/>
          <w:szCs w:val="22"/>
        </w:rPr>
        <w:t xml:space="preserve">13.4. В случае, если при заключении Договора Поставщик предоставил </w:t>
      </w:r>
      <w:r>
        <w:rPr>
          <w:bCs/>
          <w:sz w:val="22"/>
          <w:szCs w:val="22"/>
        </w:rPr>
        <w:t>Покупателю</w:t>
      </w:r>
      <w:r>
        <w:rPr>
          <w:sz w:val="22"/>
          <w:szCs w:val="22"/>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2"/>
          <w:szCs w:val="22"/>
        </w:rPr>
        <w:t xml:space="preserve">Поставщик </w:t>
      </w:r>
      <w:r>
        <w:rPr>
          <w:sz w:val="22"/>
          <w:szCs w:val="22"/>
        </w:rPr>
        <w:t xml:space="preserve">обязан по требованию </w:t>
      </w:r>
      <w:r>
        <w:rPr>
          <w:bCs/>
          <w:sz w:val="22"/>
          <w:szCs w:val="22"/>
        </w:rPr>
        <w:t>Покупателя</w:t>
      </w:r>
      <w:r>
        <w:rPr>
          <w:sz w:val="22"/>
          <w:szCs w:val="22"/>
        </w:rPr>
        <w:t xml:space="preserve"> уплатить последнему неустойку в размере 5 (пять) % от Цены Договора, указанной в пункте 2.1 Договора.</w:t>
      </w:r>
    </w:p>
    <w:p>
      <w:pPr>
        <w:pStyle w:val="Normal"/>
        <w:shd w:val="clear" w:color="auto" w:fill="FFFFFF"/>
        <w:tabs>
          <w:tab w:val="clear" w:pos="720"/>
          <w:tab w:val="left" w:pos="1134" w:leader="none"/>
        </w:tabs>
        <w:spacing w:before="0" w:after="0"/>
        <w:ind w:firstLine="567"/>
        <w:contextualSpacing/>
        <w:jc w:val="both"/>
        <w:rPr>
          <w:sz w:val="22"/>
          <w:szCs w:val="22"/>
        </w:rPr>
      </w:pPr>
      <w:r>
        <w:rPr>
          <w:sz w:val="22"/>
          <w:szCs w:val="22"/>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Normal"/>
        <w:shd w:val="clear" w:color="auto" w:fill="FFFFFF"/>
        <w:tabs>
          <w:tab w:val="clear" w:pos="720"/>
          <w:tab w:val="left" w:pos="1134" w:leader="none"/>
        </w:tabs>
        <w:spacing w:before="0" w:after="0"/>
        <w:ind w:firstLine="567"/>
        <w:contextualSpacing/>
        <w:jc w:val="both"/>
        <w:rPr>
          <w:sz w:val="22"/>
          <w:szCs w:val="22"/>
        </w:rPr>
      </w:pPr>
      <w:r>
        <w:rPr>
          <w:sz w:val="22"/>
          <w:szCs w:val="22"/>
        </w:rPr>
      </w:r>
    </w:p>
    <w:p>
      <w:pPr>
        <w:pStyle w:val="ListParagraph"/>
        <w:numPr>
          <w:ilvl w:val="0"/>
          <w:numId w:val="15"/>
        </w:numPr>
        <w:shd w:val="clear" w:color="auto" w:fill="FFFFFF"/>
        <w:jc w:val="center"/>
        <w:rPr>
          <w:b/>
          <w:sz w:val="22"/>
          <w:szCs w:val="22"/>
        </w:rPr>
      </w:pPr>
      <w:r>
        <w:rPr>
          <w:b/>
          <w:sz w:val="22"/>
          <w:szCs w:val="22"/>
        </w:rPr>
        <w:t>Заключительные положения</w:t>
      </w:r>
    </w:p>
    <w:p>
      <w:pPr>
        <w:pStyle w:val="ListParagraph"/>
        <w:shd w:val="clear" w:color="auto" w:fill="FFFFFF"/>
        <w:ind w:hanging="0" w:left="480"/>
        <w:rPr>
          <w:b/>
          <w:sz w:val="22"/>
          <w:szCs w:val="22"/>
        </w:rPr>
      </w:pPr>
      <w:r>
        <w:rPr>
          <w:b/>
          <w:sz w:val="22"/>
          <w:szCs w:val="22"/>
        </w:rPr>
      </w:r>
    </w:p>
    <w:p>
      <w:pPr>
        <w:pStyle w:val="Normal"/>
        <w:widowControl w:val="false"/>
        <w:numPr>
          <w:ilvl w:val="1"/>
          <w:numId w:val="15"/>
        </w:numPr>
        <w:shd w:val="clear" w:color="auto" w:fill="FFFFFF"/>
        <w:tabs>
          <w:tab w:val="left" w:pos="720" w:leader="none"/>
          <w:tab w:val="left" w:pos="1134" w:leader="none"/>
        </w:tabs>
        <w:spacing w:before="0" w:after="0"/>
        <w:ind w:firstLine="567" w:left="0"/>
        <w:contextualSpacing/>
        <w:jc w:val="both"/>
        <w:rPr>
          <w:sz w:val="22"/>
          <w:szCs w:val="22"/>
        </w:rPr>
      </w:pPr>
      <w:r>
        <w:rPr>
          <w:sz w:val="22"/>
          <w:szCs w:val="22"/>
        </w:rPr>
        <w:t>Договор вступает в силу с даты его подписания Сторонами и действует до полного исполнения ими принятых на себя обязательств.</w:t>
      </w:r>
    </w:p>
    <w:p>
      <w:pPr>
        <w:pStyle w:val="Normal"/>
        <w:widowControl w:val="false"/>
        <w:numPr>
          <w:ilvl w:val="0"/>
          <w:numId w:val="0"/>
        </w:numPr>
        <w:shd w:val="clear" w:color="auto" w:fill="FFFFFF"/>
        <w:tabs>
          <w:tab w:val="left" w:pos="720" w:leader="none"/>
          <w:tab w:val="left" w:pos="1134" w:leader="none"/>
        </w:tabs>
        <w:spacing w:before="0" w:after="0"/>
        <w:ind w:hanging="0" w:left="0"/>
        <w:contextualSpacing/>
        <w:jc w:val="both"/>
        <w:rPr>
          <w:sz w:val="22"/>
          <w:szCs w:val="22"/>
        </w:rPr>
      </w:pPr>
      <w:r>
        <w:rPr>
          <w:sz w:val="22"/>
          <w:szCs w:val="22"/>
        </w:rPr>
        <w:t xml:space="preserve">     </w:t>
      </w:r>
      <w:r>
        <w:rPr>
          <w:sz w:val="22"/>
          <w:szCs w:val="22"/>
        </w:rPr>
        <w:t>14.1.1. 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w:t>
      </w:r>
    </w:p>
    <w:p>
      <w:pPr>
        <w:pStyle w:val="Normal"/>
        <w:widowControl w:val="false"/>
        <w:numPr>
          <w:ilvl w:val="0"/>
          <w:numId w:val="0"/>
        </w:numPr>
        <w:shd w:val="clear" w:color="auto" w:fill="FFFFFF"/>
        <w:tabs>
          <w:tab w:val="left" w:pos="720" w:leader="none"/>
          <w:tab w:val="left" w:pos="1134" w:leader="none"/>
        </w:tabs>
        <w:spacing w:before="0" w:after="0"/>
        <w:ind w:hanging="0" w:left="0"/>
        <w:contextualSpacing/>
        <w:jc w:val="both"/>
        <w:rPr>
          <w:sz w:val="22"/>
          <w:szCs w:val="22"/>
        </w:rPr>
      </w:pPr>
      <w:r>
        <w:rPr>
          <w:sz w:val="22"/>
          <w:szCs w:val="22"/>
        </w:rPr>
        <w:t xml:space="preserve">      </w:t>
      </w:r>
      <w:r>
        <w:rPr>
          <w:sz w:val="22"/>
          <w:szCs w:val="22"/>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pPr>
        <w:pStyle w:val="Normal"/>
        <w:widowControl w:val="false"/>
        <w:numPr>
          <w:ilvl w:val="1"/>
          <w:numId w:val="15"/>
        </w:numPr>
        <w:shd w:val="clear" w:color="auto" w:fill="FFFFFF"/>
        <w:tabs>
          <w:tab w:val="left" w:pos="720" w:leader="none"/>
          <w:tab w:val="left" w:pos="1134" w:leader="none"/>
        </w:tabs>
        <w:spacing w:before="0" w:after="0"/>
        <w:ind w:firstLine="567" w:left="0"/>
        <w:contextualSpacing/>
        <w:jc w:val="both"/>
        <w:rPr>
          <w:sz w:val="22"/>
          <w:szCs w:val="22"/>
        </w:rPr>
      </w:pPr>
      <w:r>
        <w:rPr>
          <w:sz w:val="22"/>
          <w:szCs w:val="22"/>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14.6 Договора. </w:t>
      </w:r>
    </w:p>
    <w:p>
      <w:pPr>
        <w:pStyle w:val="Normal"/>
        <w:widowControl w:val="false"/>
        <w:numPr>
          <w:ilvl w:val="1"/>
          <w:numId w:val="15"/>
        </w:numPr>
        <w:shd w:val="clear" w:color="auto" w:fill="FFFFFF"/>
        <w:tabs>
          <w:tab w:val="left" w:pos="720" w:leader="none"/>
          <w:tab w:val="left" w:pos="1134" w:leader="none"/>
        </w:tabs>
        <w:spacing w:before="0" w:after="0"/>
        <w:ind w:firstLine="567" w:left="0"/>
        <w:contextualSpacing/>
        <w:jc w:val="both"/>
        <w:rPr>
          <w:sz w:val="22"/>
          <w:szCs w:val="22"/>
        </w:rPr>
      </w:pPr>
      <w:r>
        <w:rPr>
          <w:sz w:val="22"/>
          <w:szCs w:val="22"/>
        </w:rPr>
        <w:t>Приложения, изменения и дополнения, оформленные надлежащим образом, являются неотъемлемой частью Договора.</w:t>
      </w:r>
    </w:p>
    <w:p>
      <w:pPr>
        <w:pStyle w:val="Normal"/>
        <w:widowControl w:val="false"/>
        <w:numPr>
          <w:ilvl w:val="1"/>
          <w:numId w:val="15"/>
        </w:numPr>
        <w:shd w:val="clear" w:color="auto" w:fill="FFFFFF"/>
        <w:tabs>
          <w:tab w:val="left" w:pos="720" w:leader="none"/>
          <w:tab w:val="left" w:pos="1134" w:leader="none"/>
        </w:tabs>
        <w:spacing w:before="0" w:after="0"/>
        <w:ind w:firstLine="567" w:left="0"/>
        <w:contextualSpacing/>
        <w:jc w:val="both"/>
        <w:rPr>
          <w:sz w:val="22"/>
          <w:szCs w:val="22"/>
        </w:rPr>
      </w:pPr>
      <w:r>
        <w:rPr>
          <w:sz w:val="22"/>
          <w:szCs w:val="22"/>
        </w:rPr>
        <w:t>В случае наличия любых расхождений между основным текстом Договора и текстами приложений к нему, приоритет имеет текст Договора.</w:t>
      </w:r>
    </w:p>
    <w:p>
      <w:pPr>
        <w:pStyle w:val="Normal"/>
        <w:widowControl w:val="false"/>
        <w:numPr>
          <w:ilvl w:val="1"/>
          <w:numId w:val="15"/>
        </w:numPr>
        <w:shd w:val="clear" w:color="auto" w:fill="FFFFFF"/>
        <w:tabs>
          <w:tab w:val="left" w:pos="720" w:leader="none"/>
          <w:tab w:val="left" w:pos="1134" w:leader="none"/>
        </w:tabs>
        <w:spacing w:before="0" w:after="0"/>
        <w:ind w:firstLine="567" w:left="0"/>
        <w:contextualSpacing/>
        <w:jc w:val="both"/>
        <w:rPr>
          <w:sz w:val="22"/>
          <w:szCs w:val="22"/>
        </w:rPr>
      </w:pPr>
      <w:r>
        <w:rPr>
          <w:sz w:val="22"/>
          <w:szCs w:val="22"/>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pPr>
        <w:pStyle w:val="Normal"/>
        <w:widowControl w:val="false"/>
        <w:numPr>
          <w:ilvl w:val="1"/>
          <w:numId w:val="15"/>
        </w:numPr>
        <w:shd w:val="clear" w:color="auto" w:fill="FFFFFF"/>
        <w:tabs>
          <w:tab w:val="left" w:pos="720" w:leader="none"/>
          <w:tab w:val="left" w:pos="1134" w:leader="none"/>
        </w:tabs>
        <w:spacing w:before="0" w:after="0"/>
        <w:ind w:firstLine="567" w:left="0"/>
        <w:contextualSpacing/>
        <w:jc w:val="both"/>
        <w:rPr>
          <w:sz w:val="22"/>
          <w:szCs w:val="22"/>
        </w:rPr>
      </w:pPr>
      <w:r>
        <w:rPr>
          <w:sz w:val="22"/>
          <w:szCs w:val="22"/>
        </w:rPr>
        <w:t xml:space="preserve">Стороны обязуются уведомлять друг друга об изменении реквизитов, указанных в разделе 16 Договора, не позднее 3 (трех) рабочих дней после такого изменения в порядке, установленном п. 14.7 Договора. </w:t>
      </w:r>
    </w:p>
    <w:p>
      <w:pPr>
        <w:pStyle w:val="Normal"/>
        <w:widowControl w:val="false"/>
        <w:numPr>
          <w:ilvl w:val="1"/>
          <w:numId w:val="15"/>
        </w:numPr>
        <w:shd w:val="clear" w:color="auto" w:fill="FFFFFF"/>
        <w:tabs>
          <w:tab w:val="left" w:pos="720" w:leader="none"/>
          <w:tab w:val="left" w:pos="1134" w:leader="none"/>
        </w:tabs>
        <w:spacing w:before="0" w:after="0"/>
        <w:ind w:firstLine="567" w:left="0"/>
        <w:contextualSpacing/>
        <w:jc w:val="both"/>
        <w:rPr>
          <w:bCs/>
          <w:sz w:val="22"/>
          <w:szCs w:val="22"/>
        </w:rPr>
      </w:pPr>
      <w:r>
        <w:rPr>
          <w:sz w:val="22"/>
          <w:szCs w:val="22"/>
        </w:rPr>
        <w:t>Документ</w:t>
      </w:r>
      <w:r>
        <w:rPr>
          <w:bCs/>
          <w:sz w:val="22"/>
          <w:szCs w:val="22"/>
        </w:rPr>
        <w:t xml:space="preserve"> будет считаться полученным:</w:t>
      </w:r>
    </w:p>
    <w:p>
      <w:pPr>
        <w:pStyle w:val="ListParagraph"/>
        <w:widowControl/>
        <w:numPr>
          <w:ilvl w:val="2"/>
          <w:numId w:val="15"/>
        </w:numPr>
        <w:shd w:val="clear" w:color="auto" w:fill="FFFFFF"/>
        <w:tabs>
          <w:tab w:val="clear" w:pos="720"/>
          <w:tab w:val="left" w:pos="1134" w:leader="none"/>
        </w:tabs>
        <w:ind w:firstLine="567" w:left="0"/>
        <w:jc w:val="both"/>
        <w:rPr>
          <w:bCs/>
          <w:sz w:val="22"/>
          <w:szCs w:val="22"/>
        </w:rPr>
      </w:pPr>
      <w:r>
        <w:rPr>
          <w:bCs/>
          <w:sz w:val="22"/>
          <w:szCs w:val="22"/>
        </w:rPr>
        <w:t>в случае вручения лично или отправления по почте заказным письмом, курьерской связью – в дату и время фактического вручения;</w:t>
      </w:r>
    </w:p>
    <w:p>
      <w:pPr>
        <w:pStyle w:val="ListParagraph"/>
        <w:widowControl/>
        <w:numPr>
          <w:ilvl w:val="2"/>
          <w:numId w:val="15"/>
        </w:numPr>
        <w:shd w:val="clear" w:color="auto" w:fill="FFFFFF"/>
        <w:tabs>
          <w:tab w:val="clear" w:pos="720"/>
          <w:tab w:val="left" w:pos="1134" w:leader="none"/>
        </w:tabs>
        <w:ind w:firstLine="567" w:left="0"/>
        <w:jc w:val="both"/>
        <w:rPr>
          <w:bCs/>
          <w:sz w:val="22"/>
          <w:szCs w:val="22"/>
        </w:rPr>
      </w:pPr>
      <w:r>
        <w:rPr>
          <w:bCs/>
          <w:sz w:val="22"/>
          <w:szCs w:val="22"/>
        </w:rPr>
        <w:t xml:space="preserve">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14.7.1 Договора. </w:t>
      </w:r>
    </w:p>
    <w:p>
      <w:pPr>
        <w:pStyle w:val="Normal"/>
        <w:widowControl w:val="false"/>
        <w:numPr>
          <w:ilvl w:val="1"/>
          <w:numId w:val="15"/>
        </w:numPr>
        <w:shd w:val="clear" w:color="auto" w:fill="FFFFFF"/>
        <w:tabs>
          <w:tab w:val="left" w:pos="720" w:leader="none"/>
          <w:tab w:val="left" w:pos="1134" w:leader="none"/>
        </w:tabs>
        <w:spacing w:before="0" w:after="0"/>
        <w:ind w:firstLine="567" w:left="0"/>
        <w:contextualSpacing/>
        <w:jc w:val="both"/>
        <w:rPr>
          <w:sz w:val="22"/>
          <w:szCs w:val="22"/>
        </w:rPr>
      </w:pPr>
      <w:r>
        <w:rPr>
          <w:sz w:val="22"/>
          <w:szCs w:val="22"/>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w:t>
      </w:r>
    </w:p>
    <w:p>
      <w:pPr>
        <w:pStyle w:val="Normal"/>
        <w:widowControl w:val="false"/>
        <w:numPr>
          <w:ilvl w:val="1"/>
          <w:numId w:val="15"/>
        </w:numPr>
        <w:shd w:val="clear" w:color="auto" w:fill="FFFFFF"/>
        <w:tabs>
          <w:tab w:val="left" w:pos="720" w:leader="none"/>
          <w:tab w:val="left" w:pos="1134" w:leader="none"/>
        </w:tabs>
        <w:spacing w:before="0" w:after="0"/>
        <w:ind w:firstLine="567" w:left="0"/>
        <w:contextualSpacing/>
        <w:jc w:val="both"/>
        <w:rPr>
          <w:sz w:val="22"/>
          <w:szCs w:val="22"/>
        </w:rPr>
      </w:pPr>
      <w:r>
        <w:rPr>
          <w:sz w:val="22"/>
          <w:szCs w:val="22"/>
        </w:rPr>
        <w:t xml:space="preserve">Во всем, что не урегулировано Договором, Стороны руководствуются положениями законодательства Российской Федерации. </w:t>
      </w:r>
    </w:p>
    <w:p>
      <w:pPr>
        <w:pStyle w:val="Normal"/>
        <w:widowControl w:val="false"/>
        <w:numPr>
          <w:ilvl w:val="1"/>
          <w:numId w:val="15"/>
        </w:numPr>
        <w:shd w:val="clear" w:color="auto" w:fill="FFFFFF"/>
        <w:tabs>
          <w:tab w:val="left" w:pos="720" w:leader="none"/>
          <w:tab w:val="left" w:pos="1134" w:leader="none"/>
        </w:tabs>
        <w:spacing w:before="0" w:after="0"/>
        <w:ind w:firstLine="567" w:left="0"/>
        <w:contextualSpacing/>
        <w:jc w:val="both"/>
        <w:rPr>
          <w:bCs/>
          <w:sz w:val="22"/>
          <w:szCs w:val="22"/>
        </w:rPr>
      </w:pPr>
      <w:r>
        <w:rPr>
          <w:sz w:val="22"/>
          <w:szCs w:val="22"/>
        </w:rPr>
        <w:t xml:space="preserve"> </w:t>
      </w:r>
      <w:r>
        <w:rPr>
          <w:sz w:val="22"/>
          <w:szCs w:val="22"/>
        </w:rPr>
        <w:t>Договор</w:t>
      </w:r>
      <w:r>
        <w:rPr>
          <w:bCs/>
          <w:sz w:val="22"/>
          <w:szCs w:val="22"/>
        </w:rPr>
        <w:t xml:space="preserve"> составлен в двух оригинальных экземплярах, по одному для каждой из Сторон.</w:t>
      </w:r>
    </w:p>
    <w:p>
      <w:pPr>
        <w:pStyle w:val="Normal"/>
        <w:widowControl w:val="false"/>
        <w:shd w:val="clear" w:color="auto" w:fill="FFFFFF"/>
        <w:tabs>
          <w:tab w:val="left" w:pos="720" w:leader="none"/>
        </w:tabs>
        <w:ind w:hanging="0" w:left="567"/>
        <w:jc w:val="both"/>
        <w:rPr>
          <w:bCs/>
          <w:sz w:val="22"/>
          <w:szCs w:val="22"/>
        </w:rPr>
      </w:pPr>
      <w:r>
        <w:rPr>
          <w:bCs/>
          <w:sz w:val="22"/>
          <w:szCs w:val="22"/>
        </w:rPr>
      </w:r>
    </w:p>
    <w:p>
      <w:pPr>
        <w:pStyle w:val="Normal"/>
        <w:widowControl w:val="false"/>
        <w:numPr>
          <w:ilvl w:val="0"/>
          <w:numId w:val="17"/>
        </w:numPr>
        <w:shd w:val="clear" w:color="auto" w:fill="FFFFFF"/>
        <w:jc w:val="center"/>
        <w:rPr>
          <w:b/>
          <w:sz w:val="22"/>
          <w:szCs w:val="22"/>
        </w:rPr>
      </w:pPr>
      <w:r>
        <w:rPr>
          <w:b/>
          <w:sz w:val="22"/>
          <w:szCs w:val="22"/>
        </w:rPr>
        <w:t>Приложения к Договору</w:t>
      </w:r>
    </w:p>
    <w:p>
      <w:pPr>
        <w:pStyle w:val="Normal"/>
        <w:widowControl w:val="false"/>
        <w:shd w:val="clear" w:color="auto" w:fill="FFFFFF"/>
        <w:ind w:hanging="0" w:left="567"/>
        <w:rPr>
          <w:b/>
          <w:sz w:val="22"/>
          <w:szCs w:val="22"/>
        </w:rPr>
      </w:pPr>
      <w:r>
        <w:rPr>
          <w:b/>
          <w:sz w:val="22"/>
          <w:szCs w:val="22"/>
        </w:rPr>
      </w:r>
    </w:p>
    <w:p>
      <w:pPr>
        <w:pStyle w:val="Heading3"/>
        <w:keepNext w:val="false"/>
        <w:tabs>
          <w:tab w:val="clear" w:pos="0"/>
        </w:tabs>
        <w:ind w:firstLine="567"/>
        <w:jc w:val="both"/>
        <w:textAlignment w:val="baseline"/>
        <w:rPr>
          <w:b w:val="false"/>
          <w:sz w:val="22"/>
          <w:szCs w:val="22"/>
        </w:rPr>
      </w:pPr>
      <w:r>
        <w:rPr>
          <w:b w:val="false"/>
          <w:sz w:val="22"/>
          <w:szCs w:val="22"/>
        </w:rPr>
        <w:t>15.1. Приложение № 1 – Спецификация № 1.</w:t>
      </w:r>
    </w:p>
    <w:p>
      <w:pPr>
        <w:pStyle w:val="Heading3"/>
        <w:keepNext w:val="false"/>
        <w:tabs>
          <w:tab w:val="clear" w:pos="0"/>
        </w:tabs>
        <w:ind w:firstLine="567"/>
        <w:jc w:val="both"/>
        <w:textAlignment w:val="baseline"/>
        <w:rPr>
          <w:b w:val="false"/>
          <w:sz w:val="22"/>
          <w:szCs w:val="22"/>
        </w:rPr>
      </w:pPr>
      <w:r>
        <w:rPr>
          <w:b w:val="false"/>
          <w:sz w:val="22"/>
          <w:szCs w:val="22"/>
        </w:rPr>
        <w:t>15.2.  Приложение № 2 – Технические требования.</w:t>
      </w:r>
    </w:p>
    <w:p>
      <w:pPr>
        <w:pStyle w:val="Normal"/>
        <w:ind w:firstLine="567"/>
        <w:rPr>
          <w:sz w:val="22"/>
          <w:szCs w:val="22"/>
        </w:rPr>
      </w:pPr>
      <w:r>
        <w:rPr>
          <w:sz w:val="22"/>
          <w:szCs w:val="22"/>
        </w:rPr>
      </w:r>
      <w:bookmarkStart w:id="5" w:name="sub_1"/>
      <w:bookmarkStart w:id="6" w:name="sub_1"/>
      <w:bookmarkEnd w:id="6"/>
    </w:p>
    <w:p>
      <w:pPr>
        <w:pStyle w:val="Normal"/>
        <w:widowControl w:val="false"/>
        <w:numPr>
          <w:ilvl w:val="0"/>
          <w:numId w:val="17"/>
        </w:numPr>
        <w:shd w:val="clear" w:color="auto" w:fill="FFFFFF"/>
        <w:ind w:hanging="0" w:left="0"/>
        <w:jc w:val="center"/>
        <w:rPr>
          <w:b/>
          <w:sz w:val="22"/>
          <w:szCs w:val="22"/>
        </w:rPr>
      </w:pPr>
      <w:r>
        <w:rPr>
          <w:b/>
          <w:sz w:val="22"/>
          <w:szCs w:val="22"/>
        </w:rPr>
        <w:t xml:space="preserve">Адреса, реквизиты и подписи Сторон </w:t>
      </w:r>
    </w:p>
    <w:p>
      <w:pPr>
        <w:pStyle w:val="Normal"/>
        <w:widowControl w:val="false"/>
        <w:shd w:val="clear" w:color="auto" w:fill="FFFFFF"/>
        <w:ind w:hanging="0" w:left="567"/>
        <w:rPr>
          <w:b/>
          <w:sz w:val="22"/>
          <w:szCs w:val="22"/>
        </w:rPr>
      </w:pPr>
      <w:r>
        <w:rPr>
          <w:b/>
          <w:sz w:val="22"/>
          <w:szCs w:val="22"/>
        </w:rPr>
      </w:r>
    </w:p>
    <w:tbl>
      <w:tblPr>
        <w:tblW w:w="9781"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678"/>
        <w:gridCol w:w="5102"/>
      </w:tblGrid>
      <w:tr>
        <w:trPr/>
        <w:tc>
          <w:tcPr>
            <w:tcW w:w="4678" w:type="dxa"/>
            <w:tcBorders/>
          </w:tcPr>
          <w:p>
            <w:pPr>
              <w:pStyle w:val="Normal"/>
              <w:widowControl w:val="false"/>
              <w:rPr>
                <w:b/>
                <w:sz w:val="22"/>
                <w:szCs w:val="22"/>
                <w:u w:val="single"/>
              </w:rPr>
            </w:pPr>
            <w:r>
              <w:rPr>
                <w:b/>
                <w:sz w:val="22"/>
                <w:szCs w:val="22"/>
                <w:u w:val="single"/>
              </w:rPr>
              <w:t>Покупатель:</w:t>
            </w:r>
          </w:p>
        </w:tc>
        <w:tc>
          <w:tcPr>
            <w:tcW w:w="5102" w:type="dxa"/>
            <w:tcBorders/>
          </w:tcPr>
          <w:p>
            <w:pPr>
              <w:pStyle w:val="Normal"/>
              <w:widowControl w:val="false"/>
              <w:rPr>
                <w:b/>
                <w:sz w:val="22"/>
                <w:szCs w:val="22"/>
                <w:u w:val="single"/>
              </w:rPr>
            </w:pPr>
            <w:r>
              <w:rPr>
                <w:b/>
                <w:sz w:val="22"/>
                <w:szCs w:val="22"/>
                <w:u w:val="single"/>
              </w:rPr>
              <w:t>Поставщик:</w:t>
            </w:r>
          </w:p>
        </w:tc>
      </w:tr>
      <w:tr>
        <w:trPr/>
        <w:tc>
          <w:tcPr>
            <w:tcW w:w="4678" w:type="dxa"/>
            <w:tcBorders/>
          </w:tcPr>
          <w:p>
            <w:pPr>
              <w:pStyle w:val="Normal"/>
              <w:widowControl w:val="false"/>
              <w:rPr>
                <w:b/>
                <w:sz w:val="22"/>
                <w:szCs w:val="22"/>
              </w:rPr>
            </w:pPr>
            <w:r>
              <w:rPr>
                <w:b/>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ind w:firstLine="567"/>
              <w:rPr>
                <w:b/>
                <w:sz w:val="22"/>
                <w:szCs w:val="22"/>
              </w:rPr>
            </w:pPr>
            <w:r>
              <w:rPr>
                <w:b/>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b/>
                <w:sz w:val="22"/>
                <w:szCs w:val="22"/>
              </w:rPr>
              <w:t>_______________</w:t>
            </w:r>
          </w:p>
        </w:tc>
        <w:tc>
          <w:tcPr>
            <w:tcW w:w="5102" w:type="dxa"/>
            <w:tcBorders/>
          </w:tcPr>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Cs/>
                <w:sz w:val="22"/>
                <w:szCs w:val="22"/>
              </w:rPr>
            </w:pPr>
            <w:r>
              <w:rPr>
                <w:bCs/>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t xml:space="preserve">________________ </w:t>
            </w:r>
          </w:p>
          <w:p>
            <w:pPr>
              <w:pStyle w:val="Normal"/>
              <w:widowControl w:val="false"/>
              <w:rPr>
                <w:sz w:val="22"/>
                <w:szCs w:val="22"/>
              </w:rPr>
            </w:pPr>
            <w:r>
              <w:rPr>
                <w:sz w:val="22"/>
                <w:szCs w:val="22"/>
              </w:rPr>
              <w:t xml:space="preserve"> </w:t>
            </w:r>
          </w:p>
        </w:tc>
      </w:tr>
      <w:tr>
        <w:trPr>
          <w:trHeight w:val="80" w:hRule="atLeast"/>
        </w:trPr>
        <w:tc>
          <w:tcPr>
            <w:tcW w:w="4678" w:type="dxa"/>
            <w:tcBorders/>
          </w:tcPr>
          <w:p>
            <w:pPr>
              <w:pStyle w:val="Normal"/>
              <w:widowControl w:val="false"/>
              <w:ind w:firstLine="567"/>
              <w:rPr>
                <w:sz w:val="22"/>
                <w:szCs w:val="22"/>
              </w:rPr>
            </w:pPr>
            <w:r>
              <w:rPr>
                <w:sz w:val="22"/>
                <w:szCs w:val="22"/>
              </w:rPr>
            </w:r>
          </w:p>
        </w:tc>
        <w:tc>
          <w:tcPr>
            <w:tcW w:w="5102" w:type="dxa"/>
            <w:tcBorders/>
          </w:tcPr>
          <w:p>
            <w:pPr>
              <w:pStyle w:val="Normal"/>
              <w:widowControl w:val="false"/>
              <w:ind w:firstLine="567"/>
              <w:rPr>
                <w:sz w:val="22"/>
                <w:szCs w:val="22"/>
              </w:rPr>
            </w:pPr>
            <w:r>
              <w:rPr>
                <w:sz w:val="22"/>
                <w:szCs w:val="22"/>
              </w:rPr>
            </w:r>
          </w:p>
        </w:tc>
      </w:tr>
    </w:tbl>
    <w:tbl>
      <w:tblPr>
        <w:tblpPr w:vertAnchor="text" w:horzAnchor="margin" w:leftFromText="180" w:rightFromText="180" w:tblpX="0" w:tblpY="225"/>
        <w:tblW w:w="9856"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5069"/>
        <w:gridCol w:w="4786"/>
      </w:tblGrid>
      <w:tr>
        <w:trPr/>
        <w:tc>
          <w:tcPr>
            <w:tcW w:w="5069" w:type="dxa"/>
            <w:tcBorders/>
            <w:shd w:color="auto" w:fill="FFFFFF" w:themeFill="background1" w:val="clear"/>
          </w:tcPr>
          <w:p>
            <w:pPr>
              <w:pStyle w:val="Normal"/>
              <w:widowControl w:val="false"/>
              <w:rPr>
                <w:szCs w:val="22"/>
              </w:rPr>
            </w:pPr>
            <w:r>
              <w:rPr>
                <w:szCs w:val="22"/>
              </w:rPr>
            </w:r>
          </w:p>
        </w:tc>
        <w:tc>
          <w:tcPr>
            <w:tcW w:w="4786" w:type="dxa"/>
            <w:tcBorders/>
            <w:shd w:color="auto" w:fill="FFFFFF" w:themeFill="background1" w:val="clear"/>
          </w:tcPr>
          <w:p>
            <w:pPr>
              <w:pStyle w:val="Style18"/>
              <w:widowControl w:val="false"/>
              <w:spacing w:lineRule="auto" w:line="240" w:before="0" w:after="0"/>
              <w:jc w:val="left"/>
              <w:rPr>
                <w:rFonts w:ascii="Times New Roman" w:hAnsi="Times New Roman"/>
                <w:szCs w:val="22"/>
                <w:lang w:val="ru-RU"/>
              </w:rPr>
            </w:pPr>
            <w:r>
              <w:rPr>
                <w:rFonts w:ascii="Times New Roman" w:hAnsi="Times New Roman"/>
                <w:szCs w:val="22"/>
                <w:lang w:val="ru-RU"/>
              </w:rPr>
            </w:r>
          </w:p>
        </w:tc>
      </w:tr>
    </w:tbl>
    <w:p>
      <w:pPr>
        <w:pStyle w:val="BodyText"/>
        <w:numPr>
          <w:ilvl w:val="0"/>
          <w:numId w:val="0"/>
        </w:numPr>
        <w:ind w:firstLine="567" w:left="0"/>
        <w:jc w:val="right"/>
        <w:outlineLvl w:val="0"/>
        <w:rPr>
          <w:bCs/>
          <w:szCs w:val="22"/>
        </w:rPr>
      </w:pPr>
      <w:r>
        <w:rPr>
          <w:bCs/>
          <w:szCs w:val="22"/>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numPr>
          <w:ilvl w:val="0"/>
          <w:numId w:val="0"/>
        </w:numPr>
        <w:ind w:firstLine="567" w:left="0"/>
        <w:jc w:val="right"/>
        <w:outlineLvl w:val="0"/>
        <w:rPr>
          <w:bCs/>
          <w:szCs w:val="22"/>
        </w:rPr>
      </w:pPr>
      <w:r>
        <w:rPr>
          <w:bCs/>
          <w:szCs w:val="22"/>
        </w:rPr>
        <w:t>Приложение № 1</w:t>
      </w:r>
    </w:p>
    <w:p>
      <w:pPr>
        <w:pStyle w:val="BodyText"/>
        <w:ind w:firstLine="567"/>
        <w:jc w:val="right"/>
        <w:rPr>
          <w:bCs/>
          <w:szCs w:val="22"/>
        </w:rPr>
      </w:pPr>
      <w:r>
        <w:rPr>
          <w:bCs/>
          <w:szCs w:val="22"/>
        </w:rPr>
        <w:t xml:space="preserve">к договору поставки </w:t>
      </w:r>
    </w:p>
    <w:p>
      <w:pPr>
        <w:pStyle w:val="BodyText"/>
        <w:ind w:firstLine="567"/>
        <w:jc w:val="right"/>
        <w:rPr>
          <w:bCs/>
          <w:szCs w:val="22"/>
        </w:rPr>
      </w:pPr>
      <w:r>
        <w:rPr>
          <w:bCs/>
          <w:szCs w:val="22"/>
        </w:rPr>
        <w:t xml:space="preserve">№ </w:t>
      </w:r>
      <w:r>
        <w:rPr>
          <w:bCs/>
          <w:szCs w:val="22"/>
        </w:rPr>
        <w:t>_______________________ от «____» ____________ 2026 г.</w:t>
      </w:r>
    </w:p>
    <w:p>
      <w:pPr>
        <w:pStyle w:val="Normal"/>
        <w:numPr>
          <w:ilvl w:val="0"/>
          <w:numId w:val="0"/>
        </w:numPr>
        <w:ind w:firstLine="567"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bookmarkStart w:id="7" w:name="_GoBack_Копия_1"/>
      <w:bookmarkEnd w:id="7"/>
      <w:r>
        <w:rPr>
          <w:b/>
          <w:sz w:val="22"/>
          <w:szCs w:val="22"/>
        </w:rPr>
        <w:t>Спецификация № 1</w:t>
      </w:r>
    </w:p>
    <w:p>
      <w:pPr>
        <w:pStyle w:val="Normal"/>
        <w:numPr>
          <w:ilvl w:val="0"/>
          <w:numId w:val="0"/>
        </w:numPr>
        <w:ind w:hanging="0" w:left="0"/>
        <w:jc w:val="center"/>
        <w:outlineLvl w:val="0"/>
        <w:rPr>
          <w:b/>
          <w:sz w:val="22"/>
          <w:szCs w:val="22"/>
        </w:rPr>
      </w:pPr>
      <w:r>
        <w:rPr>
          <w:b/>
          <w:sz w:val="22"/>
          <w:szCs w:val="22"/>
        </w:rPr>
      </w:r>
    </w:p>
    <w:tbl>
      <w:tblPr>
        <w:tblW w:w="9901" w:type="dxa"/>
        <w:jc w:val="left"/>
        <w:tblInd w:w="-118" w:type="dxa"/>
        <w:tblLayout w:type="fixed"/>
        <w:tblCellMar>
          <w:top w:w="0" w:type="dxa"/>
          <w:left w:w="108" w:type="dxa"/>
          <w:bottom w:w="0" w:type="dxa"/>
          <w:right w:w="108" w:type="dxa"/>
        </w:tblCellMar>
        <w:tblLook w:val="04a0" w:noHBand="0" w:noVBand="1" w:firstColumn="1" w:lastRow="0" w:lastColumn="0" w:firstRow="1"/>
      </w:tblPr>
      <w:tblGrid>
        <w:gridCol w:w="681"/>
        <w:gridCol w:w="3544"/>
        <w:gridCol w:w="1418"/>
        <w:gridCol w:w="1421"/>
        <w:gridCol w:w="1436"/>
        <w:gridCol w:w="1400"/>
      </w:tblGrid>
      <w:tr>
        <w:trPr/>
        <w:tc>
          <w:tcPr>
            <w:tcW w:w="681" w:type="dxa"/>
            <w:tcBorders>
              <w:top w:val="single" w:sz="4" w:space="0" w:color="000000"/>
              <w:left w:val="single" w:sz="4" w:space="0" w:color="000000"/>
              <w:bottom w:val="single" w:sz="4" w:space="0" w:color="000000"/>
              <w:right w:val="single" w:sz="4" w:space="0" w:color="000000"/>
            </w:tcBorders>
          </w:tcPr>
          <w:p>
            <w:pPr>
              <w:pStyle w:val="Normal"/>
              <w:keepNext w:val="true"/>
              <w:widowControl w:val="false"/>
              <w:jc w:val="center"/>
              <w:rPr>
                <w:sz w:val="22"/>
                <w:szCs w:val="22"/>
              </w:rPr>
            </w:pPr>
            <w:r>
              <w:rPr>
                <w:sz w:val="22"/>
                <w:szCs w:val="22"/>
              </w:rPr>
              <w:t>№</w:t>
            </w:r>
          </w:p>
          <w:p>
            <w:pPr>
              <w:pStyle w:val="Normal"/>
              <w:keepNext w:val="true"/>
              <w:widowControl w:val="false"/>
              <w:jc w:val="center"/>
              <w:rPr>
                <w:sz w:val="22"/>
                <w:szCs w:val="22"/>
              </w:rPr>
            </w:pPr>
            <w:r>
              <w:rPr>
                <w:sz w:val="22"/>
                <w:szCs w:val="22"/>
              </w:rPr>
              <w:t>п/п</w:t>
            </w:r>
          </w:p>
        </w:tc>
        <w:tc>
          <w:tcPr>
            <w:tcW w:w="3544" w:type="dxa"/>
            <w:tcBorders>
              <w:top w:val="single" w:sz="4" w:space="0" w:color="000000"/>
              <w:left w:val="single" w:sz="4" w:space="0" w:color="000000"/>
              <w:bottom w:val="single" w:sz="4" w:space="0" w:color="000000"/>
              <w:right w:val="single" w:sz="4" w:space="0" w:color="000000"/>
            </w:tcBorders>
          </w:tcPr>
          <w:p>
            <w:pPr>
              <w:pStyle w:val="Normal"/>
              <w:keepNext w:val="true"/>
              <w:widowControl w:val="false"/>
              <w:jc w:val="center"/>
              <w:rPr>
                <w:sz w:val="22"/>
                <w:szCs w:val="22"/>
              </w:rPr>
            </w:pPr>
            <w:r>
              <w:rPr>
                <w:sz w:val="22"/>
                <w:szCs w:val="22"/>
              </w:rPr>
              <w:t>Наименование Продукции</w:t>
            </w:r>
          </w:p>
        </w:tc>
        <w:tc>
          <w:tcPr>
            <w:tcW w:w="1418" w:type="dxa"/>
            <w:tcBorders>
              <w:top w:val="single" w:sz="4" w:space="0" w:color="000000"/>
              <w:left w:val="single" w:sz="4" w:space="0" w:color="000000"/>
              <w:bottom w:val="single" w:sz="4" w:space="0" w:color="000000"/>
              <w:right w:val="single" w:sz="4" w:space="0" w:color="000000"/>
            </w:tcBorders>
          </w:tcPr>
          <w:p>
            <w:pPr>
              <w:pStyle w:val="Normal"/>
              <w:keepNext w:val="true"/>
              <w:widowControl w:val="false"/>
              <w:jc w:val="center"/>
              <w:rPr>
                <w:sz w:val="22"/>
                <w:szCs w:val="22"/>
              </w:rPr>
            </w:pPr>
            <w:r>
              <w:rPr>
                <w:sz w:val="22"/>
                <w:szCs w:val="22"/>
              </w:rPr>
              <w:t>Единица измерения</w:t>
            </w:r>
          </w:p>
        </w:tc>
        <w:tc>
          <w:tcPr>
            <w:tcW w:w="1421" w:type="dxa"/>
            <w:tcBorders>
              <w:top w:val="single" w:sz="4" w:space="0" w:color="000000"/>
              <w:left w:val="single" w:sz="4" w:space="0" w:color="000000"/>
              <w:bottom w:val="single" w:sz="4" w:space="0" w:color="000000"/>
              <w:right w:val="single" w:sz="4" w:space="0" w:color="000000"/>
            </w:tcBorders>
          </w:tcPr>
          <w:p>
            <w:pPr>
              <w:pStyle w:val="Normal"/>
              <w:keepNext w:val="true"/>
              <w:widowControl w:val="false"/>
              <w:jc w:val="center"/>
              <w:rPr>
                <w:sz w:val="22"/>
                <w:szCs w:val="22"/>
              </w:rPr>
            </w:pPr>
            <w:r>
              <w:rPr>
                <w:sz w:val="22"/>
                <w:szCs w:val="22"/>
              </w:rPr>
              <w:t>Количество</w:t>
            </w:r>
          </w:p>
        </w:tc>
        <w:tc>
          <w:tcPr>
            <w:tcW w:w="1436" w:type="dxa"/>
            <w:tcBorders>
              <w:top w:val="single" w:sz="4" w:space="0" w:color="000000"/>
              <w:left w:val="single" w:sz="4" w:space="0" w:color="000000"/>
              <w:bottom w:val="single" w:sz="4" w:space="0" w:color="000000"/>
              <w:right w:val="single" w:sz="4" w:space="0" w:color="000000"/>
            </w:tcBorders>
          </w:tcPr>
          <w:p>
            <w:pPr>
              <w:pStyle w:val="Normal"/>
              <w:keepNext w:val="true"/>
              <w:widowControl w:val="false"/>
              <w:jc w:val="center"/>
              <w:rPr>
                <w:sz w:val="22"/>
                <w:szCs w:val="22"/>
              </w:rPr>
            </w:pPr>
            <w:r>
              <w:rPr>
                <w:sz w:val="22"/>
                <w:szCs w:val="22"/>
              </w:rPr>
              <w:t>Цена одной единицы Продукции, руб., без НДС</w:t>
            </w:r>
          </w:p>
        </w:tc>
        <w:tc>
          <w:tcPr>
            <w:tcW w:w="1400" w:type="dxa"/>
            <w:tcBorders>
              <w:top w:val="single" w:sz="4" w:space="0" w:color="000000"/>
              <w:left w:val="single" w:sz="4" w:space="0" w:color="000000"/>
              <w:bottom w:val="single" w:sz="4" w:space="0" w:color="000000"/>
              <w:right w:val="single" w:sz="4" w:space="0" w:color="000000"/>
            </w:tcBorders>
          </w:tcPr>
          <w:p>
            <w:pPr>
              <w:pStyle w:val="Normal"/>
              <w:keepNext w:val="true"/>
              <w:widowControl w:val="false"/>
              <w:jc w:val="center"/>
              <w:rPr>
                <w:sz w:val="22"/>
                <w:szCs w:val="22"/>
              </w:rPr>
            </w:pPr>
            <w:r>
              <w:rPr>
                <w:sz w:val="22"/>
                <w:szCs w:val="22"/>
              </w:rPr>
              <w:t>Итоговая стоимость позиции Продукции, руб. без НДС</w:t>
            </w:r>
          </w:p>
        </w:tc>
      </w:tr>
      <w:tr>
        <w:trPr/>
        <w:tc>
          <w:tcPr>
            <w:tcW w:w="68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2"/>
                <w:szCs w:val="22"/>
              </w:rPr>
            </w:pPr>
            <w:r>
              <w:rPr>
                <w:b/>
                <w:sz w:val="22"/>
                <w:szCs w:val="22"/>
              </w:rPr>
              <w:t>1</w:t>
            </w:r>
          </w:p>
        </w:tc>
        <w:tc>
          <w:tcPr>
            <w:tcW w:w="354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2"/>
                <w:szCs w:val="22"/>
              </w:rPr>
            </w:pPr>
            <w:r>
              <w:rPr>
                <w:b/>
                <w:sz w:val="22"/>
                <w:szCs w:val="22"/>
              </w:rPr>
              <w:t>2</w:t>
            </w:r>
          </w:p>
        </w:tc>
        <w:tc>
          <w:tcPr>
            <w:tcW w:w="141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2"/>
                <w:szCs w:val="22"/>
              </w:rPr>
            </w:pPr>
            <w:r>
              <w:rPr>
                <w:b/>
                <w:sz w:val="22"/>
                <w:szCs w:val="22"/>
              </w:rPr>
              <w:t>3</w:t>
            </w:r>
          </w:p>
        </w:tc>
        <w:tc>
          <w:tcPr>
            <w:tcW w:w="142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2"/>
                <w:szCs w:val="22"/>
              </w:rPr>
            </w:pPr>
            <w:r>
              <w:rPr>
                <w:b/>
                <w:sz w:val="22"/>
                <w:szCs w:val="22"/>
              </w:rPr>
              <w:t>4</w:t>
            </w:r>
          </w:p>
        </w:tc>
        <w:tc>
          <w:tcPr>
            <w:tcW w:w="143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2"/>
                <w:szCs w:val="22"/>
              </w:rPr>
            </w:pPr>
            <w:r>
              <w:rPr>
                <w:b/>
                <w:sz w:val="22"/>
                <w:szCs w:val="22"/>
              </w:rPr>
              <w:t>5</w:t>
            </w:r>
          </w:p>
        </w:tc>
        <w:tc>
          <w:tcPr>
            <w:tcW w:w="140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2"/>
                <w:szCs w:val="22"/>
              </w:rPr>
            </w:pPr>
            <w:r>
              <w:rPr>
                <w:b/>
                <w:sz w:val="22"/>
                <w:szCs w:val="22"/>
              </w:rPr>
              <w:t>6</w:t>
            </w:r>
          </w:p>
        </w:tc>
      </w:tr>
      <w:tr>
        <w:trPr/>
        <w:tc>
          <w:tcPr>
            <w:tcW w:w="681"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20"/>
              </w:numPr>
              <w:spacing w:before="0" w:after="0"/>
              <w:contextualSpacing/>
              <w:rPr>
                <w:rFonts w:eastAsia="Calibri"/>
                <w:sz w:val="22"/>
                <w:szCs w:val="22"/>
              </w:rPr>
            </w:pPr>
            <w:r>
              <w:rPr>
                <w:rFonts w:eastAsia="Calibri"/>
                <w:sz w:val="22"/>
                <w:szCs w:val="22"/>
              </w:rPr>
            </w:r>
          </w:p>
        </w:tc>
        <w:tc>
          <w:tcPr>
            <w:tcW w:w="3544" w:type="dxa"/>
            <w:tcBorders>
              <w:top w:val="single" w:sz="4" w:space="0" w:color="000000"/>
              <w:left w:val="single" w:sz="4" w:space="0" w:color="000000"/>
              <w:bottom w:val="single" w:sz="4" w:space="0" w:color="000000"/>
              <w:right w:val="single" w:sz="4" w:space="0" w:color="000000"/>
            </w:tcBorders>
          </w:tcPr>
          <w:p>
            <w:pPr>
              <w:pStyle w:val="Normal"/>
              <w:widowControl w:val="false"/>
              <w:rPr>
                <w:bCs/>
                <w:color w:val="000000"/>
                <w:sz w:val="22"/>
                <w:szCs w:val="22"/>
                <w:lang w:val="en-US"/>
              </w:rPr>
            </w:pPr>
            <w:r>
              <w:rPr>
                <w:bCs/>
                <w:color w:val="000000"/>
                <w:sz w:val="22"/>
                <w:szCs w:val="22"/>
                <w:lang w:val="en-US"/>
              </w:rPr>
            </w:r>
          </w:p>
        </w:tc>
        <w:tc>
          <w:tcPr>
            <w:tcW w:w="141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lang w:eastAsia="en-US"/>
              </w:rPr>
            </w:pPr>
            <w:r>
              <w:rPr>
                <w:bCs/>
                <w:color w:val="000000"/>
                <w:sz w:val="22"/>
                <w:szCs w:val="22"/>
                <w:lang w:eastAsia="en-US"/>
              </w:rPr>
            </w:r>
          </w:p>
        </w:tc>
        <w:tc>
          <w:tcPr>
            <w:tcW w:w="142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lang w:val="en-US"/>
              </w:rPr>
            </w:pPr>
            <w:r>
              <w:rPr>
                <w:bCs/>
                <w:color w:val="000000"/>
                <w:sz w:val="22"/>
                <w:szCs w:val="22"/>
                <w:lang w:val="en-US"/>
              </w:rPr>
            </w:r>
          </w:p>
        </w:tc>
        <w:tc>
          <w:tcPr>
            <w:tcW w:w="143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lang w:val="en-US"/>
              </w:rPr>
            </w:pPr>
            <w:r>
              <w:rPr>
                <w:bCs/>
                <w:color w:val="000000"/>
                <w:sz w:val="22"/>
                <w:szCs w:val="22"/>
                <w:lang w:val="en-US"/>
              </w:rPr>
            </w:r>
          </w:p>
        </w:tc>
        <w:tc>
          <w:tcPr>
            <w:tcW w:w="140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r>
          </w:p>
        </w:tc>
      </w:tr>
      <w:tr>
        <w:trPr/>
        <w:tc>
          <w:tcPr>
            <w:tcW w:w="8500"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jc w:val="right"/>
              <w:rPr>
                <w:bCs/>
                <w:color w:val="000000"/>
                <w:sz w:val="22"/>
                <w:szCs w:val="22"/>
              </w:rPr>
            </w:pPr>
            <w:r>
              <w:rPr>
                <w:bCs/>
                <w:color w:val="000000"/>
                <w:sz w:val="22"/>
                <w:szCs w:val="22"/>
              </w:rPr>
              <w:t>Итого без НДС</w:t>
            </w:r>
          </w:p>
        </w:tc>
        <w:tc>
          <w:tcPr>
            <w:tcW w:w="140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r>
          </w:p>
        </w:tc>
      </w:tr>
    </w:tbl>
    <w:p>
      <w:pPr>
        <w:pStyle w:val="Normal"/>
        <w:tabs>
          <w:tab w:val="clear" w:pos="720"/>
          <w:tab w:val="left" w:pos="0" w:leader="none"/>
        </w:tabs>
        <w:rPr>
          <w:sz w:val="22"/>
          <w:szCs w:val="22"/>
          <w:lang w:eastAsia="ar-SA"/>
        </w:rPr>
      </w:pPr>
      <w:r>
        <w:rPr>
          <w:sz w:val="22"/>
          <w:szCs w:val="22"/>
          <w:lang w:eastAsia="ar-SA"/>
        </w:rPr>
      </w:r>
    </w:p>
    <w:p>
      <w:pPr>
        <w:pStyle w:val="Normal"/>
        <w:ind w:firstLine="567"/>
        <w:jc w:val="both"/>
        <w:rPr>
          <w:bCs/>
          <w:sz w:val="22"/>
          <w:szCs w:val="22"/>
        </w:rPr>
      </w:pPr>
      <w:r>
        <w:rPr>
          <w:bCs/>
          <w:sz w:val="22"/>
          <w:szCs w:val="22"/>
        </w:rPr>
        <w:t>1. Общая сумма Спецификации № 1 составляет __________</w:t>
      </w:r>
      <w:r>
        <w:rPr>
          <w:sz w:val="22"/>
          <w:szCs w:val="22"/>
        </w:rPr>
        <w:t xml:space="preserve"> (_______________________) рублей 00 копеек </w:t>
      </w:r>
      <w:r>
        <w:rPr>
          <w:bCs/>
          <w:sz w:val="22"/>
          <w:szCs w:val="22"/>
        </w:rPr>
        <w:t>без учета НДС, при этом НДС исчисляется дополнительно по ставке, установленной ст. 164 Налогового кодекса РФ.</w:t>
      </w:r>
    </w:p>
    <w:p>
      <w:pPr>
        <w:pStyle w:val="Normal"/>
        <w:ind w:firstLine="567"/>
        <w:jc w:val="both"/>
        <w:rPr>
          <w:bCs/>
          <w:sz w:val="22"/>
          <w:szCs w:val="22"/>
        </w:rPr>
      </w:pPr>
      <w:r>
        <w:rPr>
          <w:bCs/>
          <w:sz w:val="22"/>
          <w:szCs w:val="22"/>
        </w:rPr>
        <w:t xml:space="preserve">2. Страна производства по ОКСМ: </w:t>
      </w:r>
    </w:p>
    <w:p>
      <w:pPr>
        <w:pStyle w:val="Normal"/>
        <w:rPr>
          <w:sz w:val="22"/>
          <w:szCs w:val="22"/>
        </w:rPr>
      </w:pPr>
      <w:r>
        <w:rPr>
          <w:sz w:val="22"/>
          <w:szCs w:val="22"/>
        </w:rPr>
      </w:r>
    </w:p>
    <w:tbl>
      <w:tblPr>
        <w:tblpPr w:vertAnchor="text" w:horzAnchor="margin" w:leftFromText="180" w:rightFromText="180" w:tblpX="0" w:tblpY="225"/>
        <w:tblW w:w="10456"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5354"/>
        <w:gridCol w:w="5101"/>
      </w:tblGrid>
      <w:tr>
        <w:trPr/>
        <w:tc>
          <w:tcPr>
            <w:tcW w:w="5354" w:type="dxa"/>
            <w:tcBorders/>
            <w:shd w:color="auto" w:fill="FFFFFF" w:themeFill="background1" w:val="clear"/>
          </w:tcPr>
          <w:p>
            <w:pPr>
              <w:pStyle w:val="Normal"/>
              <w:widowControl w:val="false"/>
              <w:rPr>
                <w:b/>
                <w:sz w:val="22"/>
                <w:szCs w:val="22"/>
                <w:u w:val="single"/>
              </w:rPr>
            </w:pPr>
            <w:r>
              <w:rPr>
                <w:b/>
                <w:sz w:val="22"/>
                <w:szCs w:val="22"/>
                <w:u w:val="single"/>
              </w:rPr>
              <w:t>Покупатель:</w:t>
            </w:r>
          </w:p>
          <w:p>
            <w:pPr>
              <w:pStyle w:val="Normal"/>
              <w:widowControl w:val="false"/>
              <w:rPr>
                <w:sz w:val="22"/>
                <w:szCs w:val="22"/>
              </w:rPr>
            </w:pPr>
            <w:r>
              <w:rPr>
                <w:sz w:val="22"/>
                <w:szCs w:val="22"/>
              </w:rPr>
            </w:r>
          </w:p>
          <w:p>
            <w:pPr>
              <w:pStyle w:val="Normal"/>
              <w:widowControl w:val="false"/>
              <w:rPr>
                <w:sz w:val="22"/>
                <w:szCs w:val="22"/>
                <w:u w:val="single"/>
              </w:rPr>
            </w:pPr>
            <w:r>
              <w:rPr>
                <w:sz w:val="22"/>
                <w:szCs w:val="22"/>
                <w:u w:val="single"/>
              </w:rPr>
            </w:r>
          </w:p>
          <w:p>
            <w:pPr>
              <w:pStyle w:val="Normal"/>
              <w:widowControl w:val="false"/>
              <w:rPr>
                <w:sz w:val="22"/>
                <w:szCs w:val="22"/>
                <w:u w:val="single"/>
              </w:rPr>
            </w:pPr>
            <w:r>
              <w:rPr>
                <w:sz w:val="22"/>
                <w:szCs w:val="22"/>
                <w:u w:val="single"/>
              </w:rPr>
            </w:r>
          </w:p>
        </w:tc>
        <w:tc>
          <w:tcPr>
            <w:tcW w:w="5101" w:type="dxa"/>
            <w:tcBorders/>
            <w:shd w:color="auto" w:fill="FFFFFF" w:themeFill="background1" w:val="clear"/>
          </w:tcPr>
          <w:p>
            <w:pPr>
              <w:pStyle w:val="Normal"/>
              <w:widowControl w:val="false"/>
              <w:rPr>
                <w:b/>
                <w:sz w:val="22"/>
                <w:szCs w:val="22"/>
                <w:u w:val="single"/>
              </w:rPr>
            </w:pPr>
            <w:r>
              <w:rPr>
                <w:b/>
                <w:sz w:val="22"/>
                <w:szCs w:val="22"/>
                <w:u w:val="single"/>
              </w:rPr>
              <w:t>Поставщик:</w:t>
            </w:r>
          </w:p>
          <w:p>
            <w:pPr>
              <w:pStyle w:val="Normal"/>
              <w:widowControl w:val="false"/>
              <w:rPr>
                <w:sz w:val="22"/>
                <w:szCs w:val="22"/>
              </w:rPr>
            </w:pPr>
            <w:r>
              <w:rPr>
                <w:sz w:val="22"/>
                <w:szCs w:val="22"/>
              </w:rPr>
            </w:r>
          </w:p>
        </w:tc>
      </w:tr>
      <w:tr>
        <w:trPr/>
        <w:tc>
          <w:tcPr>
            <w:tcW w:w="5354" w:type="dxa"/>
            <w:tcBorders/>
            <w:shd w:color="auto" w:fill="FFFFFF" w:themeFill="background1" w:val="clear"/>
          </w:tcPr>
          <w:p>
            <w:pPr>
              <w:pStyle w:val="Normal"/>
              <w:widowControl w:val="false"/>
              <w:rPr>
                <w:sz w:val="22"/>
                <w:szCs w:val="22"/>
              </w:rPr>
            </w:pPr>
            <w:r>
              <w:rPr>
                <w:sz w:val="22"/>
                <w:szCs w:val="22"/>
              </w:rPr>
              <w:t xml:space="preserve">_______________ </w:t>
            </w:r>
          </w:p>
          <w:p>
            <w:pPr>
              <w:pStyle w:val="Normal"/>
              <w:widowControl w:val="false"/>
              <w:rPr>
                <w:sz w:val="22"/>
                <w:szCs w:val="22"/>
              </w:rPr>
            </w:pPr>
            <w:r>
              <w:rPr>
                <w:sz w:val="22"/>
                <w:szCs w:val="22"/>
              </w:rPr>
              <w:t>м.п.</w:t>
            </w:r>
          </w:p>
        </w:tc>
        <w:tc>
          <w:tcPr>
            <w:tcW w:w="5101" w:type="dxa"/>
            <w:tcBorders/>
            <w:shd w:color="auto" w:fill="FFFFFF" w:themeFill="background1" w:val="clear"/>
          </w:tcPr>
          <w:p>
            <w:pPr>
              <w:pStyle w:val="Normal"/>
              <w:widowControl w:val="false"/>
              <w:rPr>
                <w:sz w:val="22"/>
                <w:szCs w:val="22"/>
              </w:rPr>
            </w:pPr>
            <w:r>
              <w:rPr>
                <w:sz w:val="22"/>
                <w:szCs w:val="22"/>
              </w:rPr>
              <w:t>_______________</w:t>
            </w:r>
          </w:p>
          <w:p>
            <w:pPr>
              <w:pStyle w:val="Normal"/>
              <w:widowControl w:val="false"/>
              <w:rPr>
                <w:sz w:val="22"/>
                <w:szCs w:val="22"/>
              </w:rPr>
            </w:pPr>
            <w:r>
              <w:rPr>
                <w:sz w:val="22"/>
                <w:szCs w:val="22"/>
              </w:rPr>
              <w:t>м.п.</w:t>
            </w:r>
          </w:p>
        </w:tc>
      </w:tr>
    </w:tbl>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right"/>
        <w:outlineLvl w:val="0"/>
        <w:rPr>
          <w:sz w:val="22"/>
          <w:szCs w:val="22"/>
        </w:rPr>
      </w:pPr>
      <w:r>
        <w:rPr>
          <w:sz w:val="22"/>
          <w:szCs w:val="22"/>
        </w:rPr>
      </w:r>
    </w:p>
    <w:p>
      <w:pPr>
        <w:pStyle w:val="Normal"/>
        <w:numPr>
          <w:ilvl w:val="0"/>
          <w:numId w:val="0"/>
        </w:numPr>
        <w:ind w:hanging="0" w:left="0"/>
        <w:jc w:val="right"/>
        <w:outlineLvl w:val="0"/>
        <w:rPr>
          <w:sz w:val="22"/>
          <w:szCs w:val="22"/>
        </w:rPr>
      </w:pPr>
      <w:r>
        <w:rPr>
          <w:sz w:val="22"/>
          <w:szCs w:val="22"/>
        </w:rPr>
      </w:r>
    </w:p>
    <w:p>
      <w:pPr>
        <w:pStyle w:val="Normal"/>
        <w:numPr>
          <w:ilvl w:val="0"/>
          <w:numId w:val="0"/>
        </w:numPr>
        <w:ind w:hanging="0" w:left="0"/>
        <w:jc w:val="right"/>
        <w:outlineLvl w:val="0"/>
        <w:rPr>
          <w:sz w:val="22"/>
          <w:szCs w:val="22"/>
        </w:rPr>
      </w:pPr>
      <w:r>
        <w:rPr>
          <w:sz w:val="22"/>
          <w:szCs w:val="22"/>
        </w:rPr>
        <w:t>Приложение № 2</w:t>
      </w:r>
    </w:p>
    <w:p>
      <w:pPr>
        <w:pStyle w:val="Normal"/>
        <w:numPr>
          <w:ilvl w:val="0"/>
          <w:numId w:val="0"/>
        </w:numPr>
        <w:ind w:hanging="0" w:left="0"/>
        <w:jc w:val="right"/>
        <w:outlineLvl w:val="0"/>
        <w:rPr>
          <w:sz w:val="22"/>
          <w:szCs w:val="22"/>
        </w:rPr>
      </w:pPr>
      <w:r>
        <w:rPr>
          <w:sz w:val="22"/>
          <w:szCs w:val="22"/>
        </w:rPr>
        <w:t xml:space="preserve">к договору поставки </w:t>
      </w:r>
    </w:p>
    <w:p>
      <w:pPr>
        <w:pStyle w:val="Normal"/>
        <w:numPr>
          <w:ilvl w:val="0"/>
          <w:numId w:val="0"/>
        </w:numPr>
        <w:ind w:hanging="0" w:left="0"/>
        <w:jc w:val="right"/>
        <w:outlineLvl w:val="0"/>
        <w:rPr>
          <w:sz w:val="22"/>
          <w:szCs w:val="22"/>
        </w:rPr>
      </w:pPr>
      <w:r>
        <w:rPr>
          <w:sz w:val="22"/>
          <w:szCs w:val="22"/>
        </w:rPr>
        <w:t xml:space="preserve">№ </w:t>
      </w:r>
      <w:r>
        <w:rPr>
          <w:sz w:val="22"/>
          <w:szCs w:val="22"/>
        </w:rPr>
        <w:t>_______________________ от «____» ____________ 2026 г.</w:t>
      </w:r>
    </w:p>
    <w:p>
      <w:pPr>
        <w:pStyle w:val="Normal"/>
        <w:widowControl w:val="false"/>
        <w:spacing w:lineRule="auto" w:line="264"/>
        <w:rPr>
          <w:sz w:val="24"/>
          <w:szCs w:val="24"/>
        </w:rPr>
      </w:pPr>
      <w:r>
        <w:rPr>
          <w:sz w:val="24"/>
          <w:szCs w:val="24"/>
        </w:rPr>
      </w:r>
    </w:p>
    <w:p>
      <w:pPr>
        <w:pStyle w:val="Normal"/>
        <w:widowControl w:val="false"/>
        <w:spacing w:lineRule="auto" w:line="264"/>
        <w:jc w:val="center"/>
        <w:rPr>
          <w:sz w:val="24"/>
          <w:szCs w:val="24"/>
        </w:rPr>
      </w:pPr>
      <w:r>
        <w:rPr>
          <w:b/>
          <w:sz w:val="24"/>
          <w:szCs w:val="24"/>
        </w:rPr>
        <w:t>Технические требования</w:t>
      </w:r>
    </w:p>
    <w:p>
      <w:pPr>
        <w:pStyle w:val="Normal"/>
        <w:widowControl w:val="false"/>
        <w:spacing w:lineRule="auto" w:line="264"/>
        <w:rPr>
          <w:sz w:val="24"/>
          <w:szCs w:val="24"/>
        </w:rPr>
      </w:pPr>
      <w:r>
        <w:rPr>
          <w:sz w:val="24"/>
          <w:szCs w:val="24"/>
        </w:rPr>
      </w:r>
    </w:p>
    <w:p>
      <w:pPr>
        <w:pStyle w:val="Heading4"/>
        <w:numPr>
          <w:ilvl w:val="0"/>
          <w:numId w:val="0"/>
        </w:numPr>
        <w:ind w:hanging="0" w:left="2007"/>
        <w:rPr/>
      </w:pPr>
      <w:r>
        <w:rPr/>
      </w:r>
    </w:p>
    <w:sectPr>
      <w:headerReference w:type="default" r:id="rId5"/>
      <w:footerReference w:type="even" r:id="rId6"/>
      <w:footerReference w:type="default" r:id="rId7"/>
      <w:footerReference w:type="first" r:id="rId8"/>
      <w:type w:val="nextPage"/>
      <w:pgSz w:w="11906" w:h="16838"/>
      <w:pgMar w:left="1276" w:right="851" w:gutter="0" w:header="720" w:top="777" w:footer="720" w:bottom="777"/>
      <w:pgNumType w:fmt="decimal"/>
      <w:formProt w:val="false"/>
      <w:textDirection w:val="lrTb"/>
      <w:docGrid w:type="default" w:linePitch="272" w:charSpace="2457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Tahoma">
    <w:charset w:val="01"/>
    <w:family w:val="roman"/>
    <w:pitch w:val="variable"/>
  </w:font>
  <w:font w:name="Liberation Sans">
    <w:altName w:val="Arial"/>
    <w:charset w:val="01"/>
    <w:family w:val="roman"/>
    <w:pitch w:val="variable"/>
  </w:font>
  <w:font w:name="Courier New">
    <w:charset w:val="01"/>
    <w:family w:val="roman"/>
    <w:pitch w:val="variable"/>
  </w:font>
  <w:font w:name="Verdana">
    <w:charset w:val="01"/>
    <w:family w:val="roman"/>
    <w:pitch w:val="variable"/>
  </w:font>
  <w:font w:name="Arial">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mc:AlternateContent>
        <mc:Choice Requires="wps">
          <w:drawing>
            <wp:anchor behindDoc="0" distT="0" distB="0" distL="0" distR="0" simplePos="0" locked="0" layoutInCell="0" allowOverlap="1" relativeHeight="2">
              <wp:simplePos x="0" y="0"/>
              <wp:positionH relativeFrom="margin">
                <wp:align>right</wp:align>
              </wp:positionH>
              <wp:positionV relativeFrom="paragraph">
                <wp:posOffset>635</wp:posOffset>
              </wp:positionV>
              <wp:extent cx="14605" cy="14605"/>
              <wp:effectExtent l="0" t="0" r="0" b="0"/>
              <wp:wrapSquare wrapText="bothSides"/>
              <wp:docPr id="1" name="Врезка1"/>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1" path="m0,0l-2147483645,0l-2147483645,-2147483646l0,-2147483646xe" stroked="f" o:allowincell="f" style="position:absolute;margin-left:0pt;margin-top:0.05pt;width:1.1pt;height:1.1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2"/>
      <w:numFmt w:val="decimal"/>
      <w:lvlText w:val="%1"/>
      <w:lvlJc w:val="left"/>
      <w:pPr>
        <w:tabs>
          <w:tab w:val="num" w:pos="360"/>
        </w:tabs>
        <w:ind w:left="360" w:hanging="360"/>
      </w:pPr>
      <w:rPr/>
    </w:lvl>
    <w:lvl w:ilvl="1">
      <w:start w:val="2"/>
      <w:numFmt w:val="decimal"/>
      <w:lvlText w:val="%1.%2"/>
      <w:lvlJc w:val="left"/>
      <w:pPr>
        <w:tabs>
          <w:tab w:val="num" w:pos="360"/>
        </w:tabs>
        <w:ind w:left="360" w:hanging="360"/>
      </w:pPr>
      <w:rPr/>
    </w:lvl>
    <w:lvl w:ilvl="2">
      <w:start w:val="1"/>
      <w:numFmt w:val="decimal"/>
      <w:lvlText w:val="%1.%2.%3"/>
      <w:lvlJc w:val="left"/>
      <w:pPr>
        <w:tabs>
          <w:tab w:val="num" w:pos="720"/>
        </w:tabs>
        <w:ind w:left="720" w:hanging="720"/>
      </w:pPr>
      <w:rPr/>
    </w:lvl>
    <w:lvl w:ilvl="3">
      <w:start w:val="1"/>
      <w:numFmt w:val="decimal"/>
      <w:lvlText w:val="%1.%2.%3.%4"/>
      <w:lvlJc w:val="left"/>
      <w:pPr>
        <w:tabs>
          <w:tab w:val="num" w:pos="720"/>
        </w:tabs>
        <w:ind w:left="720" w:hanging="720"/>
      </w:pPr>
      <w:rPr/>
    </w:lvl>
    <w:lvl w:ilvl="4">
      <w:start w:val="1"/>
      <w:numFmt w:val="decimal"/>
      <w:lvlText w:val="%1.%2.%3.%4.%5"/>
      <w:lvlJc w:val="left"/>
      <w:pPr>
        <w:tabs>
          <w:tab w:val="num" w:pos="720"/>
        </w:tabs>
        <w:ind w:left="720" w:hanging="720"/>
      </w:pPr>
      <w:rPr/>
    </w:lvl>
    <w:lvl w:ilvl="5">
      <w:start w:val="1"/>
      <w:numFmt w:val="decimal"/>
      <w:lvlText w:val="%1.%2.%3.%4.%5.%6"/>
      <w:lvlJc w:val="left"/>
      <w:pPr>
        <w:tabs>
          <w:tab w:val="num" w:pos="1080"/>
        </w:tabs>
        <w:ind w:left="1080" w:hanging="1080"/>
      </w:pPr>
      <w:rPr/>
    </w:lvl>
    <w:lvl w:ilvl="6">
      <w:start w:val="1"/>
      <w:numFmt w:val="decimal"/>
      <w:lvlText w:val="%1.%2.%3.%4.%5.%6.%7"/>
      <w:lvlJc w:val="left"/>
      <w:pPr>
        <w:tabs>
          <w:tab w:val="num" w:pos="1080"/>
        </w:tabs>
        <w:ind w:left="1080" w:hanging="1080"/>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440"/>
        </w:tabs>
        <w:ind w:left="1440" w:hanging="1440"/>
      </w:pPr>
      <w:rPr/>
    </w:lvl>
  </w:abstractNum>
  <w:abstractNum w:abstractNumId="2">
    <w:lvl w:ilvl="0">
      <w:start w:val="2"/>
      <w:numFmt w:val="decimal"/>
      <w:lvlText w:val="%1"/>
      <w:lvlJc w:val="left"/>
      <w:pPr>
        <w:tabs>
          <w:tab w:val="num" w:pos="720"/>
        </w:tabs>
        <w:ind w:left="284" w:firstLine="76"/>
      </w:pPr>
      <w:rPr/>
    </w:lvl>
    <w:lvl w:ilvl="1">
      <w:start w:val="1"/>
      <w:numFmt w:val="decimal"/>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3">
    <w:lvl w:ilvl="0">
      <w:start w:val="1"/>
      <w:numFmt w:val="bullet"/>
      <w:lvlText w:val=""/>
      <w:lvlJc w:val="left"/>
      <w:pPr>
        <w:tabs>
          <w:tab w:val="num" w:pos="1287"/>
        </w:tabs>
        <w:ind w:left="1287"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4">
    <w:lvl w:ilvl="0">
      <w:start w:val="3"/>
      <w:numFmt w:val="decimal"/>
      <w:lvlText w:val="%1."/>
      <w:lvlJc w:val="left"/>
      <w:pPr>
        <w:tabs>
          <w:tab w:val="num" w:pos="360"/>
        </w:tabs>
        <w:ind w:left="360" w:hanging="360"/>
      </w:pPr>
      <w:rPr/>
    </w:lvl>
    <w:lvl w:ilvl="1">
      <w:start w:val="1"/>
      <w:numFmt w:val="decimal"/>
      <w:lvlText w:val="%1.%2."/>
      <w:lvlJc w:val="left"/>
      <w:pPr>
        <w:tabs>
          <w:tab w:val="num" w:pos="1636"/>
        </w:tabs>
        <w:ind w:left="1636" w:hanging="360"/>
      </w:pPr>
      <w:rPr/>
    </w:lvl>
    <w:lvl w:ilvl="2">
      <w:start w:val="1"/>
      <w:numFmt w:val="decimal"/>
      <w:lvlText w:val="%1.%2.%3."/>
      <w:lvlJc w:val="left"/>
      <w:pPr>
        <w:tabs>
          <w:tab w:val="num" w:pos="2160"/>
        </w:tabs>
        <w:ind w:left="2160" w:hanging="720"/>
      </w:pPr>
      <w:rPr/>
    </w:lvl>
    <w:lvl w:ilvl="3">
      <w:start w:val="1"/>
      <w:numFmt w:val="decimal"/>
      <w:lvlText w:val="%1.%2.%3.%4."/>
      <w:lvlJc w:val="left"/>
      <w:pPr>
        <w:tabs>
          <w:tab w:val="num" w:pos="2880"/>
        </w:tabs>
        <w:ind w:left="2880" w:hanging="720"/>
      </w:pPr>
      <w:rPr/>
    </w:lvl>
    <w:lvl w:ilvl="4">
      <w:start w:val="1"/>
      <w:numFmt w:val="decimal"/>
      <w:lvlText w:val="%1.%2.%3.%4.%5."/>
      <w:lvlJc w:val="left"/>
      <w:pPr>
        <w:tabs>
          <w:tab w:val="num" w:pos="3960"/>
        </w:tabs>
        <w:ind w:left="3960" w:hanging="1080"/>
      </w:pPr>
      <w:rPr/>
    </w:lvl>
    <w:lvl w:ilvl="5">
      <w:start w:val="1"/>
      <w:numFmt w:val="decimal"/>
      <w:lvlText w:val="%1.%2.%3.%4.%5.%6."/>
      <w:lvlJc w:val="left"/>
      <w:pPr>
        <w:tabs>
          <w:tab w:val="num" w:pos="4680"/>
        </w:tabs>
        <w:ind w:left="4680" w:hanging="1080"/>
      </w:pPr>
      <w:rPr/>
    </w:lvl>
    <w:lvl w:ilvl="6">
      <w:start w:val="1"/>
      <w:numFmt w:val="decimal"/>
      <w:lvlText w:val="%1.%2.%3.%4.%5.%6.%7."/>
      <w:lvlJc w:val="left"/>
      <w:pPr>
        <w:tabs>
          <w:tab w:val="num" w:pos="5760"/>
        </w:tabs>
        <w:ind w:left="5760" w:hanging="1440"/>
      </w:pPr>
      <w:rPr/>
    </w:lvl>
    <w:lvl w:ilvl="7">
      <w:start w:val="1"/>
      <w:numFmt w:val="decimal"/>
      <w:lvlText w:val="%1.%2.%3.%4.%5.%6.%7.%8."/>
      <w:lvlJc w:val="left"/>
      <w:pPr>
        <w:tabs>
          <w:tab w:val="num" w:pos="6480"/>
        </w:tabs>
        <w:ind w:left="6480" w:hanging="1440"/>
      </w:pPr>
      <w:rPr/>
    </w:lvl>
    <w:lvl w:ilvl="8">
      <w:start w:val="1"/>
      <w:numFmt w:val="decimal"/>
      <w:lvlText w:val="%1.%2.%3.%4.%5.%6.%7.%8.%9."/>
      <w:lvlJc w:val="left"/>
      <w:pPr>
        <w:tabs>
          <w:tab w:val="num" w:pos="7560"/>
        </w:tabs>
        <w:ind w:left="7560" w:hanging="1800"/>
      </w:pPr>
      <w:rPr/>
    </w:lvl>
  </w:abstractNum>
  <w:abstractNum w:abstractNumId="5">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
    <w:lvl w:ilvl="0">
      <w:start w:val="1"/>
      <w:numFmt w:val="decimal"/>
      <w:lvlText w:val="%1."/>
      <w:lvlJc w:val="left"/>
      <w:pPr>
        <w:tabs>
          <w:tab w:val="num" w:pos="360"/>
        </w:tabs>
        <w:ind w:left="360" w:hanging="360"/>
      </w:pPr>
      <w:rPr/>
    </w:lvl>
    <w:lvl w:ilvl="1">
      <w:start w:val="1"/>
      <w:numFmt w:val="decimal"/>
      <w:lvlText w:val="%1.%2."/>
      <w:lvlJc w:val="left"/>
      <w:pPr>
        <w:tabs>
          <w:tab w:val="num" w:pos="1425"/>
        </w:tabs>
        <w:ind w:left="1425" w:hanging="432"/>
      </w:pPr>
      <w:rPr>
        <w:sz w:val="22"/>
        <w:szCs w:val="22"/>
      </w:rPr>
    </w:lvl>
    <w:lvl w:ilvl="2">
      <w:start w:val="1"/>
      <w:numFmt w:val="decimal"/>
      <w:lvlText w:val="%1.%2.%3."/>
      <w:lvlJc w:val="left"/>
      <w:pPr>
        <w:tabs>
          <w:tab w:val="num" w:pos="1440"/>
        </w:tabs>
        <w:ind w:left="122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7">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2"/>
      <w:numFmt w:val="decimal"/>
      <w:lvlText w:val="%1."/>
      <w:lvlJc w:val="left"/>
      <w:pPr>
        <w:tabs>
          <w:tab w:val="num" w:pos="360"/>
        </w:tabs>
        <w:ind w:left="360" w:hanging="360"/>
      </w:pPr>
      <w:rPr/>
    </w:lvl>
    <w:lvl w:ilvl="1">
      <w:start w:val="6"/>
      <w:numFmt w:val="decimal"/>
      <w:lvlText w:val="%1.%2."/>
      <w:lvlJc w:val="left"/>
      <w:pPr>
        <w:tabs>
          <w:tab w:val="num" w:pos="1425"/>
        </w:tabs>
        <w:ind w:left="1425" w:hanging="432"/>
      </w:pPr>
      <w:rPr>
        <w:sz w:val="22"/>
        <w:szCs w:val="22"/>
      </w:rPr>
    </w:lvl>
    <w:lvl w:ilvl="2">
      <w:start w:val="1"/>
      <w:numFmt w:val="decimal"/>
      <w:lvlText w:val="%1.%2.%3."/>
      <w:lvlJc w:val="left"/>
      <w:pPr>
        <w:tabs>
          <w:tab w:val="num" w:pos="1440"/>
        </w:tabs>
        <w:ind w:left="122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3">
    <w:lvl w:ilvl="0">
      <w:start w:val="5"/>
      <w:numFmt w:val="decimal"/>
      <w:lvlText w:val="%1."/>
      <w:lvlJc w:val="left"/>
      <w:pPr>
        <w:tabs>
          <w:tab w:val="num" w:pos="360"/>
        </w:tabs>
        <w:ind w:left="360" w:hanging="360"/>
      </w:pPr>
      <w:rPr/>
    </w:lvl>
    <w:lvl w:ilvl="1">
      <w:start w:val="1"/>
      <w:numFmt w:val="decimal"/>
      <w:lvlText w:val="%1.%2."/>
      <w:lvlJc w:val="left"/>
      <w:pPr>
        <w:tabs>
          <w:tab w:val="num" w:pos="1425"/>
        </w:tabs>
        <w:ind w:left="1425" w:hanging="432"/>
      </w:pPr>
      <w:rPr>
        <w:sz w:val="22"/>
        <w:szCs w:val="22"/>
      </w:rPr>
    </w:lvl>
    <w:lvl w:ilvl="2">
      <w:start w:val="1"/>
      <w:numFmt w:val="decimal"/>
      <w:lvlText w:val="%1.%2.%3."/>
      <w:lvlJc w:val="left"/>
      <w:pPr>
        <w:tabs>
          <w:tab w:val="num" w:pos="1440"/>
        </w:tabs>
        <w:ind w:left="122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4">
    <w:lvl w:ilvl="0">
      <w:start w:val="2"/>
      <w:numFmt w:val="decimal"/>
      <w:lvlText w:val="%1."/>
      <w:lvlJc w:val="left"/>
      <w:pPr>
        <w:tabs>
          <w:tab w:val="num" w:pos="0"/>
        </w:tabs>
        <w:ind w:left="360" w:hanging="360"/>
      </w:pPr>
      <w:rPr/>
    </w:lvl>
    <w:lvl w:ilvl="1">
      <w:start w:val="7"/>
      <w:numFmt w:val="decimal"/>
      <w:lvlText w:val="%1.%2."/>
      <w:lvlJc w:val="left"/>
      <w:pPr>
        <w:tabs>
          <w:tab w:val="num" w:pos="0"/>
        </w:tabs>
        <w:ind w:left="927" w:hanging="360"/>
      </w:pPr>
      <w:rPr/>
    </w:lvl>
    <w:lvl w:ilvl="2">
      <w:start w:val="1"/>
      <w:numFmt w:val="decimal"/>
      <w:lvlText w:val="%1.%2.%3."/>
      <w:lvlJc w:val="left"/>
      <w:pPr>
        <w:tabs>
          <w:tab w:val="num" w:pos="0"/>
        </w:tabs>
        <w:ind w:left="1854" w:hanging="720"/>
      </w:pPr>
      <w:rPr/>
    </w:lvl>
    <w:lvl w:ilvl="3">
      <w:start w:val="1"/>
      <w:numFmt w:val="decimal"/>
      <w:lvlText w:val="%1.%2.%3.%4."/>
      <w:lvlJc w:val="left"/>
      <w:pPr>
        <w:tabs>
          <w:tab w:val="num" w:pos="0"/>
        </w:tabs>
        <w:ind w:left="2421" w:hanging="720"/>
      </w:pPr>
      <w:rPr/>
    </w:lvl>
    <w:lvl w:ilvl="4">
      <w:start w:val="1"/>
      <w:numFmt w:val="decimal"/>
      <w:lvlText w:val="%1.%2.%3.%4.%5."/>
      <w:lvlJc w:val="left"/>
      <w:pPr>
        <w:tabs>
          <w:tab w:val="num" w:pos="0"/>
        </w:tabs>
        <w:ind w:left="3348" w:hanging="1080"/>
      </w:pPr>
      <w:rPr/>
    </w:lvl>
    <w:lvl w:ilvl="5">
      <w:start w:val="1"/>
      <w:numFmt w:val="decimal"/>
      <w:lvlText w:val="%1.%2.%3.%4.%5.%6."/>
      <w:lvlJc w:val="left"/>
      <w:pPr>
        <w:tabs>
          <w:tab w:val="num" w:pos="0"/>
        </w:tabs>
        <w:ind w:left="3915" w:hanging="1080"/>
      </w:pPr>
      <w:rPr/>
    </w:lvl>
    <w:lvl w:ilvl="6">
      <w:start w:val="1"/>
      <w:numFmt w:val="decimal"/>
      <w:lvlText w:val="%1.%2.%3.%4.%5.%6.%7."/>
      <w:lvlJc w:val="left"/>
      <w:pPr>
        <w:tabs>
          <w:tab w:val="num" w:pos="0"/>
        </w:tabs>
        <w:ind w:left="4842" w:hanging="1440"/>
      </w:pPr>
      <w:rPr/>
    </w:lvl>
    <w:lvl w:ilvl="7">
      <w:start w:val="1"/>
      <w:numFmt w:val="decimal"/>
      <w:lvlText w:val="%1.%2.%3.%4.%5.%6.%7.%8."/>
      <w:lvlJc w:val="left"/>
      <w:pPr>
        <w:tabs>
          <w:tab w:val="num" w:pos="0"/>
        </w:tabs>
        <w:ind w:left="5409" w:hanging="1440"/>
      </w:pPr>
      <w:rPr/>
    </w:lvl>
    <w:lvl w:ilvl="8">
      <w:start w:val="1"/>
      <w:numFmt w:val="decimal"/>
      <w:lvlText w:val="%1.%2.%3.%4.%5.%6.%7.%8.%9."/>
      <w:lvlJc w:val="left"/>
      <w:pPr>
        <w:tabs>
          <w:tab w:val="num" w:pos="0"/>
        </w:tabs>
        <w:ind w:left="6336" w:hanging="1800"/>
      </w:pPr>
      <w:rPr/>
    </w:lvl>
  </w:abstractNum>
  <w:abstractNum w:abstractNumId="15">
    <w:lvl w:ilvl="0">
      <w:start w:val="14"/>
      <w:numFmt w:val="decimal"/>
      <w:lvlText w:val="%1."/>
      <w:lvlJc w:val="left"/>
      <w:pPr>
        <w:tabs>
          <w:tab w:val="num" w:pos="0"/>
        </w:tabs>
        <w:ind w:left="480" w:hanging="480"/>
      </w:pPr>
      <w:rPr/>
    </w:lvl>
    <w:lvl w:ilvl="1">
      <w:start w:val="1"/>
      <w:numFmt w:val="decimal"/>
      <w:lvlText w:val="%1.%2."/>
      <w:lvlJc w:val="left"/>
      <w:pPr>
        <w:tabs>
          <w:tab w:val="num" w:pos="0"/>
        </w:tabs>
        <w:ind w:left="1756" w:hanging="480"/>
      </w:pPr>
      <w:rPr/>
    </w:lvl>
    <w:lvl w:ilvl="2">
      <w:start w:val="1"/>
      <w:numFmt w:val="decimal"/>
      <w:lvlText w:val="%1.%2.%3."/>
      <w:lvlJc w:val="left"/>
      <w:pPr>
        <w:tabs>
          <w:tab w:val="num" w:pos="0"/>
        </w:tabs>
        <w:ind w:left="3272" w:hanging="720"/>
      </w:pPr>
      <w:rPr/>
    </w:lvl>
    <w:lvl w:ilvl="3">
      <w:start w:val="1"/>
      <w:numFmt w:val="decimal"/>
      <w:lvlText w:val="%1.%2.%3.%4."/>
      <w:lvlJc w:val="left"/>
      <w:pPr>
        <w:tabs>
          <w:tab w:val="num" w:pos="0"/>
        </w:tabs>
        <w:ind w:left="4548" w:hanging="720"/>
      </w:pPr>
      <w:rPr/>
    </w:lvl>
    <w:lvl w:ilvl="4">
      <w:start w:val="1"/>
      <w:numFmt w:val="decimal"/>
      <w:lvlText w:val="%1.%2.%3.%4.%5."/>
      <w:lvlJc w:val="left"/>
      <w:pPr>
        <w:tabs>
          <w:tab w:val="num" w:pos="0"/>
        </w:tabs>
        <w:ind w:left="6184" w:hanging="1080"/>
      </w:pPr>
      <w:rPr/>
    </w:lvl>
    <w:lvl w:ilvl="5">
      <w:start w:val="1"/>
      <w:numFmt w:val="decimal"/>
      <w:lvlText w:val="%1.%2.%3.%4.%5.%6."/>
      <w:lvlJc w:val="left"/>
      <w:pPr>
        <w:tabs>
          <w:tab w:val="num" w:pos="0"/>
        </w:tabs>
        <w:ind w:left="7460" w:hanging="1080"/>
      </w:pPr>
      <w:rPr/>
    </w:lvl>
    <w:lvl w:ilvl="6">
      <w:start w:val="1"/>
      <w:numFmt w:val="decimal"/>
      <w:lvlText w:val="%1.%2.%3.%4.%5.%6.%7."/>
      <w:lvlJc w:val="left"/>
      <w:pPr>
        <w:tabs>
          <w:tab w:val="num" w:pos="0"/>
        </w:tabs>
        <w:ind w:left="9096" w:hanging="1440"/>
      </w:pPr>
      <w:rPr/>
    </w:lvl>
    <w:lvl w:ilvl="7">
      <w:start w:val="1"/>
      <w:numFmt w:val="decimal"/>
      <w:lvlText w:val="%1.%2.%3.%4.%5.%6.%7.%8."/>
      <w:lvlJc w:val="left"/>
      <w:pPr>
        <w:tabs>
          <w:tab w:val="num" w:pos="0"/>
        </w:tabs>
        <w:ind w:left="10372" w:hanging="1440"/>
      </w:pPr>
      <w:rPr/>
    </w:lvl>
    <w:lvl w:ilvl="8">
      <w:start w:val="1"/>
      <w:numFmt w:val="decimal"/>
      <w:lvlText w:val="%1.%2.%3.%4.%5.%6.%7.%8.%9."/>
      <w:lvlJc w:val="left"/>
      <w:pPr>
        <w:tabs>
          <w:tab w:val="num" w:pos="0"/>
        </w:tabs>
        <w:ind w:left="12008" w:hanging="1800"/>
      </w:pPr>
      <w:rPr/>
    </w:lvl>
  </w:abstractNum>
  <w:abstractNum w:abstractNumId="16">
    <w:lvl w:ilvl="0">
      <w:start w:val="6"/>
      <w:numFmt w:val="decimal"/>
      <w:lvlText w:val="%1."/>
      <w:lvlJc w:val="left"/>
      <w:pPr>
        <w:tabs>
          <w:tab w:val="num" w:pos="360"/>
        </w:tabs>
        <w:ind w:left="360" w:hanging="360"/>
      </w:pPr>
      <w:rPr/>
    </w:lvl>
    <w:lvl w:ilvl="1">
      <w:start w:val="1"/>
      <w:numFmt w:val="decimal"/>
      <w:lvlText w:val="%1.%2."/>
      <w:lvlJc w:val="left"/>
      <w:pPr>
        <w:tabs>
          <w:tab w:val="num" w:pos="1636"/>
        </w:tabs>
        <w:ind w:left="1636" w:hanging="360"/>
      </w:pPr>
      <w:rPr/>
    </w:lvl>
    <w:lvl w:ilvl="2">
      <w:start w:val="1"/>
      <w:numFmt w:val="decimal"/>
      <w:lvlText w:val="%1.%2.%3."/>
      <w:lvlJc w:val="left"/>
      <w:pPr>
        <w:tabs>
          <w:tab w:val="num" w:pos="2160"/>
        </w:tabs>
        <w:ind w:left="2160" w:hanging="720"/>
      </w:pPr>
      <w:rPr/>
    </w:lvl>
    <w:lvl w:ilvl="3">
      <w:start w:val="1"/>
      <w:numFmt w:val="decimal"/>
      <w:lvlText w:val="%1.%2.%3.%4."/>
      <w:lvlJc w:val="left"/>
      <w:pPr>
        <w:tabs>
          <w:tab w:val="num" w:pos="2880"/>
        </w:tabs>
        <w:ind w:left="2880" w:hanging="720"/>
      </w:pPr>
      <w:rPr/>
    </w:lvl>
    <w:lvl w:ilvl="4">
      <w:start w:val="1"/>
      <w:numFmt w:val="decimal"/>
      <w:lvlText w:val="%1.%2.%3.%4.%5."/>
      <w:lvlJc w:val="left"/>
      <w:pPr>
        <w:tabs>
          <w:tab w:val="num" w:pos="3960"/>
        </w:tabs>
        <w:ind w:left="3960" w:hanging="1080"/>
      </w:pPr>
      <w:rPr/>
    </w:lvl>
    <w:lvl w:ilvl="5">
      <w:start w:val="1"/>
      <w:numFmt w:val="decimal"/>
      <w:lvlText w:val="%1.%2.%3.%4.%5.%6."/>
      <w:lvlJc w:val="left"/>
      <w:pPr>
        <w:tabs>
          <w:tab w:val="num" w:pos="4680"/>
        </w:tabs>
        <w:ind w:left="4680" w:hanging="1080"/>
      </w:pPr>
      <w:rPr/>
    </w:lvl>
    <w:lvl w:ilvl="6">
      <w:start w:val="1"/>
      <w:numFmt w:val="decimal"/>
      <w:lvlText w:val="%1.%2.%3.%4.%5.%6.%7."/>
      <w:lvlJc w:val="left"/>
      <w:pPr>
        <w:tabs>
          <w:tab w:val="num" w:pos="5760"/>
        </w:tabs>
        <w:ind w:left="5760" w:hanging="1440"/>
      </w:pPr>
      <w:rPr/>
    </w:lvl>
    <w:lvl w:ilvl="7">
      <w:start w:val="1"/>
      <w:numFmt w:val="decimal"/>
      <w:lvlText w:val="%1.%2.%3.%4.%5.%6.%7.%8."/>
      <w:lvlJc w:val="left"/>
      <w:pPr>
        <w:tabs>
          <w:tab w:val="num" w:pos="6480"/>
        </w:tabs>
        <w:ind w:left="6480" w:hanging="1440"/>
      </w:pPr>
      <w:rPr/>
    </w:lvl>
    <w:lvl w:ilvl="8">
      <w:start w:val="1"/>
      <w:numFmt w:val="decimal"/>
      <w:lvlText w:val="%1.%2.%3.%4.%5.%6.%7.%8.%9."/>
      <w:lvlJc w:val="left"/>
      <w:pPr>
        <w:tabs>
          <w:tab w:val="num" w:pos="7560"/>
        </w:tabs>
        <w:ind w:left="7560" w:hanging="1800"/>
      </w:pPr>
      <w:rPr/>
    </w:lvl>
  </w:abstractNum>
  <w:abstractNum w:abstractNumId="17">
    <w:lvl w:ilvl="0">
      <w:start w:val="15"/>
      <w:numFmt w:val="decimal"/>
      <w:lvlText w:val="%1."/>
      <w:lvlJc w:val="left"/>
      <w:pPr>
        <w:tabs>
          <w:tab w:val="num" w:pos="360"/>
        </w:tabs>
        <w:ind w:left="360" w:hanging="360"/>
      </w:pPr>
      <w:rPr/>
    </w:lvl>
    <w:lvl w:ilvl="1">
      <w:start w:val="1"/>
      <w:numFmt w:val="decimal"/>
      <w:lvlText w:val="%1.%2."/>
      <w:lvlJc w:val="left"/>
      <w:pPr>
        <w:tabs>
          <w:tab w:val="num" w:pos="1425"/>
        </w:tabs>
        <w:ind w:left="1425" w:hanging="432"/>
      </w:pPr>
      <w:rPr>
        <w:sz w:val="22"/>
        <w:szCs w:val="22"/>
      </w:rPr>
    </w:lvl>
    <w:lvl w:ilvl="2">
      <w:start w:val="1"/>
      <w:numFmt w:val="decimal"/>
      <w:lvlText w:val="%1.%2.%3."/>
      <w:lvlJc w:val="left"/>
      <w:pPr>
        <w:tabs>
          <w:tab w:val="num" w:pos="1440"/>
        </w:tabs>
        <w:ind w:left="122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8">
    <w:lvl w:ilvl="0">
      <w:start w:val="5"/>
      <w:numFmt w:val="decimal"/>
      <w:lvlText w:val="%1."/>
      <w:lvlJc w:val="left"/>
      <w:pPr>
        <w:tabs>
          <w:tab w:val="num" w:pos="360"/>
        </w:tabs>
        <w:ind w:left="360" w:hanging="360"/>
      </w:pPr>
      <w:rPr/>
    </w:lvl>
    <w:lvl w:ilvl="1">
      <w:start w:val="1"/>
      <w:numFmt w:val="decimal"/>
      <w:lvlText w:val="%1.%2."/>
      <w:lvlJc w:val="left"/>
      <w:pPr>
        <w:tabs>
          <w:tab w:val="num" w:pos="1425"/>
        </w:tabs>
        <w:ind w:left="1425" w:hanging="432"/>
      </w:pPr>
      <w:rPr>
        <w:sz w:val="22"/>
        <w:szCs w:val="22"/>
      </w:rPr>
    </w:lvl>
    <w:lvl w:ilvl="2">
      <w:start w:val="1"/>
      <w:numFmt w:val="decimal"/>
      <w:lvlText w:val="%1.%2.%3."/>
      <w:lvlJc w:val="left"/>
      <w:pPr>
        <w:tabs>
          <w:tab w:val="num" w:pos="1440"/>
        </w:tabs>
        <w:ind w:left="122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9">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13"/>
    <w:lvlOverride w:ilvl="0">
      <w:startOverride w:val="1"/>
    </w:lvlOverride>
  </w:num>
</w:numbering>
</file>

<file path=word/settings.xml><?xml version="1.0" encoding="utf-8"?>
<w:settings xmlns:w="http://schemas.openxmlformats.org/wordprocessingml/2006/main">
  <w:zoom w:percent="120"/>
  <w:embedSystemFonts/>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docVars>
    <w:docVar w:name="OUR_BANK_SNAME_R" w:val="Банка ГПБ (АО)"/>
  </w:docVars>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494793"/>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e42745"/>
    <w:pPr>
      <w:keepNext w:val="true"/>
      <w:outlineLvl w:val="0"/>
    </w:pPr>
    <w:rPr>
      <w:b/>
    </w:rPr>
  </w:style>
  <w:style w:type="paragraph" w:styleId="Heading2">
    <w:name w:val="Heading 2"/>
    <w:basedOn w:val="Normal"/>
    <w:next w:val="Normal"/>
    <w:qFormat/>
    <w:rsid w:val="00e42745"/>
    <w:pPr>
      <w:keepNext w:val="true"/>
      <w:jc w:val="both"/>
      <w:outlineLvl w:val="1"/>
    </w:pPr>
    <w:rPr>
      <w:b/>
    </w:rPr>
  </w:style>
  <w:style w:type="paragraph" w:styleId="Heading3">
    <w:name w:val="Heading 3"/>
    <w:basedOn w:val="Normal"/>
    <w:next w:val="Normal"/>
    <w:link w:val="31"/>
    <w:qFormat/>
    <w:rsid w:val="00e42745"/>
    <w:pPr>
      <w:keepNext w:val="true"/>
      <w:tabs>
        <w:tab w:val="clear" w:pos="720"/>
        <w:tab w:val="left" w:pos="0" w:leader="none"/>
      </w:tabs>
      <w:jc w:val="center"/>
      <w:outlineLvl w:val="2"/>
    </w:pPr>
    <w:rPr>
      <w:b/>
    </w:rPr>
  </w:style>
  <w:style w:type="paragraph" w:styleId="Heading4">
    <w:name w:val="Heading 4"/>
    <w:basedOn w:val="Normal"/>
    <w:next w:val="Normal"/>
    <w:qFormat/>
    <w:rsid w:val="00e42745"/>
    <w:pPr>
      <w:keepNext w:val="true"/>
      <w:numPr>
        <w:ilvl w:val="0"/>
        <w:numId w:val="1"/>
      </w:numPr>
      <w:ind w:hanging="0" w:left="3119"/>
      <w:outlineLvl w:val="3"/>
    </w:pPr>
    <w:rPr>
      <w:b/>
    </w:rPr>
  </w:style>
  <w:style w:type="paragraph" w:styleId="Heading5">
    <w:name w:val="Heading 5"/>
    <w:basedOn w:val="Normal"/>
    <w:next w:val="Normal"/>
    <w:qFormat/>
    <w:rsid w:val="00e42745"/>
    <w:pPr>
      <w:keepNext w:val="true"/>
      <w:numPr>
        <w:ilvl w:val="0"/>
        <w:numId w:val="2"/>
      </w:numPr>
      <w:jc w:val="center"/>
      <w:outlineLvl w:val="4"/>
    </w:pPr>
    <w:rPr>
      <w:b/>
    </w:rPr>
  </w:style>
  <w:style w:type="paragraph" w:styleId="Heading6">
    <w:name w:val="Heading 6"/>
    <w:basedOn w:val="Normal"/>
    <w:next w:val="Normal"/>
    <w:qFormat/>
    <w:rsid w:val="00e42745"/>
    <w:pPr>
      <w:keepNext w:val="true"/>
      <w:jc w:val="center"/>
      <w:outlineLvl w:val="5"/>
    </w:pPr>
    <w:rPr>
      <w:sz w:val="28"/>
    </w:rPr>
  </w:style>
  <w:style w:type="paragraph" w:styleId="Heading7">
    <w:name w:val="Heading 7"/>
    <w:basedOn w:val="Normal"/>
    <w:next w:val="Normal"/>
    <w:qFormat/>
    <w:rsid w:val="00e42745"/>
    <w:pPr>
      <w:keepNext w:val="true"/>
      <w:jc w:val="center"/>
      <w:outlineLvl w:val="6"/>
    </w:pPr>
    <w:rPr>
      <w:bCs/>
      <w:sz w:val="24"/>
    </w:rPr>
  </w:style>
  <w:style w:type="paragraph" w:styleId="Heading8">
    <w:name w:val="Heading 8"/>
    <w:basedOn w:val="Normal"/>
    <w:next w:val="Normal"/>
    <w:qFormat/>
    <w:rsid w:val="00e42745"/>
    <w:pPr>
      <w:keepNext w:val="true"/>
      <w:jc w:val="center"/>
      <w:outlineLvl w:val="7"/>
    </w:pPr>
    <w:rPr>
      <w:b/>
      <w:bCs/>
      <w:sz w:val="24"/>
    </w:rPr>
  </w:style>
  <w:style w:type="character" w:styleId="DefaultParagraphFont" w:default="1">
    <w:name w:val="Default Paragraph Font"/>
    <w:uiPriority w:val="1"/>
    <w:semiHidden/>
    <w:unhideWhenUsed/>
    <w:qFormat/>
    <w:rPr/>
  </w:style>
  <w:style w:type="character" w:styleId="Pagenumber">
    <w:name w:val="page number"/>
    <w:basedOn w:val="DefaultParagraphFont"/>
    <w:qFormat/>
    <w:rsid w:val="00e42745"/>
    <w:rPr/>
  </w:style>
  <w:style w:type="character" w:styleId="Style1" w:customStyle="1">
    <w:name w:val="Заголовок Знак"/>
    <w:qFormat/>
    <w:rsid w:val="00ba4a00"/>
    <w:rPr>
      <w:b/>
      <w:bCs/>
      <w:sz w:val="28"/>
      <w:szCs w:val="24"/>
    </w:rPr>
  </w:style>
  <w:style w:type="character" w:styleId="2" w:customStyle="1">
    <w:name w:val="Основной текст с отступом 2 Знак"/>
    <w:link w:val="BodyTextIndent2"/>
    <w:qFormat/>
    <w:rsid w:val="0066561f"/>
    <w:rPr>
      <w:sz w:val="24"/>
    </w:rPr>
  </w:style>
  <w:style w:type="character" w:styleId="Style2" w:customStyle="1">
    <w:name w:val="Текст выноски Знак"/>
    <w:link w:val="BalloonText"/>
    <w:qFormat/>
    <w:rsid w:val="0066561f"/>
    <w:rPr>
      <w:rFonts w:ascii="Tahoma" w:hAnsi="Tahoma" w:cs="Tahoma"/>
      <w:sz w:val="16"/>
      <w:szCs w:val="16"/>
    </w:rPr>
  </w:style>
  <w:style w:type="character" w:styleId="Style3" w:customStyle="1">
    <w:name w:val="Основной текст Знак"/>
    <w:qFormat/>
    <w:rsid w:val="0066561f"/>
    <w:rPr>
      <w:sz w:val="22"/>
    </w:rPr>
  </w:style>
  <w:style w:type="character" w:styleId="3" w:customStyle="1">
    <w:name w:val="Основной текст 3 Знак"/>
    <w:link w:val="BodyText3"/>
    <w:qFormat/>
    <w:rsid w:val="0066561f"/>
    <w:rPr>
      <w:sz w:val="28"/>
    </w:rPr>
  </w:style>
  <w:style w:type="character" w:styleId="Annotationreference">
    <w:name w:val="annotation reference"/>
    <w:qFormat/>
    <w:rsid w:val="0066561f"/>
    <w:rPr>
      <w:sz w:val="16"/>
      <w:szCs w:val="16"/>
    </w:rPr>
  </w:style>
  <w:style w:type="character" w:styleId="Style4" w:customStyle="1">
    <w:name w:val="Текст примечания Знак"/>
    <w:basedOn w:val="DefaultParagraphFont"/>
    <w:link w:val="Annotationtext"/>
    <w:qFormat/>
    <w:rsid w:val="0066561f"/>
    <w:rPr/>
  </w:style>
  <w:style w:type="character" w:styleId="Style5" w:customStyle="1">
    <w:name w:val="Тема примечания Знак"/>
    <w:link w:val="Annotationsubject"/>
    <w:qFormat/>
    <w:rsid w:val="0066561f"/>
    <w:rPr>
      <w:b/>
      <w:bCs/>
    </w:rPr>
  </w:style>
  <w:style w:type="character" w:styleId="31" w:customStyle="1">
    <w:name w:val="Заголовок 3 Знак"/>
    <w:qFormat/>
    <w:rsid w:val="0066561f"/>
    <w:rPr>
      <w:b/>
    </w:rPr>
  </w:style>
  <w:style w:type="character" w:styleId="Style6" w:customStyle="1">
    <w:name w:val="Основной текст с отступом Знак"/>
    <w:qFormat/>
    <w:rsid w:val="0066561f"/>
    <w:rPr>
      <w:sz w:val="22"/>
      <w:shd w:fill="FFFFFF" w:val="clear"/>
    </w:rPr>
  </w:style>
  <w:style w:type="character" w:styleId="Style7" w:customStyle="1">
    <w:name w:val="комментарий"/>
    <w:uiPriority w:val="99"/>
    <w:qFormat/>
    <w:rsid w:val="0066561f"/>
    <w:rPr>
      <w:rFonts w:cs="Times New Roman"/>
      <w:b/>
      <w:bCs/>
      <w:i/>
      <w:iCs/>
      <w:shd w:fill="FFFF99" w:val="clear"/>
    </w:rPr>
  </w:style>
  <w:style w:type="character" w:styleId="Style8" w:customStyle="1">
    <w:name w:val="Текст сноски Знак"/>
    <w:basedOn w:val="DefaultParagraphFont"/>
    <w:uiPriority w:val="99"/>
    <w:qFormat/>
    <w:rsid w:val="0066561f"/>
    <w:rPr/>
  </w:style>
  <w:style w:type="character" w:styleId="Style9" w:customStyle="1">
    <w:name w:val="Символ сноски"/>
    <w:qFormat/>
    <w:rPr>
      <w:vertAlign w:val="superscript"/>
    </w:rPr>
  </w:style>
  <w:style w:type="character" w:styleId="FootnoteReference">
    <w:name w:val="Footnote Reference"/>
    <w:rPr>
      <w:vertAlign w:val="superscript"/>
    </w:rPr>
  </w:style>
  <w:style w:type="character" w:styleId="FootnoteCharacters" w:customStyle="1">
    <w:name w:val="Footnote Characters"/>
    <w:uiPriority w:val="99"/>
    <w:qFormat/>
    <w:rsid w:val="0066561f"/>
    <w:rPr>
      <w:vertAlign w:val="superscript"/>
    </w:rPr>
  </w:style>
  <w:style w:type="character" w:styleId="Style10" w:customStyle="1">
    <w:name w:val="Схема документа Знак"/>
    <w:link w:val="DocumentMap"/>
    <w:qFormat/>
    <w:rsid w:val="0066561f"/>
    <w:rPr>
      <w:rFonts w:ascii="Tahoma" w:hAnsi="Tahoma" w:cs="Tahoma"/>
      <w:shd w:fill="000080" w:val="clear"/>
    </w:rPr>
  </w:style>
  <w:style w:type="character" w:styleId="Style11" w:customStyle="1">
    <w:name w:val="Верхний колонтитул Знак"/>
    <w:basedOn w:val="DefaultParagraphFont"/>
    <w:qFormat/>
    <w:rsid w:val="0066561f"/>
    <w:rPr/>
  </w:style>
  <w:style w:type="character" w:styleId="Hyperlink">
    <w:name w:val="Hyperlink"/>
    <w:basedOn w:val="DefaultParagraphFont"/>
    <w:unhideWhenUsed/>
    <w:rsid w:val="002b6da9"/>
    <w:rPr>
      <w:color w:val="0000FF" w:themeColor="hyperlink"/>
      <w:u w:val="single"/>
    </w:rPr>
  </w:style>
  <w:style w:type="character" w:styleId="Style12" w:customStyle="1">
    <w:name w:val="Абзац списка Знак"/>
    <w:link w:val="ListParagraph"/>
    <w:uiPriority w:val="34"/>
    <w:qFormat/>
    <w:locked/>
    <w:rsid w:val="00a560b3"/>
    <w:rPr/>
  </w:style>
  <w:style w:type="character" w:styleId="Style13">
    <w:name w:val="Символ концевой сноски"/>
    <w:qFormat/>
    <w:rPr>
      <w:vertAlign w:val="superscript"/>
    </w:rPr>
  </w:style>
  <w:style w:type="character" w:styleId="EndnoteReference">
    <w:name w:val="Endnote Reference"/>
    <w:rPr>
      <w:vertAlign w:val="superscript"/>
    </w:rPr>
  </w:style>
  <w:style w:type="paragraph" w:styleId="Style14">
    <w:name w:val="Заголовок"/>
    <w:basedOn w:val="Normal"/>
    <w:next w:val="BodyText"/>
    <w:qFormat/>
    <w:pPr>
      <w:keepNext w:val="true"/>
      <w:spacing w:before="240" w:after="120"/>
    </w:pPr>
    <w:rPr>
      <w:rFonts w:ascii="Liberation Sans" w:hAnsi="Liberation Sans" w:eastAsia="Noto Sans CJK SC" w:cs="Arial Unicode MS"/>
      <w:sz w:val="28"/>
      <w:szCs w:val="28"/>
    </w:rPr>
  </w:style>
  <w:style w:type="paragraph" w:styleId="BodyText">
    <w:name w:val="Body Text"/>
    <w:basedOn w:val="Normal"/>
    <w:link w:val="Style3"/>
    <w:rsid w:val="00e42745"/>
    <w:pPr>
      <w:jc w:val="both"/>
    </w:pPr>
    <w:rPr>
      <w:sz w:val="22"/>
    </w:rPr>
  </w:style>
  <w:style w:type="paragraph" w:styleId="List">
    <w:name w:val="List"/>
    <w:basedOn w:val="BodyText"/>
    <w:pPr/>
    <w:rPr/>
  </w:style>
  <w:style w:type="paragraph" w:styleId="Caption">
    <w:name w:val="Caption"/>
    <w:basedOn w:val="Normal"/>
    <w:qFormat/>
    <w:pPr>
      <w:suppressLineNumbers/>
      <w:spacing w:before="120" w:after="120"/>
    </w:pPr>
    <w:rPr>
      <w:rFonts w:cs="Arial Unicode MS"/>
      <w:i/>
      <w:iCs/>
      <w:sz w:val="24"/>
      <w:szCs w:val="24"/>
    </w:rPr>
  </w:style>
  <w:style w:type="paragraph" w:styleId="Style15">
    <w:name w:val="Указатель"/>
    <w:basedOn w:val="Normal"/>
    <w:qFormat/>
    <w:pPr>
      <w:suppressLineNumbers/>
    </w:pPr>
    <w:rPr>
      <w:rFonts w:cs="Arial Unicode MS"/>
    </w:rPr>
  </w:style>
  <w:style w:type="paragraph" w:styleId="Title">
    <w:name w:val="Title"/>
    <w:basedOn w:val="Normal"/>
    <w:next w:val="BodyText"/>
    <w:link w:val="Style1"/>
    <w:qFormat/>
    <w:rsid w:val="00e42745"/>
    <w:pPr>
      <w:jc w:val="center"/>
    </w:pPr>
    <w:rPr>
      <w:b/>
      <w:bCs/>
      <w:sz w:val="28"/>
      <w:szCs w:val="24"/>
    </w:rPr>
  </w:style>
  <w:style w:type="paragraph" w:styleId="Caption1">
    <w:name w:val="caption1"/>
    <w:basedOn w:val="Normal"/>
    <w:qFormat/>
    <w:pPr>
      <w:suppressLineNumbers/>
      <w:spacing w:before="120" w:after="120"/>
    </w:pPr>
    <w:rPr>
      <w:i/>
      <w:iCs/>
      <w:sz w:val="24"/>
      <w:szCs w:val="24"/>
    </w:rPr>
  </w:style>
  <w:style w:type="paragraph" w:styleId="Indexheading">
    <w:name w:val="index heading"/>
    <w:basedOn w:val="Normal"/>
    <w:qFormat/>
    <w:pPr>
      <w:suppressLineNumbers/>
    </w:pPr>
    <w:rPr/>
  </w:style>
  <w:style w:type="paragraph" w:styleId="Caption11" w:customStyle="1">
    <w:name w:val="caption11"/>
    <w:basedOn w:val="Normal"/>
    <w:qFormat/>
    <w:pPr>
      <w:suppressLineNumbers/>
      <w:spacing w:before="120" w:after="120"/>
    </w:pPr>
    <w:rPr>
      <w:i/>
      <w:iCs/>
      <w:sz w:val="24"/>
      <w:szCs w:val="24"/>
    </w:rPr>
  </w:style>
  <w:style w:type="paragraph" w:styleId="NormalWeb">
    <w:name w:val="Normal (Web)"/>
    <w:basedOn w:val="Normal"/>
    <w:qFormat/>
    <w:rsid w:val="00e42745"/>
    <w:pPr>
      <w:spacing w:beforeAutospacing="1" w:afterAutospacing="1"/>
      <w:ind w:hanging="0" w:right="150"/>
    </w:pPr>
    <w:rPr>
      <w:rFonts w:ascii="Tahoma" w:hAnsi="Tahoma" w:cs="Tahoma"/>
      <w:color w:val="000000"/>
    </w:rPr>
  </w:style>
  <w:style w:type="paragraph" w:styleId="BodyText2">
    <w:name w:val="Body Text 2"/>
    <w:basedOn w:val="Normal"/>
    <w:qFormat/>
    <w:rsid w:val="00e42745"/>
    <w:pPr>
      <w:jc w:val="both"/>
    </w:pPr>
    <w:rPr/>
  </w:style>
  <w:style w:type="paragraph" w:styleId="Style16" w:customStyle="1">
    <w:name w:val="Колонтитул"/>
    <w:basedOn w:val="Normal"/>
    <w:qFormat/>
    <w:pPr/>
    <w:rPr/>
  </w:style>
  <w:style w:type="paragraph" w:styleId="Footer">
    <w:name w:val="Footer"/>
    <w:basedOn w:val="Normal"/>
    <w:rsid w:val="00e42745"/>
    <w:pPr>
      <w:tabs>
        <w:tab w:val="clear" w:pos="720"/>
        <w:tab w:val="center" w:pos="4677" w:leader="none"/>
        <w:tab w:val="right" w:pos="9355" w:leader="none"/>
      </w:tabs>
    </w:pPr>
    <w:rPr/>
  </w:style>
  <w:style w:type="paragraph" w:styleId="1" w:customStyle="1">
    <w:name w:val="Текст1"/>
    <w:basedOn w:val="Normal"/>
    <w:qFormat/>
    <w:rsid w:val="00e42745"/>
    <w:pPr>
      <w:spacing w:before="0" w:after="120"/>
      <w:jc w:val="both"/>
    </w:pPr>
    <w:rPr>
      <w:rFonts w:ascii="Courier New" w:hAnsi="Courier New"/>
      <w:sz w:val="22"/>
      <w:lang w:eastAsia="en-US"/>
    </w:rPr>
  </w:style>
  <w:style w:type="paragraph" w:styleId="BodyText3">
    <w:name w:val="Body Text 3"/>
    <w:basedOn w:val="Normal"/>
    <w:link w:val="3"/>
    <w:qFormat/>
    <w:rsid w:val="00e42745"/>
    <w:pPr>
      <w:jc w:val="both"/>
    </w:pPr>
    <w:rPr>
      <w:sz w:val="28"/>
    </w:rPr>
  </w:style>
  <w:style w:type="paragraph" w:styleId="BodyTextIndent">
    <w:name w:val="Body Text Indent"/>
    <w:basedOn w:val="Normal"/>
    <w:link w:val="Style6"/>
    <w:rsid w:val="00e42745"/>
    <w:pPr>
      <w:widowControl w:val="false"/>
      <w:shd w:val="clear" w:color="auto" w:fill="FFFFFF"/>
      <w:ind w:firstLine="567"/>
      <w:jc w:val="both"/>
    </w:pPr>
    <w:rPr>
      <w:sz w:val="22"/>
    </w:rPr>
  </w:style>
  <w:style w:type="paragraph" w:styleId="BodyTextIndent3">
    <w:name w:val="Body Text Indent 3"/>
    <w:basedOn w:val="Normal"/>
    <w:qFormat/>
    <w:rsid w:val="00e42745"/>
    <w:pPr>
      <w:shd w:val="clear" w:color="auto" w:fill="FFFFFF"/>
      <w:ind w:firstLine="567"/>
      <w:jc w:val="both"/>
    </w:pPr>
    <w:rPr>
      <w:sz w:val="28"/>
      <w:szCs w:val="24"/>
    </w:rPr>
  </w:style>
  <w:style w:type="paragraph" w:styleId="Style17" w:customStyle="1">
    <w:name w:val="Таблицы (моноширинный)"/>
    <w:basedOn w:val="Normal"/>
    <w:next w:val="Normal"/>
    <w:qFormat/>
    <w:rsid w:val="0066561f"/>
    <w:pPr>
      <w:widowControl w:val="false"/>
      <w:jc w:val="both"/>
    </w:pPr>
    <w:rPr>
      <w:rFonts w:ascii="Courier New" w:hAnsi="Courier New" w:cs="Courier New"/>
    </w:rPr>
  </w:style>
  <w:style w:type="paragraph" w:styleId="BodyTextIndent2">
    <w:name w:val="Body Text Indent 2"/>
    <w:basedOn w:val="Normal"/>
    <w:link w:val="2"/>
    <w:qFormat/>
    <w:rsid w:val="0066561f"/>
    <w:pPr>
      <w:widowControl w:val="false"/>
      <w:ind w:hanging="0" w:left="1843"/>
      <w:jc w:val="both"/>
    </w:pPr>
    <w:rPr>
      <w:sz w:val="24"/>
    </w:rPr>
  </w:style>
  <w:style w:type="paragraph" w:styleId="BalloonText">
    <w:name w:val="Balloon Text"/>
    <w:basedOn w:val="Normal"/>
    <w:link w:val="Style2"/>
    <w:qFormat/>
    <w:rsid w:val="0066561f"/>
    <w:pPr>
      <w:widowControl w:val="false"/>
    </w:pPr>
    <w:rPr>
      <w:rFonts w:ascii="Tahoma" w:hAnsi="Tahoma" w:cs="Tahoma"/>
      <w:sz w:val="16"/>
      <w:szCs w:val="16"/>
    </w:rPr>
  </w:style>
  <w:style w:type="paragraph" w:styleId="Annotationtext">
    <w:name w:val="annotation text"/>
    <w:basedOn w:val="Normal"/>
    <w:link w:val="Style4"/>
    <w:qFormat/>
    <w:rsid w:val="0066561f"/>
    <w:pPr>
      <w:widowControl w:val="false"/>
    </w:pPr>
    <w:rPr/>
  </w:style>
  <w:style w:type="paragraph" w:styleId="Annotationsubject">
    <w:name w:val="annotation subject"/>
    <w:basedOn w:val="Annotationtext"/>
    <w:next w:val="Annotationtext"/>
    <w:link w:val="Style5"/>
    <w:qFormat/>
    <w:rsid w:val="0066561f"/>
    <w:pPr/>
    <w:rPr>
      <w:b/>
      <w:bCs/>
    </w:rPr>
  </w:style>
  <w:style w:type="paragraph" w:styleId="ListParagraph">
    <w:name w:val="List Paragraph"/>
    <w:basedOn w:val="Normal"/>
    <w:link w:val="Style12"/>
    <w:uiPriority w:val="34"/>
    <w:qFormat/>
    <w:rsid w:val="0066561f"/>
    <w:pPr>
      <w:widowControl w:val="false"/>
      <w:spacing w:before="0" w:after="0"/>
      <w:ind w:hanging="0" w:left="720"/>
      <w:contextualSpacing/>
    </w:pPr>
    <w:rPr/>
  </w:style>
  <w:style w:type="paragraph" w:styleId="Style18" w:customStyle="1">
    <w:name w:val="Знак Знак Знак Знак Знак Знак Знак Знак Знак"/>
    <w:basedOn w:val="Normal"/>
    <w:uiPriority w:val="99"/>
    <w:qFormat/>
    <w:rsid w:val="0066561f"/>
    <w:pPr>
      <w:spacing w:lineRule="exact" w:line="240" w:before="0" w:after="160"/>
      <w:jc w:val="both"/>
    </w:pPr>
    <w:rPr>
      <w:rFonts w:ascii="Verdana" w:hAnsi="Verdana"/>
      <w:sz w:val="22"/>
      <w:lang w:val="en-US" w:eastAsia="en-US"/>
    </w:rPr>
  </w:style>
  <w:style w:type="paragraph" w:styleId="Style19" w:customStyle="1">
    <w:name w:val="Подпункт договора"/>
    <w:basedOn w:val="Normal"/>
    <w:qFormat/>
    <w:rsid w:val="0066561f"/>
    <w:pPr>
      <w:tabs>
        <w:tab w:val="clear" w:pos="720"/>
        <w:tab w:val="left" w:pos="360" w:leader="none"/>
      </w:tabs>
      <w:jc w:val="both"/>
    </w:pPr>
    <w:rPr>
      <w:rFonts w:ascii="Arial" w:hAnsi="Arial"/>
    </w:rPr>
  </w:style>
  <w:style w:type="paragraph" w:styleId="ConsNormal" w:customStyle="1">
    <w:name w:val="ConsNormal"/>
    <w:qFormat/>
    <w:rsid w:val="0066561f"/>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Style20" w:customStyle="1">
    <w:name w:val="Знак"/>
    <w:basedOn w:val="Normal"/>
    <w:qFormat/>
    <w:rsid w:val="0066561f"/>
    <w:pPr>
      <w:spacing w:lineRule="exact" w:line="240" w:before="0" w:after="160"/>
    </w:pPr>
    <w:rPr>
      <w:rFonts w:ascii="Verdana" w:hAnsi="Verdana" w:cs="Verdana"/>
      <w:lang w:val="en-US" w:eastAsia="en-US"/>
    </w:rPr>
  </w:style>
  <w:style w:type="paragraph" w:styleId="FootnoteText">
    <w:name w:val="Footnote Text"/>
    <w:basedOn w:val="Normal"/>
    <w:link w:val="Style8"/>
    <w:uiPriority w:val="99"/>
    <w:rsid w:val="0066561f"/>
    <w:pPr>
      <w:widowControl w:val="false"/>
    </w:pPr>
    <w:rPr/>
  </w:style>
  <w:style w:type="paragraph" w:styleId="ListBullet3">
    <w:name w:val="List Bullet 3"/>
    <w:basedOn w:val="Normal"/>
    <w:uiPriority w:val="99"/>
    <w:unhideWhenUsed/>
    <w:qFormat/>
    <w:rsid w:val="0066561f"/>
    <w:pPr>
      <w:tabs>
        <w:tab w:val="clear" w:pos="720"/>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66561f"/>
    <w:pPr>
      <w:tabs>
        <w:tab w:val="clear" w:pos="720"/>
        <w:tab w:val="left" w:pos="851" w:leader="none"/>
      </w:tabs>
      <w:spacing w:lineRule="auto" w:line="360"/>
      <w:ind w:hanging="851" w:left="851"/>
      <w:jc w:val="both"/>
    </w:pPr>
    <w:rPr>
      <w:rFonts w:eastAsia="Calibri"/>
      <w:sz w:val="28"/>
      <w:szCs w:val="28"/>
    </w:rPr>
  </w:style>
  <w:style w:type="paragraph" w:styleId="DocumentMap">
    <w:name w:val="Document Map"/>
    <w:basedOn w:val="Normal"/>
    <w:link w:val="Style10"/>
    <w:qFormat/>
    <w:rsid w:val="0066561f"/>
    <w:pPr>
      <w:widowControl w:val="false"/>
      <w:shd w:val="clear" w:color="auto" w:fill="000080"/>
    </w:pPr>
    <w:rPr>
      <w:rFonts w:ascii="Tahoma" w:hAnsi="Tahoma" w:cs="Tahoma"/>
    </w:rPr>
  </w:style>
  <w:style w:type="paragraph" w:styleId="Revision">
    <w:name w:val="Revision"/>
    <w:uiPriority w:val="99"/>
    <w:semiHidden/>
    <w:qFormat/>
    <w:rsid w:val="0066561f"/>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1"/>
    <w:rsid w:val="0066561f"/>
    <w:pPr>
      <w:widowControl w:val="false"/>
      <w:tabs>
        <w:tab w:val="clear" w:pos="720"/>
        <w:tab w:val="center" w:pos="4677" w:leader="none"/>
        <w:tab w:val="right" w:pos="9355" w:leader="none"/>
      </w:tabs>
    </w:pPr>
    <w:rPr/>
  </w:style>
  <w:style w:type="paragraph" w:styleId="Default" w:customStyle="1">
    <w:name w:val="Default"/>
    <w:qFormat/>
    <w:rsid w:val="007d008c"/>
    <w:pPr>
      <w:widowControl/>
      <w:suppressAutoHyphens w:val="true"/>
      <w:bidi w:val="0"/>
      <w:spacing w:before="0" w:after="0"/>
      <w:jc w:val="left"/>
    </w:pPr>
    <w:rPr>
      <w:rFonts w:ascii="Times New Roman" w:hAnsi="Times New Roman" w:eastAsia="Times New Roman" w:cs="Times New Roman"/>
      <w:color w:val="000000"/>
      <w:kern w:val="0"/>
      <w:sz w:val="24"/>
      <w:szCs w:val="24"/>
      <w:lang w:val="ru-RU" w:eastAsia="ru-RU" w:bidi="ar-SA"/>
    </w:rPr>
  </w:style>
  <w:style w:type="paragraph" w:styleId="Style21" w:customStyle="1">
    <w:name w:val="Содержимое врезки"/>
    <w:basedOn w:val="Normal"/>
    <w:qFormat/>
    <w:pPr/>
    <w:rPr/>
  </w:style>
  <w:style w:type="paragraph" w:styleId="11" w:customStyle="1">
    <w:name w:val="Основной текст1"/>
    <w:basedOn w:val="Normal"/>
    <w:qFormat/>
    <w:pPr>
      <w:widowControl w:val="false"/>
      <w:shd w:val="clear" w:color="auto" w:fill="FFFFFF"/>
      <w:spacing w:lineRule="exact" w:line="302"/>
    </w:pPr>
    <w:rPr>
      <w:sz w:val="28"/>
      <w:szCs w:val="28"/>
    </w:rPr>
  </w:style>
  <w:style w:type="paragraph" w:styleId="Style22" w:customStyle="1">
    <w:name w:val="Содержимое таблицы"/>
    <w:basedOn w:val="Normal"/>
    <w:qFormat/>
    <w:pPr>
      <w:widowControl w:val="false"/>
      <w:suppressLineNumbers/>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a">
    <w:name w:val="Table Grid"/>
    <w:basedOn w:val="a1"/>
    <w:rsid w:val="006656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E99990-333F-4F89-9841-5C5AD98386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390</TotalTime>
  <Application>AlterOffice/2026.2.0.0$Linux_X86_64 LibreOffice_project/bc4ef1adf80b36c7a6365f8ed6cbf29021361edd</Application>
  <AppVersion>15.0000</AppVersion>
  <Pages>15</Pages>
  <Words>6475</Words>
  <Characters>46022</Characters>
  <CharactersWithSpaces>52208</CharactersWithSpaces>
  <Paragraphs>262</Paragraphs>
  <Company>ООО "Райдэн"</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2023-10-17T12:22:00Z</dcterms:created>
  <dc:creator>Света &amp; Алла (Twix)</dc:creator>
  <dc:description/>
  <dc:language>ru-RU</dc:language>
  <cp:lastModifiedBy>korolevkv@corp.gidroogk.com</cp:lastModifiedBy>
  <cp:lastPrinted>2025-01-24T15:27:00Z</cp:lastPrinted>
  <dcterms:modified xsi:type="dcterms:W3CDTF">2026-09-28T12:00:58Z</dcterms:modified>
  <cp:revision>153</cp:revision>
  <dc:subject/>
  <dc:title>ДОГОВОР ПОСТАВКИ</dc:title>
</cp:coreProperties>
</file>

<file path=docProps/custom.xml><?xml version="1.0" encoding="utf-8"?>
<Properties xmlns="http://schemas.openxmlformats.org/officeDocument/2006/custom-properties" xmlns:vt="http://schemas.openxmlformats.org/officeDocument/2006/docPropsVTypes"/>
</file>