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5192" w:left="9020"/>
        <w:rPr>
          <w:rFonts w:ascii="Times New Roman" w:hAnsi="Times New Roman"/>
          <w:spacing w:val="2"/>
        </w:rPr>
      </w:pPr>
      <w:r>
        <w:rPr>
          <w:rFonts w:ascii="Times New Roman" w:hAnsi="Times New Roman"/>
          <w:spacing w:val="2"/>
        </w:rPr>
      </w:r>
    </w:p>
    <w:p>
      <w:pPr>
        <w:pStyle w:val="12"/>
        <w:shd w:val="clear" w:color="auto" w:fill="auto"/>
        <w:spacing w:lineRule="auto" w:line="264"/>
        <w:ind w:hanging="4767" w:left="9020"/>
        <w:rPr>
          <w:rStyle w:val="Style14"/>
          <w:b/>
        </w:rPr>
      </w:pPr>
      <w:r>
        <w:rPr>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r>
    </w:p>
    <w:p>
      <w:pPr>
        <w:pStyle w:val="12"/>
        <w:shd w:val="clear" w:color="auto" w:fill="auto"/>
        <w:spacing w:lineRule="auto" w:line="264"/>
        <w:ind w:firstLine="851"/>
        <w:jc w:val="center"/>
        <w:rPr>
          <w:rFonts w:ascii="Times New Roman" w:hAnsi="Times New Roman"/>
          <w:b/>
        </w:rPr>
      </w:pPr>
      <w:r>
        <w:rPr>
          <w:rFonts w:ascii="Times New Roman" w:hAnsi="Times New Roman"/>
          <w:b/>
        </w:rPr>
        <w:t xml:space="preserve">ТЕХНИЧЕСКИЕ ТРЕБОВАНИЯ </w:t>
      </w:r>
    </w:p>
    <w:p>
      <w:pPr>
        <w:pStyle w:val="12"/>
        <w:shd w:val="clear" w:color="auto" w:fill="auto"/>
        <w:spacing w:lineRule="auto" w:line="264"/>
        <w:ind w:firstLine="851"/>
        <w:jc w:val="center"/>
        <w:rPr>
          <w:rFonts w:ascii="Times New Roman" w:hAnsi="Times New Roman"/>
        </w:rPr>
      </w:pPr>
      <w:r>
        <w:rPr>
          <w:rFonts w:ascii="Times New Roman" w:hAnsi="Times New Roman"/>
          <w:color w:val="000000"/>
          <w:shd w:fill="auto" w:val="clear"/>
        </w:rPr>
        <w:t>ОКПД2 25.93.11.120  П</w:t>
      </w:r>
      <w:r>
        <w:rPr>
          <w:rFonts w:ascii="Times New Roman" w:hAnsi="Times New Roman"/>
        </w:rPr>
        <w:t xml:space="preserve">оставка </w:t>
      </w:r>
      <w:r>
        <w:rPr>
          <w:rFonts w:ascii="Times New Roman" w:hAnsi="Times New Roman"/>
          <w:b w:val="false"/>
          <w:bCs w:val="false"/>
          <w:i w:val="false"/>
          <w:strike w:val="false"/>
          <w:dstrike w:val="false"/>
          <w:outline w:val="false"/>
          <w:shadow w:val="false"/>
          <w:color w:val="000000"/>
          <w:sz w:val="28"/>
          <w:szCs w:val="28"/>
          <w:u w:val="none"/>
          <w:em w:val="none"/>
        </w:rPr>
        <w:t xml:space="preserve">каната оцинкованного </w:t>
      </w:r>
      <w:r>
        <w:rPr>
          <w:rFonts w:ascii="Times New Roman" w:hAnsi="Times New Roman"/>
        </w:rPr>
        <w:t>для нужд Волжского филиала</w:t>
      </w:r>
    </w:p>
    <w:p>
      <w:pPr>
        <w:pStyle w:val="12"/>
        <w:shd w:val="clear" w:color="auto" w:fill="auto"/>
        <w:spacing w:lineRule="auto" w:line="264"/>
        <w:ind w:firstLine="851"/>
        <w:jc w:val="center"/>
        <w:rPr>
          <w:rFonts w:ascii="Times New Roman" w:hAnsi="Times New Roman"/>
        </w:rPr>
      </w:pPr>
      <w:r>
        <w:rPr>
          <w:rFonts w:ascii="Times New Roman" w:hAnsi="Times New Roman"/>
        </w:rPr>
        <w:t xml:space="preserve">Лот № </w:t>
      </w:r>
      <w:r>
        <w:rPr>
          <w:rFonts w:ascii="Times New Roman" w:hAnsi="Times New Roman"/>
          <w:color w:val="auto"/>
        </w:rPr>
        <w:t>0039-ТПиР БЕЗОП ДОХ-2026-ГРВКК-ВолФ</w:t>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Normal"/>
        <w:bidi w:val="0"/>
        <w:jc w:val="left"/>
        <w:rPr>
          <w:rFonts w:ascii="Times New Roman" w:hAnsi="Times New Roman"/>
          <w:b w:val="false"/>
          <w:i w:val="false"/>
          <w:i w:val="false"/>
          <w:strike w:val="false"/>
          <w:dstrike w:val="false"/>
          <w:outline w:val="false"/>
          <w:shadow w:val="false"/>
          <w:color w:val="000000"/>
          <w:sz w:val="21"/>
          <w:u w:val="none"/>
          <w:em w:val="none"/>
        </w:rPr>
      </w:pPr>
      <w:r>
        <w:rPr>
          <w:rFonts w:ascii="Times New Roman" w:hAnsi="Times New Roman"/>
          <w:b w:val="false"/>
          <w:i w:val="false"/>
          <w:strike w:val="false"/>
          <w:dstrike w:val="false"/>
          <w:outline w:val="false"/>
          <w:shadow w:val="false"/>
          <w:color w:val="000000"/>
          <w:sz w:val="21"/>
          <w:u w:val="none"/>
          <w:em w:val="none"/>
        </w:rPr>
      </w:r>
    </w:p>
    <w:p>
      <w:pPr>
        <w:pStyle w:val="Normal"/>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center"/>
        <w:rPr>
          <w:rFonts w:ascii="Times New Roman" w:hAnsi="Times New Roman"/>
        </w:rPr>
      </w:pPr>
      <w:r>
        <w:rPr>
          <w:rFonts w:ascii="Times New Roman" w:hAnsi="Times New Roman"/>
        </w:rPr>
      </w:r>
    </w:p>
    <w:p>
      <w:pPr>
        <w:pStyle w:val="12"/>
        <w:shd w:val="clear" w:color="auto" w:fill="auto"/>
        <w:spacing w:lineRule="auto" w:line="264"/>
        <w:ind w:firstLine="851"/>
        <w:jc w:val="left"/>
        <w:rPr>
          <w:rFonts w:ascii="Times New Roman" w:hAnsi="Times New Roman"/>
          <w:b/>
          <w:bCs/>
          <w:sz w:val="24"/>
          <w:szCs w:val="24"/>
        </w:rPr>
      </w:pPr>
      <w:r>
        <w:rPr>
          <w:rFonts w:ascii="Times New Roman" w:hAnsi="Times New Roman"/>
          <w:b/>
          <w:bCs/>
          <w:sz w:val="24"/>
          <w:szCs w:val="24"/>
        </w:rPr>
        <w:t>1.Общие сведения</w:t>
      </w:r>
    </w:p>
    <w:p>
      <w:pPr>
        <w:pStyle w:val="Normal"/>
        <w:widowControl w:val="false"/>
        <w:spacing w:lineRule="auto" w:line="264" w:before="0" w:after="0"/>
        <w:rPr>
          <w:rFonts w:ascii="Times New Roman" w:hAnsi="Times New Roman"/>
          <w:sz w:val="24"/>
          <w:szCs w:val="24"/>
          <w:lang w:eastAsia="ru-RU"/>
        </w:rPr>
      </w:pPr>
      <w:r>
        <w:rPr>
          <w:rFonts w:ascii="Times New Roman" w:hAnsi="Times New Roman"/>
          <w:b/>
          <w:sz w:val="24"/>
          <w:szCs w:val="24"/>
          <w:lang w:eastAsia="ru-RU"/>
        </w:rPr>
        <w:t>1.1</w:t>
      </w:r>
      <w:r>
        <w:rPr>
          <w:rFonts w:ascii="Times New Roman" w:hAnsi="Times New Roman"/>
          <w:sz w:val="24"/>
          <w:szCs w:val="24"/>
          <w:lang w:eastAsia="ru-RU"/>
        </w:rPr>
        <w:t>.</w:t>
      </w:r>
      <w:r>
        <w:rPr>
          <w:rFonts w:ascii="Times New Roman" w:hAnsi="Times New Roman"/>
          <w:b/>
          <w:bCs/>
          <w:sz w:val="24"/>
          <w:szCs w:val="24"/>
          <w:lang w:eastAsia="ru-RU"/>
        </w:rPr>
        <w:tab/>
        <w:t>Наименование закупаемой продукции</w:t>
      </w:r>
    </w:p>
    <w:p>
      <w:pPr>
        <w:pStyle w:val="Normal"/>
        <w:widowControl w:val="false"/>
        <w:spacing w:lineRule="auto" w:line="264" w:before="0" w:after="0"/>
        <w:rPr>
          <w:rFonts w:ascii="Times New Roman" w:hAnsi="Times New Roman"/>
          <w:sz w:val="24"/>
          <w:szCs w:val="24"/>
          <w:lang w:eastAsia="ru-RU"/>
        </w:rPr>
      </w:pPr>
      <w:r>
        <w:rPr>
          <w:rFonts w:ascii="Times New Roman" w:hAnsi="Times New Roman"/>
          <w:sz w:val="24"/>
          <w:szCs w:val="24"/>
          <w:lang w:eastAsia="ru-RU"/>
        </w:rPr>
        <w:t>ОКПД2 25.93.11.120  Поставка каната оцинкованного для нужд Волжского филиала (далее – продукция).</w:t>
      </w:r>
    </w:p>
    <w:p>
      <w:pPr>
        <w:pStyle w:val="Normal"/>
        <w:widowControl w:val="false"/>
        <w:shd w:val="clear" w:color="auto" w:fill="FFFFFF"/>
        <w:spacing w:lineRule="auto" w:line="264" w:before="0" w:after="0"/>
        <w:rPr>
          <w:rFonts w:ascii="Times New Roman" w:hAnsi="Times New Roman"/>
          <w:b/>
          <w:bCs/>
          <w:sz w:val="24"/>
          <w:szCs w:val="24"/>
          <w:lang w:val="x-none" w:eastAsia="ru-RU"/>
        </w:rPr>
      </w:pPr>
      <w:r>
        <w:rPr>
          <w:rFonts w:ascii="Times New Roman" w:hAnsi="Times New Roman"/>
          <w:b/>
          <w:sz w:val="24"/>
          <w:szCs w:val="24"/>
          <w:lang w:eastAsia="ru-RU"/>
        </w:rPr>
        <w:t>1.2</w:t>
      </w:r>
      <w:bookmarkStart w:id="0" w:name="_Toc75446569"/>
      <w:bookmarkStart w:id="1" w:name="_Toc46743507"/>
      <w:r>
        <w:rPr>
          <w:rFonts w:ascii="Times New Roman" w:hAnsi="Times New Roman"/>
          <w:b/>
          <w:bCs/>
          <w:i/>
          <w:iCs/>
          <w:sz w:val="24"/>
          <w:szCs w:val="24"/>
          <w:lang w:val="x-none" w:eastAsia="x-none"/>
        </w:rPr>
        <w:t xml:space="preserve"> </w:t>
        <w:tab/>
      </w:r>
      <w:r>
        <w:rPr>
          <w:rFonts w:ascii="Times New Roman" w:hAnsi="Times New Roman"/>
          <w:b/>
          <w:bCs/>
          <w:sz w:val="24"/>
          <w:szCs w:val="24"/>
          <w:lang w:val="x-none" w:eastAsia="ru-RU"/>
        </w:rPr>
        <w:t xml:space="preserve">Цель </w:t>
      </w:r>
      <w:bookmarkEnd w:id="1"/>
      <w:r>
        <w:rPr>
          <w:rFonts w:ascii="Times New Roman" w:hAnsi="Times New Roman"/>
          <w:b/>
          <w:bCs/>
          <w:sz w:val="24"/>
          <w:szCs w:val="24"/>
          <w:lang w:eastAsia="ru-RU"/>
        </w:rPr>
        <w:t xml:space="preserve">использования закупаемой продукции </w:t>
      </w:r>
      <w:bookmarkEnd w:id="0"/>
      <w:r>
        <w:rPr>
          <w:rFonts w:ascii="Times New Roman" w:hAnsi="Times New Roman"/>
          <w:b/>
          <w:bCs/>
          <w:sz w:val="24"/>
          <w:szCs w:val="24"/>
          <w:lang w:val="x-none" w:eastAsia="ru-RU"/>
        </w:rPr>
        <w:t xml:space="preserve"> </w:t>
      </w:r>
    </w:p>
    <w:p>
      <w:pPr>
        <w:pStyle w:val="Normal"/>
        <w:widowControl w:val="false"/>
        <w:shd w:val="clear" w:color="auto" w:fill="FFFFFF"/>
        <w:spacing w:lineRule="exact" w:line="302" w:before="0" w:after="0"/>
        <w:jc w:val="both"/>
        <w:rPr>
          <w:rFonts w:ascii="Times New Roman" w:hAnsi="Times New Roman"/>
          <w:sz w:val="24"/>
          <w:szCs w:val="24"/>
          <w:lang w:eastAsia="ru-RU"/>
        </w:rPr>
      </w:pPr>
      <w:r>
        <w:rPr>
          <w:rFonts w:ascii="Times New Roman" w:hAnsi="Times New Roman"/>
          <w:sz w:val="24"/>
          <w:szCs w:val="24"/>
          <w:lang w:eastAsia="ru-RU"/>
        </w:rPr>
        <w:t xml:space="preserve"> </w:t>
      </w:r>
      <w:r>
        <w:rPr>
          <w:rFonts w:ascii="Times New Roman" w:hAnsi="Times New Roman"/>
          <w:sz w:val="24"/>
          <w:szCs w:val="24"/>
          <w:lang w:eastAsia="ru-RU"/>
        </w:rPr>
        <w:t xml:space="preserve">Закупаемая продукция предназначена для выполнения работ на Волжской ГЭС для исполнения Договора </w:t>
      </w:r>
      <w:r>
        <w:rPr>
          <w:rFonts w:ascii="Times New Roman" w:hAnsi="Times New Roman"/>
          <w:b w:val="false"/>
          <w:i w:val="false"/>
          <w:caps w:val="false"/>
          <w:smallCaps w:val="false"/>
          <w:strike w:val="false"/>
          <w:dstrike w:val="false"/>
          <w:outline w:val="false"/>
          <w:shadow w:val="false"/>
          <w:color w:val="000000"/>
          <w:spacing w:val="0"/>
          <w:sz w:val="24"/>
          <w:szCs w:val="24"/>
          <w:u w:val="none"/>
          <w:em w:val="none"/>
          <w:lang w:eastAsia="ru-RU"/>
        </w:rPr>
        <w:t>№</w:t>
      </w:r>
      <w:r>
        <w:rPr>
          <w:rFonts w:ascii="Times New Roman" w:hAnsi="Times New Roman"/>
          <w:b w:val="false"/>
          <w:i w:val="false"/>
          <w:caps w:val="false"/>
          <w:smallCaps w:val="false"/>
          <w:strike w:val="false"/>
          <w:dstrike w:val="false"/>
          <w:outline w:val="false"/>
          <w:shadow w:val="false"/>
          <w:color w:val="000000"/>
          <w:spacing w:val="0"/>
          <w:sz w:val="22"/>
          <w:szCs w:val="24"/>
          <w:u w:val="none"/>
          <w:em w:val="none"/>
          <w:lang w:eastAsia="ru-RU"/>
        </w:rPr>
        <w:t>1050-332-2026/1-</w:t>
      </w:r>
      <w:r>
        <w:rPr>
          <w:rFonts w:ascii="Times New Roman" w:hAnsi="Times New Roman"/>
          <w:b w:val="false"/>
          <w:i w:val="false"/>
          <w:strike w:val="false"/>
          <w:dstrike w:val="false"/>
          <w:outline w:val="false"/>
          <w:shadow w:val="false"/>
          <w:color w:val="000000"/>
          <w:sz w:val="22"/>
          <w:u w:val="none"/>
          <w:em w:val="none"/>
        </w:rPr>
        <w:t>ТПиР-БЕЗ-2026 от 13.02.2026г. «Выполнение работ по монтажу защитных заграждений трансформаторной площадки у машинного зала (3 этап) и трансформаторной площадки ОРУ 220 кВ (2 этап) Волжской ГЭС»</w:t>
      </w:r>
      <w:r>
        <w:rPr>
          <w:rFonts w:ascii="Times New Roman" w:hAnsi="Times New Roman"/>
          <w:b w:val="false"/>
          <w:i w:val="false"/>
          <w:caps w:val="false"/>
          <w:smallCaps w:val="false"/>
          <w:strike w:val="false"/>
          <w:dstrike w:val="false"/>
          <w:outline w:val="false"/>
          <w:shadow w:val="false"/>
          <w:color w:val="000000"/>
          <w:spacing w:val="0"/>
          <w:sz w:val="24"/>
          <w:szCs w:val="24"/>
          <w:u w:val="none"/>
          <w:em w:val="none"/>
          <w:lang w:eastAsia="ru-RU"/>
        </w:rPr>
        <w:t>, заключенного между ПАО «РусГидро» и АО «Гидроремонт-ВКК».</w:t>
      </w:r>
    </w:p>
    <w:p>
      <w:pPr>
        <w:pStyle w:val="Normal"/>
        <w:keepNext w:val="true"/>
        <w:keepLines/>
        <w:numPr>
          <w:ilvl w:val="0"/>
          <w:numId w:val="0"/>
        </w:numPr>
        <w:spacing w:lineRule="auto" w:line="240" w:before="120" w:after="60"/>
        <w:ind w:hanging="357" w:left="357"/>
        <w:outlineLvl w:val="0"/>
        <w:rPr>
          <w:rFonts w:ascii="Times New Roman" w:hAnsi="Times New Roman"/>
          <w:b/>
          <w:iCs/>
          <w:caps/>
          <w:sz w:val="24"/>
          <w:szCs w:val="24"/>
          <w:lang w:eastAsia="x-none"/>
        </w:rPr>
      </w:pPr>
      <w:bookmarkStart w:id="2" w:name="_Toc75446573"/>
      <w:bookmarkStart w:id="3" w:name="_Toc51339693"/>
      <w:r>
        <w:rPr>
          <w:rFonts w:ascii="Times New Roman" w:hAnsi="Times New Roman"/>
          <w:b/>
          <w:iCs/>
          <w:sz w:val="24"/>
          <w:szCs w:val="24"/>
          <w:lang w:eastAsia="x-none"/>
        </w:rPr>
        <w:t xml:space="preserve">2. </w:t>
      </w:r>
      <w:r>
        <w:rPr>
          <w:rFonts w:ascii="Times New Roman" w:hAnsi="Times New Roman"/>
          <w:b/>
          <w:iCs/>
          <w:sz w:val="24"/>
          <w:szCs w:val="24"/>
          <w:lang w:val="x-none" w:eastAsia="x-none"/>
        </w:rPr>
        <w:t>Требования к продукции</w:t>
      </w:r>
      <w:bookmarkEnd w:id="2"/>
      <w:bookmarkEnd w:id="3"/>
    </w:p>
    <w:p>
      <w:pPr>
        <w:pStyle w:val="Normal"/>
        <w:keepNext w:val="true"/>
        <w:numPr>
          <w:ilvl w:val="0"/>
          <w:numId w:val="0"/>
        </w:numPr>
        <w:spacing w:lineRule="auto" w:line="240" w:before="120" w:after="60"/>
        <w:ind w:hanging="432" w:left="432"/>
        <w:outlineLvl w:val="3"/>
        <w:rPr>
          <w:rFonts w:ascii="Times New Roman" w:hAnsi="Times New Roman"/>
          <w:b/>
          <w:sz w:val="24"/>
          <w:szCs w:val="24"/>
          <w:lang w:eastAsia="ru-RU"/>
        </w:rPr>
      </w:pPr>
      <w:bookmarkStart w:id="4" w:name="_Toc75446574"/>
      <w:r>
        <w:rPr>
          <w:rFonts w:ascii="Times New Roman" w:hAnsi="Times New Roman"/>
          <w:b/>
          <w:sz w:val="24"/>
          <w:szCs w:val="24"/>
          <w:lang w:eastAsia="ru-RU"/>
        </w:rPr>
        <w:t>2.1 Требования к объемам и срокам поставки</w:t>
      </w:r>
      <w:bookmarkEnd w:id="4"/>
    </w:p>
    <w:p>
      <w:pPr>
        <w:pStyle w:val="Normal"/>
        <w:keepNext w:val="true"/>
        <w:numPr>
          <w:ilvl w:val="0"/>
          <w:numId w:val="0"/>
        </w:numPr>
        <w:spacing w:lineRule="auto" w:line="240" w:before="120" w:after="60"/>
        <w:ind w:hanging="0" w:left="0"/>
        <w:outlineLvl w:val="2"/>
        <w:rPr>
          <w:rFonts w:ascii="Times New Roman" w:hAnsi="Times New Roman"/>
          <w:b/>
          <w:sz w:val="24"/>
          <w:szCs w:val="24"/>
          <w:lang w:eastAsia="ru-RU"/>
        </w:rPr>
      </w:pPr>
      <w:bookmarkStart w:id="5" w:name="_Toc75446575"/>
      <w:r>
        <w:rPr>
          <w:rFonts w:ascii="Times New Roman" w:hAnsi="Times New Roman"/>
          <w:b/>
          <w:sz w:val="24"/>
          <w:szCs w:val="24"/>
          <w:lang w:eastAsia="ru-RU"/>
        </w:rPr>
        <w:t>2.1.1. Перечень и объем закупаемой продукции</w:t>
      </w:r>
      <w:bookmarkEnd w:id="5"/>
    </w:p>
    <w:p>
      <w:pPr>
        <w:pStyle w:val="Normal"/>
        <w:numPr>
          <w:ilvl w:val="0"/>
          <w:numId w:val="0"/>
        </w:numPr>
        <w:spacing w:lineRule="auto" w:line="240" w:before="240" w:after="60"/>
        <w:ind w:hanging="0" w:left="0"/>
        <w:outlineLvl w:val="0"/>
        <w:rPr>
          <w:rFonts w:ascii="Times New Roman" w:hAnsi="Times New Roman"/>
          <w:b/>
          <w:sz w:val="24"/>
          <w:szCs w:val="24"/>
          <w:lang w:eastAsia="ru-RU"/>
        </w:rPr>
      </w:pPr>
      <w:bookmarkStart w:id="6" w:name="_Toc75446576"/>
      <w:bookmarkStart w:id="7" w:name="_Toc51339695"/>
      <w:r>
        <w:rPr>
          <w:rFonts w:ascii="Times New Roman" w:hAnsi="Times New Roman"/>
          <w:b/>
          <w:sz w:val="24"/>
          <w:szCs w:val="24"/>
          <w:lang w:eastAsia="ru-RU"/>
        </w:rPr>
        <w:t xml:space="preserve">Таблица 1.1 Перечень </w:t>
      </w:r>
      <w:bookmarkEnd w:id="7"/>
      <w:r>
        <w:rPr>
          <w:rFonts w:ascii="Times New Roman" w:hAnsi="Times New Roman"/>
          <w:b/>
          <w:sz w:val="24"/>
          <w:szCs w:val="24"/>
          <w:lang w:eastAsia="ru-RU"/>
        </w:rPr>
        <w:t>и объем закупаемой продукции</w:t>
      </w:r>
      <w:bookmarkEnd w:id="6"/>
    </w:p>
    <w:tbl>
      <w:tblPr>
        <w:tblW w:w="10489" w:type="dxa"/>
        <w:jc w:val="left"/>
        <w:tblInd w:w="222" w:type="dxa"/>
        <w:tblLayout w:type="fixed"/>
        <w:tblCellMar>
          <w:top w:w="0" w:type="dxa"/>
          <w:left w:w="108" w:type="dxa"/>
          <w:bottom w:w="0" w:type="dxa"/>
          <w:right w:w="108" w:type="dxa"/>
        </w:tblCellMar>
        <w:tblLook w:val="04a0" w:noHBand="0" w:noVBand="1" w:firstColumn="1" w:lastRow="0" w:lastColumn="0" w:firstRow="1"/>
      </w:tblPr>
      <w:tblGrid>
        <w:gridCol w:w="847"/>
        <w:gridCol w:w="6173"/>
        <w:gridCol w:w="1874"/>
        <w:gridCol w:w="1594"/>
      </w:tblGrid>
      <w:tr>
        <w:trPr>
          <w:trHeight w:val="596" w:hRule="atLeast"/>
        </w:trPr>
        <w:tc>
          <w:tcPr>
            <w:tcW w:w="84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Cs w:val="24"/>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п/п</w:t>
            </w:r>
          </w:p>
        </w:tc>
        <w:tc>
          <w:tcPr>
            <w:tcW w:w="61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szCs w:val="24"/>
              </w:rPr>
            </w:pPr>
            <w:r>
              <w:rPr>
                <w:rFonts w:ascii="Times New Roman" w:hAnsi="Times New Roman"/>
                <w:szCs w:val="24"/>
              </w:rPr>
              <w:t>Наименование</w:t>
            </w:r>
            <w:r>
              <w:rPr>
                <w:rFonts w:eastAsia="Times New Roman" w:ascii="Times New Roman" w:hAnsi="Times New Roman"/>
                <w:sz w:val="24"/>
                <w:szCs w:val="24"/>
                <w:lang w:eastAsia="ru-RU"/>
              </w:rPr>
              <w:t xml:space="preserve"> продукции</w:t>
            </w:r>
          </w:p>
        </w:tc>
        <w:tc>
          <w:tcPr>
            <w:tcW w:w="1874" w:type="dxa"/>
            <w:tcBorders>
              <w:top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szCs w:val="24"/>
              </w:rPr>
            </w:pPr>
            <w:r>
              <w:rPr>
                <w:rFonts w:ascii="Times New Roman" w:hAnsi="Times New Roman"/>
                <w:szCs w:val="24"/>
              </w:rPr>
              <w:t>Ед. изм.</w:t>
            </w:r>
          </w:p>
        </w:tc>
        <w:tc>
          <w:tcPr>
            <w:tcW w:w="1594" w:type="dxa"/>
            <w:tcBorders>
              <w:top w:val="single" w:sz="4" w:space="0" w:color="000000"/>
              <w:bottom w:val="single" w:sz="4" w:space="0" w:color="000000"/>
              <w:right w:val="single" w:sz="4" w:space="0" w:color="000000"/>
            </w:tcBorders>
            <w:shd w:color="auto" w:fill="auto" w:val="clear"/>
          </w:tcPr>
          <w:p>
            <w:pPr>
              <w:pStyle w:val="Normal"/>
              <w:widowControl w:val="false"/>
              <w:spacing w:before="0" w:after="200"/>
              <w:jc w:val="center"/>
              <w:rPr>
                <w:rFonts w:ascii="Times New Roman" w:hAnsi="Times New Roman"/>
                <w:szCs w:val="24"/>
              </w:rPr>
            </w:pPr>
            <w:r>
              <w:rPr>
                <w:rFonts w:ascii="Times New Roman" w:hAnsi="Times New Roman"/>
                <w:szCs w:val="24"/>
              </w:rPr>
              <w:t>Кол-во</w:t>
            </w:r>
          </w:p>
        </w:tc>
      </w:tr>
      <w:tr>
        <w:trPr>
          <w:trHeight w:val="397" w:hRule="atLeast"/>
        </w:trPr>
        <w:tc>
          <w:tcPr>
            <w:tcW w:w="847" w:type="dxa"/>
            <w:tcBorders>
              <w:left w:val="single" w:sz="4" w:space="0" w:color="000000"/>
              <w:bottom w:val="single" w:sz="4" w:space="0" w:color="000000"/>
              <w:right w:val="single" w:sz="4" w:space="0" w:color="000000"/>
            </w:tcBorders>
          </w:tcPr>
          <w:p>
            <w:pPr>
              <w:pStyle w:val="Normal"/>
              <w:widowControl w:val="false"/>
              <w:spacing w:before="0" w:after="200"/>
              <w:jc w:val="center"/>
              <w:rPr>
                <w:rFonts w:ascii="Times New Roman" w:hAnsi="Times New Roman"/>
                <w:sz w:val="24"/>
                <w:szCs w:val="24"/>
              </w:rPr>
            </w:pPr>
            <w:r>
              <w:rPr>
                <w:rFonts w:ascii="Times New Roman" w:hAnsi="Times New Roman"/>
                <w:sz w:val="24"/>
                <w:szCs w:val="24"/>
              </w:rPr>
              <w:t>1.</w:t>
            </w:r>
          </w:p>
        </w:tc>
        <w:tc>
          <w:tcPr>
            <w:tcW w:w="6173" w:type="dxa"/>
            <w:tcBorders>
              <w:left w:val="single" w:sz="4" w:space="0" w:color="000000"/>
              <w:bottom w:val="single" w:sz="4" w:space="0" w:color="000000"/>
              <w:right w:val="single" w:sz="4" w:space="0" w:color="000000"/>
            </w:tcBorders>
            <w:shd w:color="auto" w:fill="auto" w:val="clear"/>
          </w:tcPr>
          <w:p>
            <w:pPr>
              <w:pStyle w:val="Normal"/>
              <w:widowControl w:val="false"/>
              <w:bidi w:val="0"/>
              <w:spacing w:before="0" w:after="200"/>
              <w:jc w:val="left"/>
              <w:rPr>
                <w:sz w:val="24"/>
                <w:szCs w:val="24"/>
              </w:rPr>
            </w:pPr>
            <w:r>
              <w:rPr>
                <w:rFonts w:ascii="Times New Roman" w:hAnsi="Times New Roman"/>
                <w:b w:val="false"/>
                <w:bCs w:val="false"/>
                <w:i w:val="false"/>
                <w:strike w:val="false"/>
                <w:dstrike w:val="false"/>
                <w:outline w:val="false"/>
                <w:shadow w:val="false"/>
                <w:color w:val="000000"/>
                <w:sz w:val="24"/>
                <w:szCs w:val="24"/>
                <w:u w:val="none"/>
                <w:em w:val="none"/>
                <w:lang w:eastAsia="ru-RU"/>
              </w:rPr>
              <w:t xml:space="preserve">Канат оцинкованный </w:t>
            </w:r>
            <w:r>
              <w:rPr>
                <w:rFonts w:ascii="Times New Roman" w:hAnsi="Times New Roman"/>
                <w:b w:val="false"/>
                <w:bCs w:val="false"/>
                <w:i w:val="false"/>
                <w:strike w:val="false"/>
                <w:dstrike w:val="false"/>
                <w:outline w:val="false"/>
                <w:shadow w:val="false"/>
                <w:color w:val="000000"/>
                <w:sz w:val="24"/>
                <w:szCs w:val="24"/>
                <w:u w:val="none"/>
                <w:em w:val="none"/>
                <w:lang w:eastAsia="ru-RU"/>
              </w:rPr>
              <w:t>10мм DIN 3055</w:t>
            </w:r>
          </w:p>
        </w:tc>
        <w:tc>
          <w:tcPr>
            <w:tcW w:w="1874" w:type="dxa"/>
            <w:tcBorders>
              <w:bottom w:val="single" w:sz="4" w:space="0" w:color="000000"/>
              <w:right w:val="single" w:sz="4" w:space="0" w:color="000000"/>
            </w:tcBorders>
            <w:shd w:color="auto" w:fill="auto" w:val="clear"/>
          </w:tcPr>
          <w:p>
            <w:pPr>
              <w:pStyle w:val="Style20"/>
              <w:widowControl w:val="false"/>
              <w:spacing w:before="0" w:after="200"/>
              <w:jc w:val="center"/>
              <w:rPr>
                <w:color w:val="000000"/>
              </w:rPr>
            </w:pPr>
            <w:r>
              <w:rPr>
                <w:rFonts w:ascii="Times New Roman" w:hAnsi="Times New Roman"/>
                <w:color w:val="000000"/>
              </w:rPr>
              <w:t>м</w:t>
            </w:r>
          </w:p>
        </w:tc>
        <w:tc>
          <w:tcPr>
            <w:tcW w:w="1594" w:type="dxa"/>
            <w:tcBorders>
              <w:bottom w:val="single" w:sz="4" w:space="0" w:color="000000"/>
              <w:right w:val="single" w:sz="4" w:space="0" w:color="000000"/>
            </w:tcBorders>
            <w:shd w:color="auto" w:fill="auto" w:val="clear"/>
          </w:tcPr>
          <w:p>
            <w:pPr>
              <w:pStyle w:val="Style20"/>
              <w:widowControl w:val="false"/>
              <w:spacing w:before="0" w:after="200"/>
              <w:jc w:val="center"/>
              <w:rPr>
                <w:color w:val="000000"/>
              </w:rPr>
            </w:pPr>
            <w:r>
              <w:rPr>
                <w:rFonts w:ascii="Times New Roman" w:hAnsi="Times New Roman"/>
                <w:color w:val="000000"/>
              </w:rPr>
              <w:t>11 500</w:t>
            </w:r>
          </w:p>
        </w:tc>
      </w:tr>
    </w:tbl>
    <w:p>
      <w:pPr>
        <w:pStyle w:val="Normal"/>
        <w:keepNext w:val="true"/>
        <w:keepLines/>
        <w:numPr>
          <w:ilvl w:val="0"/>
          <w:numId w:val="0"/>
        </w:numPr>
        <w:spacing w:lineRule="auto" w:line="240" w:before="240" w:after="60"/>
        <w:ind w:hanging="0" w:left="0"/>
        <w:outlineLvl w:val="0"/>
        <w:rPr>
          <w:rFonts w:ascii="Times New Roman" w:hAnsi="Times New Roman"/>
          <w:b/>
          <w:sz w:val="24"/>
          <w:szCs w:val="24"/>
          <w:lang w:eastAsia="ru-RU"/>
        </w:rPr>
      </w:pPr>
      <w:r>
        <w:rPr>
          <w:rFonts w:ascii="Times New Roman" w:hAnsi="Times New Roman"/>
          <w:b/>
          <w:sz w:val="24"/>
          <w:szCs w:val="24"/>
          <w:lang w:eastAsia="ru-RU"/>
        </w:rPr>
        <w:t>2.1.2.</w:t>
        <w:tab/>
        <w:t>Требования к срокам поставки продукции</w:t>
      </w:r>
    </w:p>
    <w:p>
      <w:pPr>
        <w:pStyle w:val="Normal"/>
        <w:keepNext w:val="true"/>
        <w:keepLines/>
        <w:numPr>
          <w:ilvl w:val="0"/>
          <w:numId w:val="0"/>
        </w:numPr>
        <w:spacing w:lineRule="auto" w:line="240" w:before="240" w:after="60"/>
        <w:ind w:hanging="0" w:left="0"/>
        <w:outlineLvl w:val="0"/>
        <w:rPr>
          <w:rFonts w:ascii="Times New Roman" w:hAnsi="Times New Roman"/>
          <w:b/>
          <w:sz w:val="24"/>
          <w:szCs w:val="24"/>
          <w:lang w:eastAsia="ru-RU"/>
        </w:rPr>
      </w:pPr>
      <w:r>
        <w:rPr>
          <w:rFonts w:ascii="Times New Roman" w:hAnsi="Times New Roman"/>
          <w:b/>
          <w:sz w:val="24"/>
          <w:szCs w:val="24"/>
          <w:lang w:eastAsia="ru-RU"/>
        </w:rPr>
        <w:t xml:space="preserve">Таблица 2.1 Требования по срокам поставки продукции </w:t>
      </w:r>
    </w:p>
    <w:tbl>
      <w:tblPr>
        <w:tblW w:w="10460" w:type="dxa"/>
        <w:jc w:val="left"/>
        <w:tblInd w:w="256" w:type="dxa"/>
        <w:tblLayout w:type="fixed"/>
        <w:tblCellMar>
          <w:top w:w="0" w:type="dxa"/>
          <w:left w:w="108" w:type="dxa"/>
          <w:bottom w:w="0" w:type="dxa"/>
          <w:right w:w="108" w:type="dxa"/>
        </w:tblCellMar>
        <w:tblLook w:val="04a0" w:noHBand="0" w:noVBand="1" w:firstColumn="1" w:lastRow="0" w:lastColumn="0" w:firstRow="1"/>
      </w:tblPr>
      <w:tblGrid>
        <w:gridCol w:w="685"/>
        <w:gridCol w:w="3727"/>
        <w:gridCol w:w="2618"/>
        <w:gridCol w:w="3429"/>
      </w:tblGrid>
      <w:tr>
        <w:trPr>
          <w:trHeight w:val="825" w:hRule="atLeast"/>
          <w:cantSplit w:val="true"/>
        </w:trPr>
        <w:tc>
          <w:tcPr>
            <w:tcW w:w="6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 xml:space="preserve">№ </w:t>
            </w:r>
            <w:r>
              <w:rPr>
                <w:rFonts w:eastAsia="Times New Roman" w:ascii="Times New Roman" w:hAnsi="Times New Roman"/>
                <w:sz w:val="24"/>
                <w:szCs w:val="24"/>
                <w:lang w:eastAsia="ru-RU"/>
              </w:rPr>
              <w:t>п/п</w:t>
            </w:r>
          </w:p>
        </w:tc>
        <w:tc>
          <w:tcPr>
            <w:tcW w:w="372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Наименование продукции / партии продукции</w:t>
            </w:r>
          </w:p>
        </w:tc>
        <w:tc>
          <w:tcPr>
            <w:tcW w:w="26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Требования к началу срока поставки продукции</w:t>
            </w:r>
          </w:p>
        </w:tc>
        <w:tc>
          <w:tcPr>
            <w:tcW w:w="34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Требования к окончанию срока поставки продукции</w:t>
            </w:r>
          </w:p>
        </w:tc>
      </w:tr>
      <w:tr>
        <w:trPr>
          <w:trHeight w:val="825" w:hRule="atLeast"/>
          <w:cantSplit w:val="true"/>
        </w:trPr>
        <w:tc>
          <w:tcPr>
            <w:tcW w:w="6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r>
          </w:p>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1.</w:t>
            </w:r>
          </w:p>
        </w:tc>
        <w:tc>
          <w:tcPr>
            <w:tcW w:w="37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bidi w:val="0"/>
              <w:spacing w:before="0" w:after="200"/>
              <w:jc w:val="left"/>
              <w:rPr>
                <w:sz w:val="24"/>
                <w:szCs w:val="24"/>
              </w:rPr>
            </w:pPr>
            <w:r>
              <w:rPr>
                <w:rFonts w:ascii="Times New Roman" w:hAnsi="Times New Roman"/>
                <w:b w:val="false"/>
                <w:bCs w:val="false"/>
                <w:i w:val="false"/>
                <w:strike w:val="false"/>
                <w:dstrike w:val="false"/>
                <w:outline w:val="false"/>
                <w:shadow w:val="false"/>
                <w:color w:val="000000"/>
                <w:sz w:val="24"/>
                <w:szCs w:val="24"/>
                <w:u w:val="none"/>
                <w:em w:val="none"/>
                <w:lang w:eastAsia="ru-RU"/>
              </w:rPr>
              <w:t>ОКПД2 25.93.11.120  Поставка каната оцинкованного для нужд Волжского филиала</w:t>
            </w:r>
          </w:p>
        </w:tc>
        <w:tc>
          <w:tcPr>
            <w:tcW w:w="261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40" w:after="40"/>
              <w:ind w:hanging="0" w:left="57" w:right="57"/>
              <w:jc w:val="center"/>
              <w:rPr/>
            </w:pPr>
            <w:r>
              <w:rPr>
                <w:rFonts w:eastAsia="Times New Roman" w:ascii="Times New Roman" w:hAnsi="Times New Roman"/>
                <w:sz w:val="24"/>
                <w:szCs w:val="24"/>
                <w:lang w:eastAsia="ru-RU"/>
              </w:rPr>
              <w:t>С даты заключения договора</w:t>
            </w:r>
          </w:p>
        </w:tc>
        <w:tc>
          <w:tcPr>
            <w:tcW w:w="342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200"/>
              <w:jc w:val="center"/>
              <w:rPr/>
            </w:pPr>
            <w:r>
              <w:rPr>
                <w:rFonts w:ascii="Times New Roman" w:hAnsi="Times New Roman"/>
                <w:color w:val="000000"/>
                <w:sz w:val="24"/>
                <w:szCs w:val="24"/>
              </w:rPr>
              <w:t>В течение 10 календарных дней, с даты заключения договора*</w:t>
            </w:r>
          </w:p>
        </w:tc>
      </w:tr>
      <w:tr>
        <w:trPr>
          <w:trHeight w:val="825" w:hRule="atLeast"/>
          <w:cantSplit w:val="true"/>
        </w:trPr>
        <w:tc>
          <w:tcPr>
            <w:tcW w:w="10459" w:type="dxa"/>
            <w:gridSpan w:val="4"/>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eastAsia="Times New Roman"/>
                <w:sz w:val="24"/>
                <w:szCs w:val="24"/>
                <w:lang w:eastAsia="ru-RU"/>
              </w:rPr>
            </w:pPr>
            <w:r>
              <w:rPr>
                <w:rFonts w:eastAsia="Times New Roman" w:ascii="Times New Roman" w:hAnsi="Times New Roman"/>
                <w:sz w:val="24"/>
                <w:szCs w:val="24"/>
                <w:lang w:eastAsia="ru-RU"/>
              </w:rPr>
              <w:t>*срок установлен в соответствии с условиями договора, указанного в п.1.2. Технических требований</w:t>
            </w:r>
          </w:p>
        </w:tc>
      </w:tr>
    </w:tbl>
    <w:p>
      <w:pPr>
        <w:pStyle w:val="Normal"/>
        <w:keepNext w:val="true"/>
        <w:numPr>
          <w:ilvl w:val="0"/>
          <w:numId w:val="0"/>
        </w:numPr>
        <w:spacing w:lineRule="auto" w:line="240" w:before="120" w:after="60"/>
        <w:ind w:hanging="432" w:left="432"/>
        <w:outlineLvl w:val="3"/>
        <w:rPr>
          <w:rFonts w:ascii="Times New Roman" w:hAnsi="Times New Roman"/>
          <w:sz w:val="24"/>
          <w:szCs w:val="24"/>
          <w:lang w:eastAsia="x-none"/>
        </w:rPr>
      </w:pPr>
      <w:r>
        <w:rPr>
          <w:rFonts w:ascii="Times New Roman" w:hAnsi="Times New Roman"/>
          <w:sz w:val="24"/>
          <w:szCs w:val="24"/>
          <w:lang w:eastAsia="x-none"/>
        </w:rPr>
      </w:r>
    </w:p>
    <w:p>
      <w:pPr>
        <w:pStyle w:val="Normal"/>
        <w:spacing w:before="0" w:after="0"/>
        <w:jc w:val="both"/>
        <w:rPr>
          <w:rFonts w:ascii="Times New Roman" w:hAnsi="Times New Roman"/>
          <w:b/>
          <w:bCs/>
          <w:sz w:val="24"/>
          <w:szCs w:val="24"/>
        </w:rPr>
      </w:pPr>
      <w:bookmarkStart w:id="8" w:name="_Toc50125131"/>
      <w:bookmarkStart w:id="9" w:name="_Toc51339698"/>
      <w:bookmarkEnd w:id="8"/>
      <w:bookmarkEnd w:id="9"/>
      <w:r>
        <w:rPr>
          <w:rFonts w:ascii="Times New Roman" w:hAnsi="Times New Roman"/>
          <w:b/>
          <w:bCs/>
          <w:sz w:val="24"/>
          <w:szCs w:val="24"/>
        </w:rPr>
        <w:t>2.2. Требования к качеству продукции</w:t>
      </w:r>
    </w:p>
    <w:p>
      <w:pPr>
        <w:pStyle w:val="Normal"/>
        <w:spacing w:before="0" w:after="0"/>
        <w:jc w:val="both"/>
        <w:rPr>
          <w:rFonts w:ascii="Times New Roman" w:hAnsi="Times New Roman"/>
          <w:b/>
          <w:bCs/>
          <w:sz w:val="24"/>
          <w:szCs w:val="24"/>
        </w:rPr>
      </w:pPr>
      <w:r>
        <w:rPr>
          <w:rFonts w:ascii="Times New Roman" w:hAnsi="Times New Roman"/>
          <w:b/>
          <w:bCs/>
          <w:sz w:val="24"/>
          <w:szCs w:val="24"/>
        </w:rPr>
        <w:t>Таблица 3. Требования к качеству продукции</w:t>
      </w:r>
    </w:p>
    <w:p>
      <w:pPr>
        <w:pStyle w:val="Normal"/>
        <w:jc w:val="both"/>
        <w:rPr/>
      </w:pPr>
      <w:r>
        <w:rPr>
          <w:rFonts w:ascii="Times New Roman" w:hAnsi="Times New Roman"/>
          <w:b/>
          <w:bCs/>
          <w:sz w:val="24"/>
          <w:szCs w:val="24"/>
        </w:rPr>
        <w:t xml:space="preserve">Наименование продукции: </w:t>
      </w:r>
      <w:r>
        <w:rPr>
          <w:rFonts w:ascii="Times New Roman" w:hAnsi="Times New Roman"/>
          <w:b w:val="false"/>
          <w:bCs w:val="false"/>
          <w:sz w:val="24"/>
          <w:szCs w:val="24"/>
        </w:rPr>
        <w:t>ОКПД2 25.93.11.120  Поставка каната оцинкованного для нужд Волжского филиала</w:t>
      </w:r>
    </w:p>
    <w:tbl>
      <w:tblPr>
        <w:tblStyle w:val="aff5"/>
        <w:tblW w:w="10311" w:type="dxa"/>
        <w:jc w:val="left"/>
        <w:tblInd w:w="226" w:type="dxa"/>
        <w:tblLayout w:type="fixed"/>
        <w:tblCellMar>
          <w:top w:w="0" w:type="dxa"/>
          <w:left w:w="108" w:type="dxa"/>
          <w:bottom w:w="0" w:type="dxa"/>
          <w:right w:w="108" w:type="dxa"/>
        </w:tblCellMar>
        <w:tblLook w:val="04a0" w:noHBand="0" w:noVBand="1" w:firstColumn="1" w:lastRow="0" w:lastColumn="0" w:firstRow="1"/>
      </w:tblPr>
      <w:tblGrid>
        <w:gridCol w:w="766"/>
        <w:gridCol w:w="4116"/>
        <w:gridCol w:w="5429"/>
      </w:tblGrid>
      <w:tr>
        <w:trPr>
          <w:trHeight w:val="235" w:hRule="atLeast"/>
        </w:trPr>
        <w:tc>
          <w:tcPr>
            <w:tcW w:w="766" w:type="dxa"/>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bCs/>
                <w:kern w:val="0"/>
                <w:sz w:val="20"/>
                <w:lang w:val="ru-RU" w:bidi="ar-SA"/>
              </w:rPr>
              <w:t xml:space="preserve">№ </w:t>
            </w:r>
            <w:r>
              <w:rPr>
                <w:rFonts w:eastAsia="Calibri" w:cs="Times New Roman" w:ascii="Times New Roman" w:hAnsi="Times New Roman"/>
                <w:b/>
                <w:bCs/>
                <w:kern w:val="0"/>
                <w:sz w:val="20"/>
                <w:lang w:val="ru-RU" w:bidi="ar-SA"/>
              </w:rPr>
              <w:t>п/п</w:t>
            </w:r>
          </w:p>
        </w:tc>
        <w:tc>
          <w:tcPr>
            <w:tcW w:w="4116" w:type="dxa"/>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kern w:val="0"/>
                <w:sz w:val="20"/>
                <w:lang w:val="ru-RU" w:bidi="ar-SA"/>
              </w:rPr>
              <w:t>Наименование параметра</w:t>
            </w:r>
          </w:p>
        </w:tc>
        <w:tc>
          <w:tcPr>
            <w:tcW w:w="5429" w:type="dxa"/>
            <w:tcBorders/>
            <w:vAlign w:val="center"/>
          </w:tcPr>
          <w:p>
            <w:pPr>
              <w:pStyle w:val="Normal"/>
              <w:widowControl w:val="false"/>
              <w:suppressAutoHyphens w:val="true"/>
              <w:spacing w:lineRule="auto" w:line="240" w:before="0" w:after="0"/>
              <w:jc w:val="both"/>
              <w:rPr>
                <w:rFonts w:ascii="Times New Roman" w:hAnsi="Times New Roman"/>
                <w:b/>
              </w:rPr>
            </w:pPr>
            <w:r>
              <w:rPr>
                <w:rFonts w:eastAsia="Calibri" w:cs="Times New Roman" w:ascii="Times New Roman" w:hAnsi="Times New Roman"/>
                <w:b/>
                <w:kern w:val="0"/>
                <w:sz w:val="20"/>
                <w:lang w:val="ru-RU" w:bidi="ar-SA"/>
              </w:rPr>
              <w:t>Требование заказчика</w:t>
            </w:r>
          </w:p>
        </w:tc>
      </w:tr>
      <w:tr>
        <w:trPr>
          <w:trHeight w:val="194" w:hRule="atLeast"/>
        </w:trPr>
        <w:tc>
          <w:tcPr>
            <w:tcW w:w="766" w:type="dxa"/>
            <w:tcBorders/>
            <w:vAlign w:val="center"/>
          </w:tcPr>
          <w:p>
            <w:pPr>
              <w:pStyle w:val="Normal"/>
              <w:widowControl w:val="false"/>
              <w:suppressAutoHyphens w:val="true"/>
              <w:spacing w:before="0" w:after="200"/>
              <w:jc w:val="center"/>
              <w:rPr>
                <w:rFonts w:ascii="Times New Roman" w:hAnsi="Times New Roman"/>
              </w:rPr>
            </w:pPr>
            <w:r>
              <w:rPr>
                <w:rFonts w:eastAsia="Calibri" w:cs="Times New Roman" w:ascii="Times New Roman" w:hAnsi="Times New Roman"/>
                <w:b/>
                <w:kern w:val="0"/>
                <w:sz w:val="20"/>
                <w:lang w:val="ru-RU" w:bidi="ar-SA"/>
              </w:rPr>
              <w:t>1</w:t>
            </w:r>
          </w:p>
        </w:tc>
        <w:tc>
          <w:tcPr>
            <w:tcW w:w="4116" w:type="dxa"/>
            <w:tcBorders/>
            <w:vAlign w:val="center"/>
          </w:tcPr>
          <w:p>
            <w:pPr>
              <w:pStyle w:val="Normal"/>
              <w:widowControl w:val="false"/>
              <w:suppressAutoHyphens w:val="true"/>
              <w:spacing w:before="0" w:after="200"/>
              <w:jc w:val="center"/>
              <w:rPr>
                <w:rFonts w:ascii="Times New Roman" w:hAnsi="Times New Roman"/>
                <w:b/>
              </w:rPr>
            </w:pPr>
            <w:r>
              <w:rPr>
                <w:rFonts w:eastAsia="Calibri" w:cs="Times New Roman" w:ascii="Times New Roman" w:hAnsi="Times New Roman"/>
                <w:b/>
                <w:kern w:val="0"/>
                <w:sz w:val="20"/>
                <w:lang w:val="ru-RU" w:bidi="ar-SA"/>
              </w:rPr>
              <w:t>2</w:t>
            </w:r>
          </w:p>
        </w:tc>
        <w:tc>
          <w:tcPr>
            <w:tcW w:w="5429" w:type="dxa"/>
            <w:tcBorders/>
            <w:vAlign w:val="center"/>
          </w:tcPr>
          <w:p>
            <w:pPr>
              <w:pStyle w:val="Normal"/>
              <w:widowControl w:val="false"/>
              <w:suppressAutoHyphens w:val="true"/>
              <w:spacing w:before="0" w:after="200"/>
              <w:jc w:val="center"/>
              <w:rPr>
                <w:rFonts w:ascii="Times New Roman" w:hAnsi="Times New Roman"/>
                <w:b/>
              </w:rPr>
            </w:pPr>
            <w:r>
              <w:rPr>
                <w:rFonts w:eastAsia="Calibri" w:cs="Times New Roman" w:ascii="Times New Roman" w:hAnsi="Times New Roman"/>
                <w:b/>
                <w:kern w:val="0"/>
                <w:sz w:val="20"/>
                <w:lang w:val="ru-RU" w:bidi="ar-SA"/>
              </w:rPr>
              <w:t>3</w:t>
            </w:r>
          </w:p>
        </w:tc>
      </w:tr>
      <w:tr>
        <w:trPr>
          <w:trHeight w:val="70" w:hRule="atLeast"/>
        </w:trPr>
        <w:tc>
          <w:tcPr>
            <w:tcW w:w="766" w:type="dxa"/>
            <w:tcBorders/>
            <w:vAlign w:val="center"/>
          </w:tcPr>
          <w:p>
            <w:pPr>
              <w:pStyle w:val="ListParagraph"/>
              <w:widowControl w:val="false"/>
              <w:numPr>
                <w:ilvl w:val="0"/>
                <w:numId w:val="2"/>
              </w:numPr>
              <w:suppressAutoHyphens w:val="true"/>
              <w:spacing w:before="0" w:after="200"/>
              <w:contextualSpacing/>
              <w:jc w:val="center"/>
              <w:rPr>
                <w:rFonts w:ascii="Times New Roman" w:hAnsi="Times New Roman"/>
              </w:rPr>
            </w:pPr>
            <w:r>
              <w:rPr>
                <w:rFonts w:ascii="Times New Roman" w:hAnsi="Times New Roman"/>
              </w:rPr>
            </w:r>
          </w:p>
        </w:tc>
        <w:tc>
          <w:tcPr>
            <w:tcW w:w="9545" w:type="dxa"/>
            <w:gridSpan w:val="2"/>
            <w:tcBorders/>
            <w:vAlign w:val="center"/>
          </w:tcPr>
          <w:p>
            <w:pPr>
              <w:pStyle w:val="Normal"/>
              <w:widowControl w:val="false"/>
              <w:suppressAutoHyphens w:val="true"/>
              <w:spacing w:before="0" w:after="200"/>
              <w:jc w:val="both"/>
              <w:rPr>
                <w:rFonts w:ascii="Times New Roman" w:hAnsi="Times New Roman"/>
                <w:b/>
              </w:rPr>
            </w:pPr>
            <w:r>
              <w:rPr>
                <w:rFonts w:eastAsia="Calibri" w:cs="Times New Roman" w:ascii="Times New Roman" w:hAnsi="Times New Roman"/>
                <w:b/>
                <w:kern w:val="0"/>
                <w:sz w:val="20"/>
                <w:lang w:val="ru-RU" w:bidi="ar-SA"/>
              </w:rPr>
              <w:t>Требования к техническим и функциональным характеристикам (включая гарантируемые показатели)</w:t>
            </w:r>
          </w:p>
        </w:tc>
      </w:tr>
      <w:tr>
        <w:trPr/>
        <w:tc>
          <w:tcPr>
            <w:tcW w:w="766" w:type="dxa"/>
            <w:tcBorders/>
            <w:vAlign w:val="center"/>
          </w:tcPr>
          <w:p>
            <w:pPr>
              <w:pStyle w:val="Normal"/>
              <w:widowControl w:val="false"/>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lang w:val="ru-RU" w:bidi="ar-SA"/>
              </w:rPr>
              <w:t>1.1</w:t>
            </w:r>
          </w:p>
        </w:tc>
        <w:tc>
          <w:tcPr>
            <w:tcW w:w="4116" w:type="dxa"/>
            <w:tcBorders/>
            <w:shd w:color="auto" w:fill="auto"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Диаметр, мм</w:t>
            </w:r>
          </w:p>
        </w:tc>
        <w:tc>
          <w:tcPr>
            <w:tcW w:w="5429" w:type="dxa"/>
            <w:tcBorders/>
            <w:shd w:color="auto" w:fill="auto" w:val="clear"/>
            <w:vAlign w:val="center"/>
          </w:tcPr>
          <w:p>
            <w:pPr>
              <w:pStyle w:val="Normal"/>
              <w:widowControl w:val="false"/>
              <w:shd w:val="clear" w:fill="FFFFFF"/>
              <w:spacing w:before="0" w:after="200"/>
              <w:jc w:val="center"/>
              <w:rPr>
                <w:rFonts w:ascii="Times New Roman" w:hAnsi="Times New Roman"/>
                <w:sz w:val="24"/>
                <w:szCs w:val="24"/>
              </w:rPr>
            </w:pPr>
            <w:r>
              <w:rPr>
                <w:rFonts w:eastAsia="Calibri" w:cs="Times New Roman" w:ascii="Times New Roman" w:hAnsi="Times New Roman"/>
                <w:b w:val="false"/>
                <w:bCs w:val="false"/>
                <w:i w:val="false"/>
                <w:caps w:val="false"/>
                <w:smallCaps w:val="false"/>
                <w:strike w:val="false"/>
                <w:dstrike w:val="false"/>
                <w:outline w:val="false"/>
                <w:shadow w:val="false"/>
                <w:color w:val="000000"/>
                <w:spacing w:val="0"/>
                <w:kern w:val="0"/>
                <w:sz w:val="24"/>
                <w:szCs w:val="24"/>
                <w:u w:val="none"/>
                <w:shd w:fill="auto" w:val="clear"/>
                <w:em w:val="none"/>
                <w:lang w:val="ru-RU" w:eastAsia="ru-RU" w:bidi="ar-SA"/>
              </w:rPr>
              <w:t>10</w:t>
            </w:r>
          </w:p>
        </w:tc>
      </w:tr>
      <w:tr>
        <w:trPr/>
        <w:tc>
          <w:tcPr>
            <w:tcW w:w="766" w:type="dxa"/>
            <w:tcBorders/>
            <w:vAlign w:val="center"/>
          </w:tcPr>
          <w:p>
            <w:pPr>
              <w:pStyle w:val="Normal"/>
              <w:widowControl w:val="false"/>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lang w:val="ru-RU" w:bidi="ar-SA"/>
              </w:rPr>
              <w:t>1.2</w:t>
            </w:r>
          </w:p>
        </w:tc>
        <w:tc>
          <w:tcPr>
            <w:tcW w:w="4116" w:type="dxa"/>
            <w:tcBorders/>
            <w:shd w:color="auto" w:fill="auto"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Канат подразделяется по признакам по назначению</w:t>
            </w:r>
          </w:p>
        </w:tc>
        <w:tc>
          <w:tcPr>
            <w:tcW w:w="5429" w:type="dxa"/>
            <w:tcBorders/>
            <w:shd w:color="auto" w:fill="auto"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eastAsia="Calibri" w:cs="Times New Roman" w:ascii="Times New Roman" w:hAnsi="Times New Roman"/>
                <w:b w:val="false"/>
                <w:i w:val="false"/>
                <w:caps w:val="false"/>
                <w:smallCaps w:val="false"/>
                <w:color w:val="000000"/>
                <w:spacing w:val="0"/>
                <w:kern w:val="0"/>
                <w:sz w:val="24"/>
                <w:szCs w:val="24"/>
                <w:shd w:fill="auto" w:val="clear"/>
                <w:lang w:val="ru-RU" w:eastAsia="en-US" w:bidi="ar-SA"/>
              </w:rPr>
              <w:t>для грузоподъемных операций и протяжки кабеля</w:t>
            </w:r>
          </w:p>
        </w:tc>
      </w:tr>
      <w:tr>
        <w:trPr/>
        <w:tc>
          <w:tcPr>
            <w:tcW w:w="766"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shd w:fill="FFFFFF" w:val="clear"/>
                <w:lang w:val="ru-RU" w:bidi="ar-SA"/>
              </w:rPr>
              <w:t>1.</w:t>
            </w:r>
            <w:r>
              <w:rPr>
                <w:rFonts w:eastAsia="Calibri" w:cs="Times New Roman" w:ascii="Times New Roman" w:hAnsi="Times New Roman"/>
                <w:kern w:val="0"/>
                <w:sz w:val="24"/>
                <w:szCs w:val="24"/>
                <w:shd w:fill="FFFFFF" w:val="clear"/>
                <w:lang w:val="ru-RU" w:bidi="ar-SA"/>
              </w:rPr>
              <w:t>3</w:t>
            </w:r>
          </w:p>
        </w:tc>
        <w:tc>
          <w:tcPr>
            <w:tcW w:w="4116"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color w:val="000000"/>
                <w:sz w:val="24"/>
                <w:szCs w:val="24"/>
                <w:shd w:fill="auto" w:val="clear"/>
              </w:rPr>
              <w:t>Покрытие проволоки</w:t>
            </w:r>
          </w:p>
        </w:tc>
        <w:tc>
          <w:tcPr>
            <w:tcW w:w="5429" w:type="dxa"/>
            <w:tcBorders>
              <w:top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color w:val="000000"/>
                <w:sz w:val="24"/>
                <w:szCs w:val="24"/>
                <w:shd w:fill="auto" w:val="clear"/>
              </w:rPr>
              <w:t>Оцинкованное</w:t>
            </w:r>
          </w:p>
        </w:tc>
      </w:tr>
      <w:tr>
        <w:trPr>
          <w:trHeight w:val="506" w:hRule="atLeast"/>
        </w:trPr>
        <w:tc>
          <w:tcPr>
            <w:tcW w:w="766" w:type="dxa"/>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eastAsia="Calibri" w:cs="Times New Roman" w:ascii="Times New Roman" w:hAnsi="Times New Roman"/>
                <w:kern w:val="0"/>
                <w:sz w:val="24"/>
                <w:szCs w:val="24"/>
                <w:shd w:fill="FFFFFF" w:val="clear"/>
                <w:lang w:val="ru-RU" w:bidi="ar-SA"/>
              </w:rPr>
              <w:t>1.</w:t>
            </w:r>
            <w:r>
              <w:rPr>
                <w:rFonts w:eastAsia="Calibri" w:cs="Times New Roman" w:ascii="Times New Roman" w:hAnsi="Times New Roman"/>
                <w:kern w:val="0"/>
                <w:sz w:val="24"/>
                <w:szCs w:val="24"/>
                <w:shd w:fill="FFFFFF" w:val="clear"/>
                <w:lang w:val="ru-RU" w:bidi="ar-SA"/>
              </w:rPr>
              <w:t>4</w:t>
            </w:r>
          </w:p>
        </w:tc>
        <w:tc>
          <w:tcPr>
            <w:tcW w:w="4116" w:type="dxa"/>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shd w:fill="auto" w:val="clear"/>
              </w:rPr>
              <w:t>Сердечник</w:t>
            </w:r>
          </w:p>
        </w:tc>
        <w:tc>
          <w:tcPr>
            <w:tcW w:w="5429" w:type="dxa"/>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sz w:val="24"/>
                <w:szCs w:val="24"/>
                <w:shd w:fill="auto" w:val="clear"/>
              </w:rPr>
              <w:t>металл или органика</w:t>
            </w:r>
          </w:p>
        </w:tc>
      </w:tr>
      <w:tr>
        <w:trPr>
          <w:trHeight w:val="331" w:hRule="atLeast"/>
        </w:trPr>
        <w:tc>
          <w:tcPr>
            <w:tcW w:w="766"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5</w:t>
            </w:r>
          </w:p>
        </w:tc>
        <w:tc>
          <w:tcPr>
            <w:tcW w:w="4116"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eastAsia="Calibri" w:cs="Times New Roman" w:ascii="Times New Roman" w:hAnsi="Times New Roman"/>
                <w:color w:val="auto"/>
                <w:kern w:val="0"/>
                <w:sz w:val="24"/>
                <w:szCs w:val="24"/>
                <w:lang w:val="ru-RU" w:eastAsia="en-US" w:bidi="ar-SA"/>
              </w:rPr>
              <w:t>Разрывное усилие, Н/мм² не менее</w:t>
            </w:r>
          </w:p>
        </w:tc>
        <w:tc>
          <w:tcPr>
            <w:tcW w:w="5429" w:type="dxa"/>
            <w:tcBorders>
              <w:top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eastAsia="Calibri" w:cs="Times New Roman" w:ascii="Times New Roman" w:hAnsi="Times New Roman"/>
                <w:color w:val="auto"/>
                <w:kern w:val="0"/>
                <w:sz w:val="24"/>
                <w:szCs w:val="24"/>
                <w:lang w:val="ru-RU" w:eastAsia="en-US" w:bidi="ar-SA"/>
              </w:rPr>
              <w:t>1570–1960</w:t>
            </w:r>
          </w:p>
        </w:tc>
      </w:tr>
      <w:tr>
        <w:trPr>
          <w:trHeight w:val="331" w:hRule="atLeast"/>
        </w:trPr>
        <w:tc>
          <w:tcPr>
            <w:tcW w:w="766"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1.6</w:t>
            </w:r>
          </w:p>
        </w:tc>
        <w:tc>
          <w:tcPr>
            <w:tcW w:w="4116"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Максимальная нагрузка, кН, не менее</w:t>
            </w:r>
          </w:p>
        </w:tc>
        <w:tc>
          <w:tcPr>
            <w:tcW w:w="5429" w:type="dxa"/>
            <w:tcBorders>
              <w:top w:val="nil"/>
            </w:tcBorders>
            <w:shd w:fill="FFFFFF" w:val="clear"/>
            <w:vAlign w:val="center"/>
          </w:tcPr>
          <w:p>
            <w:pPr>
              <w:pStyle w:val="Normal"/>
              <w:widowControl w:val="false"/>
              <w:shd w:val="clear" w:fill="FFFFFF"/>
              <w:spacing w:lineRule="auto" w:line="240" w:before="0" w:after="200"/>
              <w:jc w:val="center"/>
              <w:rPr>
                <w:rFonts w:ascii="Times New Roman" w:hAnsi="Times New Roman"/>
                <w:sz w:val="24"/>
                <w:szCs w:val="24"/>
              </w:rPr>
            </w:pPr>
            <w:r>
              <w:rPr>
                <w:rFonts w:ascii="Times New Roman" w:hAnsi="Times New Roman"/>
                <w:sz w:val="24"/>
                <w:szCs w:val="24"/>
              </w:rPr>
              <w:t>63,5</w:t>
            </w:r>
          </w:p>
        </w:tc>
      </w:tr>
      <w:tr>
        <w:trPr>
          <w:trHeight w:val="331" w:hRule="atLeast"/>
        </w:trPr>
        <w:tc>
          <w:tcPr>
            <w:tcW w:w="766"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7</w:t>
            </w:r>
          </w:p>
        </w:tc>
        <w:tc>
          <w:tcPr>
            <w:tcW w:w="4116"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Конструкция каната</w:t>
            </w:r>
          </w:p>
        </w:tc>
        <w:tc>
          <w:tcPr>
            <w:tcW w:w="5429" w:type="dxa"/>
            <w:tcBorders>
              <w:top w:val="nil"/>
            </w:tcBorders>
            <w:shd w:fill="FFFFFF" w:val="clear"/>
            <w:vAlign w:val="center"/>
          </w:tcPr>
          <w:p>
            <w:pPr>
              <w:pStyle w:val="Normal"/>
              <w:widowControl w:val="false"/>
              <w:shd w:val="clear" w:fill="FFFFFF"/>
              <w:spacing w:before="0" w:after="200"/>
              <w:jc w:val="center"/>
              <w:rPr>
                <w:rFonts w:ascii="Times New Roman" w:hAnsi="Times New Roman"/>
                <w:sz w:val="24"/>
                <w:szCs w:val="24"/>
              </w:rPr>
            </w:pPr>
            <w:r>
              <w:rPr>
                <w:rFonts w:ascii="Times New Roman" w:hAnsi="Times New Roman"/>
                <w:sz w:val="24"/>
                <w:szCs w:val="24"/>
              </w:rPr>
              <w:t xml:space="preserve">6*7 </w:t>
            </w:r>
            <w:r>
              <w:rPr>
                <w:rFonts w:ascii="Times New Roman" w:hAnsi="Times New Roman"/>
                <w:sz w:val="24"/>
                <w:szCs w:val="24"/>
              </w:rPr>
              <w:t>(6×7(1+6)+FC)</w:t>
            </w:r>
          </w:p>
        </w:tc>
      </w:tr>
      <w:tr>
        <w:trPr>
          <w:trHeight w:val="331" w:hRule="atLeast"/>
        </w:trPr>
        <w:tc>
          <w:tcPr>
            <w:tcW w:w="766" w:type="dxa"/>
            <w:tcBorders>
              <w:top w:val="nil"/>
            </w:tcBorders>
            <w:shd w:fill="FFFFFF" w:val="clear"/>
            <w:vAlign w:val="center"/>
          </w:tcPr>
          <w:p>
            <w:pPr>
              <w:pStyle w:val="Normal"/>
              <w:widowControl w:val="false"/>
              <w:shd w:val="clear" w:fill="FFFFFF"/>
              <w:suppressAutoHyphens w:val="true"/>
              <w:spacing w:before="0" w:after="200"/>
              <w:jc w:val="center"/>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8</w:t>
            </w:r>
          </w:p>
        </w:tc>
        <w:tc>
          <w:tcPr>
            <w:tcW w:w="4116" w:type="dxa"/>
            <w:tcBorders>
              <w:top w:val="nil"/>
            </w:tcBorders>
            <w:shd w:fill="FFFFFF" w:val="clear"/>
          </w:tcPr>
          <w:p>
            <w:pPr>
              <w:pStyle w:val="Normal"/>
              <w:widowControl w:val="false"/>
              <w:shd w:val="clear" w:fill="FFFFFF"/>
              <w:spacing w:lineRule="auto" w:line="240" w:before="0" w:after="200"/>
              <w:jc w:val="left"/>
              <w:rPr>
                <w:rFonts w:ascii="Times New Roman" w:hAnsi="Times New Roman"/>
                <w:sz w:val="24"/>
                <w:szCs w:val="24"/>
              </w:rPr>
            </w:pPr>
            <w:r>
              <w:rPr>
                <w:rFonts w:ascii="Times New Roman" w:hAnsi="Times New Roman"/>
                <w:sz w:val="24"/>
                <w:szCs w:val="24"/>
              </w:rPr>
              <w:t>Вид упаковки</w:t>
            </w:r>
          </w:p>
        </w:tc>
        <w:tc>
          <w:tcPr>
            <w:tcW w:w="5429" w:type="dxa"/>
            <w:tcBorders>
              <w:top w:val="nil"/>
            </w:tcBorders>
            <w:shd w:fill="FFFFFF" w:val="clear"/>
            <w:vAlign w:val="center"/>
          </w:tcPr>
          <w:p>
            <w:pPr>
              <w:pStyle w:val="Normal"/>
              <w:widowControl w:val="false"/>
              <w:shd w:val="clear" w:fill="FFFFFF"/>
              <w:spacing w:before="0" w:after="200"/>
              <w:jc w:val="center"/>
              <w:rPr/>
            </w:pPr>
            <w:r>
              <w:rPr>
                <w:rStyle w:val="Strong3"/>
                <w:rFonts w:ascii="Times New Roman" w:hAnsi="Times New Roman"/>
                <w:b w:val="false"/>
                <w:i w:val="false"/>
                <w:caps w:val="false"/>
                <w:smallCaps w:val="false"/>
                <w:color w:val="000000"/>
                <w:spacing w:val="0"/>
                <w:sz w:val="24"/>
                <w:szCs w:val="24"/>
              </w:rPr>
              <w:t>Намотка на барабан</w:t>
            </w:r>
          </w:p>
        </w:tc>
      </w:tr>
      <w:tr>
        <w:trPr>
          <w:trHeight w:val="654" w:hRule="atLeast"/>
        </w:trPr>
        <w:tc>
          <w:tcPr>
            <w:tcW w:w="766" w:type="dxa"/>
            <w:tcBorders>
              <w:top w:val="nil"/>
            </w:tcBorders>
            <w:vAlign w:val="center"/>
          </w:tcPr>
          <w:p>
            <w:pPr>
              <w:pStyle w:val="Normal"/>
              <w:widowControl w:val="false"/>
              <w:suppressAutoHyphens w:val="false"/>
              <w:spacing w:lineRule="auto" w:line="240" w:before="0" w:after="0"/>
              <w:contextualSpacing/>
              <w:jc w:val="center"/>
              <w:rPr/>
            </w:pPr>
            <w:r>
              <w:rPr>
                <w:rFonts w:eastAsia="Calibri" w:cs="Times New Roman" w:ascii="Times New Roman" w:hAnsi="Times New Roman"/>
                <w:kern w:val="0"/>
                <w:sz w:val="20"/>
                <w:lang w:val="ru-RU" w:bidi="ar-SA"/>
              </w:rPr>
              <w:t>2</w:t>
            </w:r>
          </w:p>
        </w:tc>
        <w:tc>
          <w:tcPr>
            <w:tcW w:w="9545" w:type="dxa"/>
            <w:gridSpan w:val="2"/>
            <w:tcBorders>
              <w:top w:val="nil"/>
            </w:tcBorders>
            <w:shd w:color="auto" w:fill="auto" w:val="clear"/>
            <w:vAlign w:val="center"/>
          </w:tcPr>
          <w:p>
            <w:pPr>
              <w:pStyle w:val="Normal"/>
              <w:widowControl w:val="false"/>
              <w:shd w:val="clear" w:fill="FFFFFF"/>
              <w:suppressAutoHyphens w:val="true"/>
              <w:spacing w:before="0" w:after="200"/>
              <w:jc w:val="both"/>
              <w:rPr>
                <w:sz w:val="20"/>
              </w:rPr>
            </w:pPr>
            <w:r>
              <w:rPr>
                <w:rFonts w:eastAsia="Calibri" w:cs="Times New Roman" w:ascii="Times New Roman" w:hAnsi="Times New Roman"/>
                <w:b/>
                <w:bCs/>
                <w:kern w:val="0"/>
                <w:sz w:val="20"/>
                <w:lang w:val="ru-RU" w:bidi="ar-SA"/>
              </w:rPr>
              <w:t>Требования к доставке, маркировке, упаковке, транспортировке, перемещению, условиям хранения, приемке и испытаниям</w:t>
            </w:r>
          </w:p>
        </w:tc>
      </w:tr>
      <w:tr>
        <w:trPr>
          <w:trHeight w:val="654" w:hRule="atLeast"/>
        </w:trPr>
        <w:tc>
          <w:tcPr>
            <w:tcW w:w="766" w:type="dxa"/>
            <w:tcBorders>
              <w:top w:val="nil"/>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2.1</w:t>
            </w:r>
          </w:p>
        </w:tc>
        <w:tc>
          <w:tcPr>
            <w:tcW w:w="9545" w:type="dxa"/>
            <w:gridSpan w:val="2"/>
            <w:tcBorders>
              <w:top w:val="nil"/>
            </w:tcBorders>
            <w:shd w:color="auto" w:fill="auto" w:val="clear"/>
          </w:tcPr>
          <w:p>
            <w:pPr>
              <w:pStyle w:val="Normal"/>
              <w:widowControl w:val="false"/>
              <w:suppressAutoHyphens w:val="true"/>
              <w:spacing w:before="0" w:after="200"/>
              <w:ind w:hanging="0" w:right="-144"/>
              <w:jc w:val="both"/>
              <w:rPr>
                <w:sz w:val="22"/>
                <w:szCs w:val="22"/>
              </w:rPr>
            </w:pPr>
            <w:r>
              <w:rPr>
                <w:rFonts w:eastAsia="Calibri" w:cs="Times New Roman" w:ascii="Times New Roman" w:hAnsi="Times New Roman"/>
                <w:kern w:val="0"/>
                <w:sz w:val="22"/>
                <w:szCs w:val="22"/>
                <w:lang w:val="ru-RU" w:bidi="ar-SA"/>
              </w:rPr>
              <w:t>Место поставки</w:t>
            </w:r>
          </w:p>
          <w:p>
            <w:pPr>
              <w:pStyle w:val="ListParagraph"/>
              <w:widowControl w:val="false"/>
              <w:suppressAutoHyphens w:val="true"/>
              <w:spacing w:lineRule="auto" w:line="240" w:before="0" w:after="200"/>
              <w:ind w:hanging="0" w:left="-90"/>
              <w:contextualSpacing/>
              <w:jc w:val="both"/>
              <w:rPr>
                <w:sz w:val="22"/>
                <w:szCs w:val="22"/>
              </w:rPr>
            </w:pPr>
            <w:r>
              <w:rPr>
                <w:rFonts w:eastAsia="Times New Roman" w:cs="Times New Roman" w:ascii="Times New Roman" w:hAnsi="Times New Roman"/>
                <w:kern w:val="0"/>
                <w:sz w:val="22"/>
                <w:szCs w:val="22"/>
                <w:lang w:val="ru-RU" w:eastAsia="ru-RU" w:bidi="ar-SA"/>
              </w:rPr>
              <w:t>404130, Волгоградская обл., г.Волжский, пр-т Ленина 1А территория филиала ПАО «РусГидро» - Волжская ГЭС»</w:t>
            </w:r>
          </w:p>
        </w:tc>
      </w:tr>
      <w:tr>
        <w:trPr>
          <w:trHeight w:val="654" w:hRule="atLeast"/>
        </w:trPr>
        <w:tc>
          <w:tcPr>
            <w:tcW w:w="766" w:type="dxa"/>
            <w:tcBorders>
              <w:top w:val="nil"/>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2.2</w:t>
            </w:r>
          </w:p>
        </w:tc>
        <w:tc>
          <w:tcPr>
            <w:tcW w:w="9545" w:type="dxa"/>
            <w:gridSpan w:val="2"/>
            <w:tcBorders>
              <w:top w:val="nil"/>
            </w:tcBorders>
            <w:shd w:color="auto" w:fill="auto" w:val="clear"/>
          </w:tcPr>
          <w:p>
            <w:pPr>
              <w:pStyle w:val="Normal"/>
              <w:widowControl w:val="false"/>
              <w:suppressAutoHyphens w:val="true"/>
              <w:spacing w:before="0" w:after="200"/>
              <w:ind w:hanging="0" w:right="2"/>
              <w:jc w:val="both"/>
              <w:rPr>
                <w:sz w:val="22"/>
                <w:szCs w:val="22"/>
              </w:rPr>
            </w:pPr>
            <w:r>
              <w:rPr>
                <w:rFonts w:eastAsia="Calibri" w:cs="Times New Roman" w:ascii="Times New Roman" w:hAnsi="Times New Roman"/>
                <w:kern w:val="0"/>
                <w:sz w:val="22"/>
                <w:szCs w:val="22"/>
                <w:lang w:val="ru-RU" w:bidi="ar-SA"/>
              </w:rPr>
              <w:t>Приемка продукции</w:t>
            </w:r>
          </w:p>
          <w:p>
            <w:pPr>
              <w:pStyle w:val="ListParagraph"/>
              <w:widowControl w:val="false"/>
              <w:suppressAutoHyphens w:val="true"/>
              <w:spacing w:lineRule="auto" w:line="240" w:before="0" w:after="200"/>
              <w:ind w:firstLine="40" w:left="-90"/>
              <w:contextualSpacing/>
              <w:jc w:val="both"/>
              <w:rPr>
                <w:sz w:val="22"/>
                <w:szCs w:val="22"/>
              </w:rPr>
            </w:pPr>
            <w:r>
              <w:rPr>
                <w:rFonts w:eastAsia="Calibri" w:cs="Times New Roman" w:ascii="Times New Roman" w:hAnsi="Times New Roman"/>
                <w:kern w:val="0"/>
                <w:sz w:val="22"/>
                <w:szCs w:val="22"/>
                <w:lang w:val="ru-RU" w:eastAsia="x-none" w:bidi="ar-SA"/>
              </w:rPr>
              <w:t>Только в рабочие дни с 9-00 до 11-00 и с 14-00 до 16-00</w:t>
            </w:r>
          </w:p>
        </w:tc>
      </w:tr>
      <w:tr>
        <w:trPr>
          <w:trHeight w:val="654" w:hRule="atLeast"/>
        </w:trPr>
        <w:tc>
          <w:tcPr>
            <w:tcW w:w="766" w:type="dxa"/>
            <w:tcBorders>
              <w:top w:val="nil"/>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2.3</w:t>
            </w:r>
          </w:p>
        </w:tc>
        <w:tc>
          <w:tcPr>
            <w:tcW w:w="9545" w:type="dxa"/>
            <w:gridSpan w:val="2"/>
            <w:tcBorders>
              <w:top w:val="nil"/>
            </w:tcBorders>
            <w:shd w:color="auto" w:fill="auto" w:val="clear"/>
          </w:tcPr>
          <w:p>
            <w:pPr>
              <w:pStyle w:val="Normal"/>
              <w:widowControl w:val="false"/>
              <w:suppressAutoHyphens w:val="true"/>
              <w:spacing w:before="0" w:after="200"/>
              <w:jc w:val="both"/>
              <w:rPr>
                <w:sz w:val="22"/>
                <w:szCs w:val="22"/>
              </w:rPr>
            </w:pPr>
            <w:r>
              <w:rPr>
                <w:rFonts w:eastAsia="Calibri" w:cs="Times New Roman" w:ascii="Times New Roman" w:hAnsi="Times New Roman"/>
                <w:kern w:val="0"/>
                <w:sz w:val="22"/>
                <w:szCs w:val="22"/>
                <w:lang w:val="ru-RU" w:eastAsia="x-none" w:bidi="ar-SA"/>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w:t>
            </w:r>
          </w:p>
        </w:tc>
      </w:tr>
      <w:tr>
        <w:trPr>
          <w:trHeight w:val="654" w:hRule="atLeast"/>
        </w:trPr>
        <w:tc>
          <w:tcPr>
            <w:tcW w:w="766" w:type="dxa"/>
            <w:tcBorders>
              <w:top w:val="nil"/>
            </w:tcBorders>
            <w:vAlign w:val="center"/>
          </w:tcPr>
          <w:p>
            <w:pPr>
              <w:pStyle w:val="Normal"/>
              <w:widowControl w:val="false"/>
              <w:suppressAutoHyphens w:val="true"/>
              <w:spacing w:before="0" w:after="200"/>
              <w:jc w:val="center"/>
              <w:rPr>
                <w:rFonts w:ascii="Times New Roman" w:hAnsi="Times New Roman"/>
                <w:sz w:val="24"/>
                <w:szCs w:val="24"/>
              </w:rPr>
            </w:pPr>
            <w:r>
              <w:rPr>
                <w:rFonts w:ascii="Times New Roman" w:hAnsi="Times New Roman"/>
                <w:sz w:val="24"/>
                <w:szCs w:val="24"/>
              </w:rPr>
              <w:t>2.4</w:t>
            </w:r>
          </w:p>
        </w:tc>
        <w:tc>
          <w:tcPr>
            <w:tcW w:w="9545" w:type="dxa"/>
            <w:gridSpan w:val="2"/>
            <w:tcBorders>
              <w:top w:val="nil"/>
            </w:tcBorders>
            <w:shd w:color="auto" w:fill="auto" w:val="clear"/>
          </w:tcPr>
          <w:p>
            <w:pPr>
              <w:pStyle w:val="Normal"/>
              <w:widowControl w:val="false"/>
              <w:suppressAutoHyphens w:val="true"/>
              <w:spacing w:lineRule="auto" w:line="240" w:before="0" w:after="200"/>
              <w:jc w:val="left"/>
              <w:rPr/>
            </w:pPr>
            <w:r>
              <w:rPr>
                <w:rFonts w:ascii="Times New Roman" w:hAnsi="Times New Roman"/>
                <w:sz w:val="24"/>
                <w:szCs w:val="24"/>
              </w:rPr>
              <w:t>Маркировка.</w:t>
            </w:r>
          </w:p>
          <w:p>
            <w:pPr>
              <w:pStyle w:val="Normal"/>
              <w:widowControl w:val="false"/>
              <w:suppressAutoHyphens w:val="true"/>
              <w:spacing w:lineRule="auto" w:line="240" w:before="0" w:after="200"/>
              <w:jc w:val="left"/>
              <w:rPr/>
            </w:pPr>
            <w:r>
              <w:rPr>
                <w:rFonts w:ascii="Times New Roman" w:hAnsi="Times New Roman"/>
                <w:sz w:val="24"/>
                <w:szCs w:val="24"/>
              </w:rPr>
              <w:t>1.1. Канат должен быть снабжен металлическим ярлыком, на котором следует указать: 1.1.1 Наименование или товарный знак предприятия-изготовителя;</w:t>
            </w:r>
          </w:p>
          <w:p>
            <w:pPr>
              <w:pStyle w:val="Normal"/>
              <w:widowControl w:val="false"/>
              <w:suppressAutoHyphens w:val="true"/>
              <w:spacing w:lineRule="auto" w:line="240" w:before="0" w:after="200"/>
              <w:jc w:val="left"/>
              <w:rPr/>
            </w:pPr>
            <w:r>
              <w:rPr>
                <w:rFonts w:ascii="Times New Roman" w:hAnsi="Times New Roman"/>
                <w:sz w:val="24"/>
                <w:szCs w:val="24"/>
              </w:rPr>
              <w:t>1.2.1 Номер каната в системе нумерации предприятия-изготовителя;</w:t>
            </w:r>
          </w:p>
          <w:p>
            <w:pPr>
              <w:pStyle w:val="Normal"/>
              <w:widowControl w:val="false"/>
              <w:suppressAutoHyphens w:val="true"/>
              <w:spacing w:lineRule="auto" w:line="240" w:before="0" w:after="200"/>
              <w:jc w:val="left"/>
              <w:rPr/>
            </w:pPr>
            <w:r>
              <w:rPr>
                <w:rFonts w:ascii="Times New Roman" w:hAnsi="Times New Roman"/>
                <w:sz w:val="24"/>
                <w:szCs w:val="24"/>
              </w:rPr>
              <w:t>1.3.1 Условное обозначение каната;</w:t>
            </w:r>
          </w:p>
          <w:p>
            <w:pPr>
              <w:pStyle w:val="Normal"/>
              <w:widowControl w:val="false"/>
              <w:suppressAutoHyphens w:val="true"/>
              <w:spacing w:lineRule="auto" w:line="240" w:before="0" w:after="200"/>
              <w:jc w:val="left"/>
              <w:rPr/>
            </w:pPr>
            <w:r>
              <w:rPr>
                <w:rFonts w:ascii="Times New Roman" w:hAnsi="Times New Roman"/>
                <w:sz w:val="24"/>
                <w:szCs w:val="24"/>
              </w:rPr>
              <w:t>1.4. 1Длину каната или каждого отрезка, считая от шейки барабана, м;                                                                                                 1.5.1 Массу брутто, кг;</w:t>
            </w:r>
          </w:p>
          <w:p>
            <w:pPr>
              <w:pStyle w:val="Normal"/>
              <w:widowControl w:val="false"/>
              <w:suppressAutoHyphens w:val="true"/>
              <w:spacing w:lineRule="auto" w:line="240" w:before="0" w:after="200"/>
              <w:jc w:val="left"/>
              <w:rPr/>
            </w:pPr>
            <w:r>
              <w:rPr>
                <w:rFonts w:ascii="Times New Roman" w:hAnsi="Times New Roman"/>
                <w:sz w:val="24"/>
                <w:szCs w:val="24"/>
              </w:rPr>
              <w:t xml:space="preserve"> </w:t>
            </w:r>
            <w:r>
              <w:rPr>
                <w:rFonts w:ascii="Times New Roman" w:hAnsi="Times New Roman"/>
                <w:sz w:val="24"/>
                <w:szCs w:val="24"/>
              </w:rPr>
              <w:t>1.6.1Дату изготовления каната.</w:t>
            </w:r>
          </w:p>
          <w:p>
            <w:pPr>
              <w:pStyle w:val="Normal"/>
              <w:widowControl w:val="false"/>
              <w:suppressAutoHyphens w:val="true"/>
              <w:spacing w:lineRule="auto" w:line="240" w:before="0" w:after="200"/>
              <w:jc w:val="left"/>
              <w:rPr/>
            </w:pPr>
            <w:r>
              <w:rPr>
                <w:rFonts w:ascii="Times New Roman" w:hAnsi="Times New Roman"/>
                <w:sz w:val="24"/>
                <w:szCs w:val="24"/>
              </w:rPr>
              <w:t>1.7.1 Ярлык прочно крепится на видном месте щеки барабана или бухты.                                                                                                  1.2. Упаковка должна быть устойчивой к воздействию климатических факторов;                                                             1.3. Упаковка должна быть достаточной для обеспечения безопасного обращения с поставляемым  материалом.</w:t>
            </w:r>
          </w:p>
          <w:p>
            <w:pPr>
              <w:pStyle w:val="Normal"/>
              <w:widowControl w:val="false"/>
              <w:suppressAutoHyphens w:val="true"/>
              <w:spacing w:lineRule="auto" w:line="240" w:before="0" w:after="200"/>
              <w:jc w:val="left"/>
              <w:rPr/>
            </w:pPr>
            <w:r>
              <w:rPr>
                <w:rFonts w:ascii="Times New Roman" w:hAnsi="Times New Roman"/>
                <w:sz w:val="24"/>
                <w:szCs w:val="24"/>
              </w:rPr>
              <w:t>1.4. Канаты транспортируют транспортом всех видов в крытых и открытых транспортных средствах в соответствии с правилами перевозки грузов, действующими на транспорте данного вида.</w:t>
            </w:r>
          </w:p>
          <w:p>
            <w:pPr>
              <w:pStyle w:val="Normal"/>
              <w:widowControl w:val="false"/>
              <w:suppressAutoHyphens w:val="true"/>
              <w:spacing w:lineRule="auto" w:line="240" w:before="0" w:after="200"/>
              <w:jc w:val="left"/>
              <w:rPr/>
            </w:pPr>
            <w:r>
              <w:rPr>
                <w:rFonts w:ascii="Times New Roman" w:hAnsi="Times New Roman"/>
                <w:sz w:val="24"/>
                <w:szCs w:val="24"/>
              </w:rPr>
              <w:t>1.5. Изделия транспортируются на склад заказчика в транспортной упаковке предприятия-изготовителя выполненной с учетом особенностей изделия.</w:t>
            </w:r>
          </w:p>
          <w:p>
            <w:pPr>
              <w:pStyle w:val="Normal"/>
              <w:widowControl w:val="false"/>
              <w:suppressAutoHyphens w:val="true"/>
              <w:spacing w:lineRule="auto" w:line="240" w:before="0" w:after="200"/>
              <w:jc w:val="left"/>
              <w:rPr/>
            </w:pPr>
            <w:r>
              <w:rPr>
                <w:rFonts w:ascii="Times New Roman" w:hAnsi="Times New Roman"/>
                <w:sz w:val="24"/>
                <w:szCs w:val="24"/>
              </w:rPr>
              <w:t>1.6.Требования к сроку хранения в упаковке изготовителя не менее 1 года.</w:t>
            </w:r>
          </w:p>
        </w:tc>
      </w:tr>
      <w:tr>
        <w:trPr/>
        <w:tc>
          <w:tcPr>
            <w:tcW w:w="766" w:type="dxa"/>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3</w:t>
            </w:r>
          </w:p>
        </w:tc>
        <w:tc>
          <w:tcPr>
            <w:tcW w:w="9545" w:type="dxa"/>
            <w:gridSpan w:val="2"/>
            <w:tcBorders/>
            <w:shd w:color="auto" w:fill="auto" w:val="clear"/>
            <w:vAlign w:val="center"/>
          </w:tcPr>
          <w:p>
            <w:pPr>
              <w:pStyle w:val="Normal"/>
              <w:widowControl w:val="false"/>
              <w:suppressAutoHyphens w:val="true"/>
              <w:spacing w:before="0" w:after="200"/>
              <w:jc w:val="both"/>
              <w:rPr>
                <w:rFonts w:ascii="Times New Roman" w:hAnsi="Times New Roman"/>
              </w:rPr>
            </w:pPr>
            <w:r>
              <w:rPr>
                <w:rFonts w:eastAsia="Calibri" w:cs="Times New Roman" w:ascii="Times New Roman" w:hAnsi="Times New Roman"/>
                <w:b/>
                <w:kern w:val="0"/>
                <w:sz w:val="20"/>
                <w:lang w:val="ru-RU" w:bidi="ar-SA"/>
              </w:rPr>
              <w:t>Требования к гарантиям, гарантийному и послегарантийному обслуживанию</w:t>
            </w:r>
          </w:p>
        </w:tc>
      </w:tr>
      <w:tr>
        <w:trPr/>
        <w:tc>
          <w:tcPr>
            <w:tcW w:w="766" w:type="dxa"/>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3.1</w:t>
            </w:r>
          </w:p>
        </w:tc>
        <w:tc>
          <w:tcPr>
            <w:tcW w:w="9545" w:type="dxa"/>
            <w:gridSpan w:val="2"/>
            <w:tcBorders/>
          </w:tcPr>
          <w:p>
            <w:pPr>
              <w:pStyle w:val="ListParagraph"/>
              <w:widowControl w:val="false"/>
              <w:suppressAutoHyphens w:val="true"/>
              <w:spacing w:before="0" w:after="200"/>
              <w:ind w:hanging="0" w:left="720"/>
              <w:contextualSpacing/>
              <w:jc w:val="both"/>
              <w:rPr>
                <w:rFonts w:ascii="Times New Roman" w:hAnsi="Times New Roman"/>
              </w:rPr>
            </w:pPr>
            <w:r>
              <w:rPr>
                <w:rFonts w:eastAsia="Calibri" w:cs="Times New Roman" w:ascii="Times New Roman" w:hAnsi="Times New Roman"/>
                <w:kern w:val="0"/>
                <w:lang w:val="ru-RU" w:bidi="ar-SA"/>
              </w:rPr>
              <w:t>Поставщик обязан установить на продукцию гарантийный срок 12 (Двенадцать)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 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w:t>
            </w:r>
          </w:p>
          <w:p>
            <w:pPr>
              <w:pStyle w:val="ListParagraph"/>
              <w:widowControl w:val="false"/>
              <w:suppressAutoHyphens w:val="true"/>
              <w:spacing w:before="0" w:after="200"/>
              <w:ind w:hanging="0" w:left="57"/>
              <w:contextualSpacing/>
              <w:jc w:val="both"/>
              <w:rPr>
                <w:rFonts w:ascii="Times New Roman" w:hAnsi="Times New Roman"/>
              </w:rPr>
            </w:pPr>
            <w:r>
              <w:rPr>
                <w:rFonts w:eastAsia="Calibri" w:cs="Times New Roman" w:ascii="Times New Roman" w:hAnsi="Times New Roman"/>
                <w:kern w:val="0"/>
                <w:lang w:val="ru-RU" w:bidi="ar-SA"/>
              </w:rPr>
              <w:t>Установленный в отношении Продукции Гарантийный срок распространяется на все составные части и комплектующие Продукции.</w:t>
            </w:r>
          </w:p>
        </w:tc>
      </w:tr>
      <w:tr>
        <w:trPr>
          <w:trHeight w:val="338" w:hRule="atLeast"/>
        </w:trPr>
        <w:tc>
          <w:tcPr>
            <w:tcW w:w="766" w:type="dxa"/>
            <w:tcBorders/>
            <w:vAlign w:val="center"/>
          </w:tcPr>
          <w:p>
            <w:pPr>
              <w:pStyle w:val="Normal"/>
              <w:widowControl w:val="false"/>
              <w:suppressAutoHyphens w:val="true"/>
              <w:spacing w:before="0" w:after="200"/>
              <w:jc w:val="center"/>
              <w:rPr>
                <w:rFonts w:ascii="Times New Roman" w:hAnsi="Times New Roman"/>
              </w:rPr>
            </w:pPr>
            <w:r>
              <w:rPr>
                <w:rFonts w:eastAsia="Calibri" w:cs="Times New Roman" w:ascii="Times New Roman" w:hAnsi="Times New Roman"/>
                <w:kern w:val="0"/>
                <w:sz w:val="20"/>
                <w:lang w:val="ru-RU" w:bidi="ar-SA"/>
              </w:rPr>
              <w:t>4</w:t>
            </w:r>
          </w:p>
        </w:tc>
        <w:tc>
          <w:tcPr>
            <w:tcW w:w="9545" w:type="dxa"/>
            <w:gridSpan w:val="2"/>
            <w:tcBorders/>
            <w:vAlign w:val="center"/>
          </w:tcPr>
          <w:p>
            <w:pPr>
              <w:pStyle w:val="Normal"/>
              <w:widowControl w:val="false"/>
              <w:suppressAutoHyphens w:val="true"/>
              <w:spacing w:lineRule="auto" w:line="240" w:before="0" w:after="200"/>
              <w:jc w:val="both"/>
              <w:rPr>
                <w:rFonts w:ascii="Times New Roman" w:hAnsi="Times New Roman"/>
              </w:rPr>
            </w:pPr>
            <w:r>
              <w:rPr>
                <w:rFonts w:eastAsia="Calibri" w:cs="Times New Roman" w:ascii="Times New Roman" w:hAnsi="Times New Roman"/>
                <w:b/>
                <w:kern w:val="0"/>
                <w:sz w:val="20"/>
                <w:lang w:val="ru-RU" w:bidi="ar-SA"/>
              </w:rPr>
              <w:t>Требования к комплектации и документам, поставляемым вместе с продукцией</w:t>
            </w:r>
          </w:p>
        </w:tc>
      </w:tr>
      <w:tr>
        <w:trPr/>
        <w:tc>
          <w:tcPr>
            <w:tcW w:w="766" w:type="dxa"/>
            <w:tcBorders/>
            <w:vAlign w:val="center"/>
          </w:tcPr>
          <w:p>
            <w:pPr>
              <w:pStyle w:val="Normal"/>
              <w:widowControl w:val="false"/>
              <w:suppressAutoHyphens w:val="true"/>
              <w:spacing w:before="0" w:after="200"/>
              <w:jc w:val="center"/>
              <w:rPr/>
            </w:pPr>
            <w:r>
              <w:rPr>
                <w:rFonts w:eastAsia="Calibri" w:cs="Times New Roman" w:ascii="Times New Roman" w:hAnsi="Times New Roman"/>
                <w:kern w:val="0"/>
                <w:sz w:val="20"/>
                <w:lang w:val="ru-RU" w:bidi="ar-SA"/>
              </w:rPr>
              <w:t>4.1</w:t>
            </w:r>
          </w:p>
        </w:tc>
        <w:tc>
          <w:tcPr>
            <w:tcW w:w="9545" w:type="dxa"/>
            <w:gridSpan w:val="2"/>
            <w:tcBorders>
              <w:top w:val="outset" w:sz="2" w:space="0" w:color="000000"/>
              <w:left w:val="outset" w:sz="2" w:space="0" w:color="000000"/>
              <w:bottom w:val="outset" w:sz="2" w:space="0" w:color="000000"/>
            </w:tcBorders>
            <w:tcMar>
              <w:top w:w="55" w:type="dxa"/>
              <w:bottom w:w="55" w:type="dxa"/>
            </w:tcMar>
          </w:tcPr>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Сертификат качества в 2 экз.;</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Технический паспорт на русском языке в 2 экз.;</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Инструкция по эксплуатации (монтажу и т.п.) на русском языке в 2 экз.;</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Упаковочный лист на Продукцию 2 экз.;</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Лицензии и т.п.) в зависимости от номенклатуры поставляемой Продукции;</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Обязательные первичные документы:</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pPr>
              <w:pStyle w:val="ListParagraph"/>
              <w:widowControl w:val="false"/>
              <w:suppressAutoHyphens w:val="true"/>
              <w:spacing w:before="0" w:after="200"/>
              <w:ind w:hanging="0" w:left="57"/>
              <w:contextualSpacing/>
              <w:jc w:val="left"/>
              <w:rPr/>
            </w:pPr>
            <w:r>
              <w:rPr>
                <w:rFonts w:eastAsia="Calibri" w:cs="Times New Roman" w:ascii="Times New Roman" w:hAnsi="Times New Roman"/>
                <w:kern w:val="0"/>
                <w:lang w:val="ru-RU" w:bidi="ar-SA"/>
              </w:rPr>
              <w:t xml:space="preserve">    • </w:t>
            </w:r>
            <w:r>
              <w:rPr>
                <w:rFonts w:eastAsia="Calibri" w:cs="Times New Roman" w:ascii="Times New Roman" w:hAnsi="Times New Roman"/>
                <w:kern w:val="0"/>
                <w:lang w:val="ru-RU" w:bidi="ar-SA"/>
              </w:rPr>
              <w:t>Товарную накладную по форме ТОРГ-12 или Универсальный передаточный документ (УПД) в 2 экз.</w:t>
            </w:r>
          </w:p>
        </w:tc>
      </w:tr>
      <w:tr>
        <w:trPr/>
        <w:tc>
          <w:tcPr>
            <w:tcW w:w="766" w:type="dxa"/>
            <w:tcBorders/>
            <w:vAlign w:val="center"/>
          </w:tcPr>
          <w:p>
            <w:pPr>
              <w:pStyle w:val="Normal"/>
              <w:widowControl w:val="false"/>
              <w:suppressAutoHyphens w:val="false"/>
              <w:spacing w:lineRule="auto" w:line="240" w:before="0" w:after="0"/>
              <w:contextualSpacing/>
              <w:jc w:val="center"/>
              <w:rPr>
                <w:sz w:val="22"/>
                <w:szCs w:val="22"/>
              </w:rPr>
            </w:pPr>
            <w:r>
              <w:rPr>
                <w:rFonts w:eastAsia="Calibri" w:cs="Times New Roman" w:ascii="Times New Roman" w:hAnsi="Times New Roman"/>
                <w:kern w:val="0"/>
                <w:sz w:val="22"/>
                <w:szCs w:val="22"/>
                <w:lang w:val="ru-RU" w:bidi="ar-SA"/>
              </w:rPr>
              <w:t>5.</w:t>
            </w:r>
          </w:p>
        </w:tc>
        <w:tc>
          <w:tcPr>
            <w:tcW w:w="9545" w:type="dxa"/>
            <w:gridSpan w:val="2"/>
            <w:tcBorders>
              <w:top w:val="outset" w:sz="2" w:space="0" w:color="000000"/>
              <w:left w:val="outset" w:sz="2" w:space="0" w:color="000000"/>
              <w:bottom w:val="outset" w:sz="2" w:space="0" w:color="000000"/>
            </w:tcBorders>
            <w:tcMar>
              <w:top w:w="55" w:type="dxa"/>
              <w:bottom w:w="55" w:type="dxa"/>
            </w:tcMar>
            <w:vAlign w:val="center"/>
          </w:tcPr>
          <w:p>
            <w:pPr>
              <w:pStyle w:val="Normal"/>
              <w:widowControl w:val="false"/>
              <w:suppressAutoHyphens w:val="true"/>
              <w:spacing w:before="0" w:after="200"/>
              <w:jc w:val="both"/>
              <w:rPr>
                <w:sz w:val="22"/>
                <w:szCs w:val="22"/>
              </w:rPr>
            </w:pPr>
            <w:r>
              <w:rPr>
                <w:rFonts w:eastAsia="Calibri" w:cs="Times New Roman" w:ascii="Times New Roman" w:hAnsi="Times New Roman"/>
                <w:b/>
                <w:kern w:val="0"/>
                <w:sz w:val="22"/>
                <w:szCs w:val="22"/>
                <w:lang w:val="ru-RU" w:bidi="ar-SA"/>
              </w:rPr>
              <w:t>Прочие (дополнительные) требования к продукции</w:t>
            </w:r>
          </w:p>
        </w:tc>
      </w:tr>
      <w:tr>
        <w:trPr>
          <w:trHeight w:val="504" w:hRule="atLeast"/>
        </w:trPr>
        <w:tc>
          <w:tcPr>
            <w:tcW w:w="766" w:type="dxa"/>
            <w:tcBorders/>
            <w:vAlign w:val="center"/>
          </w:tcPr>
          <w:p>
            <w:pPr>
              <w:pStyle w:val="Normal"/>
              <w:widowControl w:val="false"/>
              <w:suppressAutoHyphens w:val="false"/>
              <w:spacing w:lineRule="auto" w:line="240" w:before="0" w:after="0"/>
              <w:contextualSpacing/>
              <w:jc w:val="center"/>
              <w:rPr>
                <w:sz w:val="22"/>
                <w:szCs w:val="22"/>
              </w:rPr>
            </w:pPr>
            <w:r>
              <w:rPr>
                <w:rFonts w:eastAsia="Calibri" w:cs="Times New Roman" w:ascii="Times New Roman" w:hAnsi="Times New Roman"/>
                <w:kern w:val="0"/>
                <w:sz w:val="22"/>
                <w:szCs w:val="22"/>
                <w:lang w:val="ru-RU" w:bidi="ar-SA"/>
              </w:rPr>
              <w:t>5.1</w:t>
            </w:r>
          </w:p>
        </w:tc>
        <w:tc>
          <w:tcPr>
            <w:tcW w:w="9545" w:type="dxa"/>
            <w:gridSpan w:val="2"/>
            <w:tcBorders>
              <w:top w:val="outset" w:sz="2" w:space="0" w:color="000000"/>
              <w:left w:val="outset" w:sz="2" w:space="0" w:color="000000"/>
              <w:bottom w:val="outset" w:sz="2" w:space="0" w:color="000000"/>
            </w:tcBorders>
            <w:tcMar>
              <w:top w:w="55" w:type="dxa"/>
              <w:bottom w:w="55" w:type="dxa"/>
            </w:tcMar>
            <w:vAlign w:val="center"/>
          </w:tcPr>
          <w:p>
            <w:pPr>
              <w:pStyle w:val="Normal"/>
              <w:widowControl w:val="false"/>
              <w:suppressAutoHyphens w:val="true"/>
              <w:spacing w:before="0" w:after="200"/>
              <w:jc w:val="both"/>
              <w:rPr>
                <w:sz w:val="22"/>
                <w:szCs w:val="22"/>
              </w:rPr>
            </w:pPr>
            <w:r>
              <w:rPr>
                <w:rFonts w:eastAsia="Calibri" w:cs="Times New Roman" w:ascii="Times New Roman" w:hAnsi="Times New Roman"/>
                <w:kern w:val="0"/>
                <w:sz w:val="22"/>
                <w:szCs w:val="22"/>
                <w:lang w:val="ru-RU" w:eastAsia="x-none" w:bidi="ar-SA"/>
              </w:rPr>
              <w:t>Продукция должна быть новой, ранее не использовавшейся</w:t>
            </w:r>
          </w:p>
        </w:tc>
      </w:tr>
      <w:tr>
        <w:trPr/>
        <w:tc>
          <w:tcPr>
            <w:tcW w:w="766" w:type="dxa"/>
            <w:tcBorders/>
            <w:vAlign w:val="center"/>
          </w:tcPr>
          <w:p>
            <w:pPr>
              <w:pStyle w:val="Normal"/>
              <w:widowControl w:val="false"/>
              <w:suppressAutoHyphens w:val="false"/>
              <w:spacing w:lineRule="auto" w:line="240" w:before="0" w:after="0"/>
              <w:contextualSpacing/>
              <w:jc w:val="center"/>
              <w:rPr>
                <w:sz w:val="22"/>
                <w:szCs w:val="22"/>
              </w:rPr>
            </w:pPr>
            <w:r>
              <w:rPr>
                <w:rFonts w:eastAsia="Calibri" w:cs="Times New Roman" w:ascii="Times New Roman" w:hAnsi="Times New Roman"/>
                <w:kern w:val="0"/>
                <w:sz w:val="22"/>
                <w:szCs w:val="22"/>
                <w:lang w:val="ru-RU" w:bidi="ar-SA"/>
              </w:rPr>
              <w:t>5.2</w:t>
            </w:r>
          </w:p>
        </w:tc>
        <w:tc>
          <w:tcPr>
            <w:tcW w:w="9545" w:type="dxa"/>
            <w:gridSpan w:val="2"/>
            <w:tcBorders>
              <w:top w:val="outset" w:sz="2" w:space="0" w:color="000000"/>
              <w:left w:val="outset" w:sz="2" w:space="0" w:color="000000"/>
              <w:bottom w:val="outset" w:sz="2" w:space="0" w:color="000000"/>
            </w:tcBorders>
            <w:tcMar>
              <w:top w:w="55" w:type="dxa"/>
              <w:bottom w:w="55" w:type="dxa"/>
            </w:tcMar>
            <w:vAlign w:val="center"/>
          </w:tcPr>
          <w:p>
            <w:pPr>
              <w:pStyle w:val="Normal"/>
              <w:widowControl w:val="false"/>
              <w:suppressAutoHyphens w:val="true"/>
              <w:spacing w:before="0" w:after="200"/>
              <w:jc w:val="both"/>
              <w:rPr>
                <w:sz w:val="22"/>
                <w:szCs w:val="22"/>
              </w:rPr>
            </w:pPr>
            <w:r>
              <w:rPr>
                <w:rFonts w:eastAsia="Calibri" w:cs="Times New Roman" w:ascii="Times New Roman" w:hAnsi="Times New Roman"/>
                <w:kern w:val="0"/>
                <w:sz w:val="22"/>
                <w:szCs w:val="22"/>
                <w:lang w:val="ru-RU" w:eastAsia="x-none" w:bidi="ar-SA"/>
              </w:rPr>
              <w:t>Продукция должна соответствовать обязательным требованиям, установленными нормативными документами, действующими в РФ. ГОСТ 11127-78 «Барабаны деревянные для стальных канатов. Технические условия». Продукция обязательно должна быть укомплектована документами, удостоверяющими качество продукции и гарантийные обязательства производителя, выданными производителем продукции, а также документами, выполнение требований которых является условием выполнения гарантийных обязательств производителя.</w:t>
            </w:r>
          </w:p>
        </w:tc>
      </w:tr>
    </w:tbl>
    <w:p>
      <w:pPr>
        <w:pStyle w:val="ListParagraph"/>
        <w:spacing w:before="0" w:after="0"/>
        <w:ind w:hanging="0" w:left="360"/>
        <w:contextualSpacing/>
        <w:jc w:val="both"/>
        <w:rPr>
          <w:rFonts w:ascii="Times New Roman" w:hAnsi="Times New Roman"/>
          <w:b/>
          <w:sz w:val="24"/>
          <w:szCs w:val="24"/>
        </w:rPr>
      </w:pPr>
      <w:r>
        <w:rPr>
          <w:rFonts w:ascii="Times New Roman" w:hAnsi="Times New Roman"/>
          <w:b/>
          <w:sz w:val="24"/>
          <w:szCs w:val="24"/>
        </w:rPr>
      </w:r>
    </w:p>
    <w:p>
      <w:pPr>
        <w:pStyle w:val="ListParagraph"/>
        <w:spacing w:before="0" w:after="0"/>
        <w:ind w:hanging="0" w:left="360"/>
        <w:contextualSpacing/>
        <w:jc w:val="both"/>
        <w:rPr>
          <w:rFonts w:ascii="Times New Roman" w:hAnsi="Times New Roman"/>
          <w:b/>
          <w:sz w:val="24"/>
          <w:szCs w:val="24"/>
        </w:rPr>
      </w:pPr>
      <w:r>
        <w:rPr>
          <w:rFonts w:ascii="Times New Roman" w:hAnsi="Times New Roman"/>
          <w:b/>
          <w:sz w:val="24"/>
          <w:szCs w:val="24"/>
        </w:rPr>
      </w:r>
    </w:p>
    <w:sectPr>
      <w:footerReference w:type="default" r:id="rId2"/>
      <w:type w:val="nextPage"/>
      <w:pgSz w:w="11906" w:h="16838"/>
      <w:pgMar w:left="675" w:right="401" w:gutter="0" w:header="0" w:top="171" w:footer="713" w:bottom="77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4</w:t>
    </w:r>
    <w:r>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432" w:hanging="432"/>
      </w:pPr>
      <w:rPr>
        <w:sz w:val="24"/>
        <w:b w:val="false"/>
        <w:szCs w:val="24"/>
        <w:bCs/>
      </w:rPr>
    </w:lvl>
    <w:lvl w:ilvl="2">
      <w:start w:val="1"/>
      <w:numFmt w:val="decimal"/>
      <w:lvlText w:val="%1.%2.%3."/>
      <w:lvlJc w:val="left"/>
      <w:pPr>
        <w:tabs>
          <w:tab w:val="num" w:pos="0"/>
        </w:tabs>
        <w:ind w:left="122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num w:numId="1">
    <w:abstractNumId w:val="1"/>
  </w:num>
  <w:num w:numId="2">
    <w:abstractNumId w:val="2"/>
  </w:num>
</w:numbering>
</file>

<file path=word/settings.xml><?xml version="1.0" encoding="utf-8"?>
<w:settings xmlns:w="http://schemas.openxmlformats.org/wordprocessingml/2006/main">
  <w:zoom w:percent="81"/>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01ce4"/>
    <w:pPr>
      <w:widowControl/>
      <w:suppressAutoHyphens w:val="true"/>
      <w:bidi w:val="0"/>
      <w:spacing w:lineRule="auto" w:line="276" w:before="0" w:after="200"/>
      <w:jc w:val="left"/>
    </w:pPr>
    <w:rPr>
      <w:rFonts w:ascii="Calibri" w:hAnsi="Calibri" w:eastAsia="Calibri" w:cs="Times New Roman"/>
      <w:color w:val="auto"/>
      <w:kern w:val="0"/>
      <w:sz w:val="22"/>
      <w:szCs w:val="22"/>
      <w:lang w:val="ru-RU" w:eastAsia="en-US" w:bidi="ar-SA"/>
    </w:rPr>
  </w:style>
  <w:style w:type="paragraph" w:styleId="Heading1">
    <w:name w:val="Heading 1"/>
    <w:basedOn w:val="Normal"/>
    <w:next w:val="BodyText"/>
    <w:link w:val="1"/>
    <w:qFormat/>
    <w:rsid w:val="008f748e"/>
    <w:pPr>
      <w:keepNext w:val="true"/>
      <w:keepLines/>
      <w:spacing w:lineRule="atLeast" w:line="100" w:before="480" w:after="0"/>
      <w:ind w:hanging="360" w:left="1068"/>
      <w:outlineLvl w:val="0"/>
    </w:pPr>
    <w:rPr>
      <w:rFonts w:ascii="Cambria" w:hAnsi="Cambria" w:eastAsia="Times New Roman" w:cs="Cambria"/>
      <w:b/>
      <w:bCs/>
      <w:color w:val="365F91"/>
      <w:sz w:val="28"/>
      <w:szCs w:val="28"/>
      <w:lang w:eastAsia="ar-SA"/>
    </w:rPr>
  </w:style>
  <w:style w:type="paragraph" w:styleId="Heading2">
    <w:name w:val="Heading 2"/>
    <w:basedOn w:val="Normal"/>
    <w:next w:val="BodyText"/>
    <w:link w:val="2"/>
    <w:qFormat/>
    <w:rsid w:val="008f748e"/>
    <w:pPr>
      <w:widowControl w:val="false"/>
      <w:spacing w:before="200" w:after="0"/>
      <w:ind w:hanging="720" w:left="1788"/>
      <w:outlineLvl w:val="1"/>
    </w:pPr>
    <w:rPr>
      <w:rFonts w:ascii="Cambria" w:hAnsi="Cambria" w:eastAsia="Times New Roman" w:cs="Cambria"/>
      <w:b/>
      <w:bCs/>
      <w:color w:val="4F81BD"/>
      <w:sz w:val="28"/>
      <w:szCs w:val="26"/>
      <w:lang w:eastAsia="ar-SA"/>
    </w:rPr>
  </w:style>
  <w:style w:type="paragraph" w:styleId="Heading3">
    <w:name w:val="Heading 3"/>
    <w:basedOn w:val="Normal"/>
    <w:next w:val="BodyText"/>
    <w:link w:val="3"/>
    <w:qFormat/>
    <w:rsid w:val="008f748e"/>
    <w:pPr>
      <w:widowControl w:val="false"/>
      <w:spacing w:lineRule="atLeast" w:line="100" w:before="200" w:after="0"/>
      <w:ind w:hanging="720" w:left="2148"/>
      <w:outlineLvl w:val="2"/>
    </w:pPr>
    <w:rPr>
      <w:rFonts w:ascii="Times New Roman" w:hAnsi="Times New Roman" w:eastAsia="Times New Roman"/>
      <w:b/>
      <w:bCs/>
      <w:color w:val="3366FF"/>
      <w:sz w:val="28"/>
      <w:szCs w:val="20"/>
      <w:lang w:eastAsia="ar-SA"/>
    </w:rPr>
  </w:style>
  <w:style w:type="character" w:styleId="DefaultParagraphFont" w:default="1">
    <w:name w:val="Default Paragraph Font"/>
    <w:uiPriority w:val="1"/>
    <w:semiHidden/>
    <w:unhideWhenUsed/>
    <w:qFormat/>
    <w:rPr/>
  </w:style>
  <w:style w:type="character" w:styleId="Style6" w:customStyle="1">
    <w:name w:val="Текст выноски Знак"/>
    <w:link w:val="BalloonText"/>
    <w:uiPriority w:val="99"/>
    <w:semiHidden/>
    <w:qFormat/>
    <w:rsid w:val="0053223e"/>
    <w:rPr>
      <w:rFonts w:ascii="Tahoma" w:hAnsi="Tahoma" w:cs="Tahoma"/>
      <w:sz w:val="16"/>
      <w:szCs w:val="16"/>
    </w:rPr>
  </w:style>
  <w:style w:type="character" w:styleId="Style7" w:customStyle="1">
    <w:name w:val="Верхний колонтитул Знак"/>
    <w:qFormat/>
    <w:rsid w:val="005c0949"/>
    <w:rPr>
      <w:rFonts w:ascii="Times New Roman" w:hAnsi="Times New Roman" w:eastAsia="Times New Roman"/>
      <w:sz w:val="24"/>
      <w:szCs w:val="24"/>
    </w:rPr>
  </w:style>
  <w:style w:type="character" w:styleId="Style8" w:customStyle="1">
    <w:name w:val="Текст сноски Знак"/>
    <w:semiHidden/>
    <w:qFormat/>
    <w:rsid w:val="005c0949"/>
    <w:rPr>
      <w:rFonts w:ascii="Times New Roman" w:hAnsi="Times New Roman" w:eastAsia="Times New Roman"/>
    </w:rPr>
  </w:style>
  <w:style w:type="character" w:styleId="Style9"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qFormat/>
    <w:rsid w:val="005c0949"/>
    <w:rPr>
      <w:vertAlign w:val="superscript"/>
    </w:rPr>
  </w:style>
  <w:style w:type="character" w:styleId="Style10" w:customStyle="1">
    <w:name w:val="Основной текст с отступом Знак"/>
    <w:qFormat/>
    <w:rsid w:val="005c0949"/>
    <w:rPr>
      <w:rFonts w:ascii="Times New Roman" w:hAnsi="Times New Roman" w:eastAsia="Times New Roman"/>
      <w:sz w:val="24"/>
      <w:szCs w:val="24"/>
    </w:rPr>
  </w:style>
  <w:style w:type="character" w:styleId="Hyperlink">
    <w:name w:val="Hyperlink"/>
    <w:uiPriority w:val="99"/>
    <w:unhideWhenUsed/>
    <w:rsid w:val="00ef5da3"/>
    <w:rPr>
      <w:color w:val="0000FF"/>
      <w:u w:val="single"/>
    </w:rPr>
  </w:style>
  <w:style w:type="character" w:styleId="Bold1" w:customStyle="1">
    <w:name w:val="bold1"/>
    <w:qFormat/>
    <w:rsid w:val="001971ed"/>
    <w:rPr>
      <w:b/>
      <w:bCs/>
    </w:rPr>
  </w:style>
  <w:style w:type="character" w:styleId="1" w:customStyle="1">
    <w:name w:val="Заголовок 1 Знак"/>
    <w:qFormat/>
    <w:rsid w:val="008f748e"/>
    <w:rPr>
      <w:rFonts w:ascii="Cambria" w:hAnsi="Cambria" w:eastAsia="Times New Roman" w:cs="Cambria"/>
      <w:b/>
      <w:bCs/>
      <w:color w:val="365F91"/>
      <w:sz w:val="28"/>
      <w:szCs w:val="28"/>
      <w:lang w:eastAsia="ar-SA"/>
    </w:rPr>
  </w:style>
  <w:style w:type="character" w:styleId="2" w:customStyle="1">
    <w:name w:val="Заголовок 2 Знак"/>
    <w:qFormat/>
    <w:rsid w:val="008f748e"/>
    <w:rPr>
      <w:rFonts w:ascii="Cambria" w:hAnsi="Cambria" w:eastAsia="Times New Roman" w:cs="Cambria"/>
      <w:b/>
      <w:bCs/>
      <w:color w:val="4F81BD"/>
      <w:sz w:val="28"/>
      <w:szCs w:val="26"/>
      <w:lang w:eastAsia="ar-SA"/>
    </w:rPr>
  </w:style>
  <w:style w:type="character" w:styleId="3" w:customStyle="1">
    <w:name w:val="Заголовок 3 Знак"/>
    <w:qFormat/>
    <w:rsid w:val="008f748e"/>
    <w:rPr>
      <w:rFonts w:ascii="Times New Roman" w:hAnsi="Times New Roman" w:eastAsia="Times New Roman"/>
      <w:b/>
      <w:bCs/>
      <w:color w:val="3366FF"/>
      <w:sz w:val="28"/>
      <w:lang w:eastAsia="ar-SA"/>
    </w:rPr>
  </w:style>
  <w:style w:type="character" w:styleId="Style11" w:customStyle="1">
    <w:name w:val="Основной текст Знак"/>
    <w:qFormat/>
    <w:rsid w:val="008f748e"/>
    <w:rPr>
      <w:sz w:val="22"/>
      <w:szCs w:val="22"/>
      <w:lang w:eastAsia="ar-SA"/>
    </w:rPr>
  </w:style>
  <w:style w:type="character" w:styleId="Style12" w:customStyle="1">
    <w:name w:val="Нижний колонтитул Знак"/>
    <w:uiPriority w:val="99"/>
    <w:qFormat/>
    <w:rsid w:val="00412015"/>
    <w:rPr>
      <w:sz w:val="22"/>
      <w:szCs w:val="22"/>
      <w:lang w:eastAsia="en-US"/>
    </w:rPr>
  </w:style>
  <w:style w:type="character" w:styleId="Style13" w:customStyle="1">
    <w:name w:val="Основной текст_"/>
    <w:link w:val="12"/>
    <w:uiPriority w:val="99"/>
    <w:qFormat/>
    <w:locked/>
    <w:rsid w:val="00412015"/>
    <w:rPr>
      <w:sz w:val="28"/>
      <w:szCs w:val="28"/>
      <w:shd w:fill="FFFFFF" w:val="clear"/>
    </w:rPr>
  </w:style>
  <w:style w:type="character" w:styleId="Style14" w:customStyle="1">
    <w:name w:val="Основной текст + Малые прописные"/>
    <w:uiPriority w:val="99"/>
    <w:qFormat/>
    <w:rsid w:val="00412015"/>
    <w:rPr>
      <w:rFonts w:ascii="Times New Roman" w:hAnsi="Times New Roman" w:cs="Times New Roman"/>
      <w:smallCaps/>
      <w:color w:val="000000"/>
      <w:spacing w:val="0"/>
      <w:w w:val="100"/>
      <w:sz w:val="28"/>
      <w:szCs w:val="28"/>
      <w:u w:val="none"/>
      <w:lang w:val="ru-RU" w:bidi="ar-SA"/>
    </w:rPr>
  </w:style>
  <w:style w:type="character" w:styleId="Annotationreference">
    <w:name w:val="annotation reference"/>
    <w:uiPriority w:val="99"/>
    <w:semiHidden/>
    <w:unhideWhenUsed/>
    <w:qFormat/>
    <w:rsid w:val="00e7294f"/>
    <w:rPr>
      <w:sz w:val="16"/>
      <w:szCs w:val="16"/>
    </w:rPr>
  </w:style>
  <w:style w:type="character" w:styleId="Style15" w:customStyle="1">
    <w:name w:val="Текст примечания Знак"/>
    <w:link w:val="Annotationtext"/>
    <w:uiPriority w:val="99"/>
    <w:semiHidden/>
    <w:qFormat/>
    <w:rsid w:val="00e7294f"/>
    <w:rPr>
      <w:lang w:eastAsia="en-US"/>
    </w:rPr>
  </w:style>
  <w:style w:type="character" w:styleId="Style16" w:customStyle="1">
    <w:name w:val="Тема примечания Знак"/>
    <w:link w:val="Annotationsubject"/>
    <w:uiPriority w:val="99"/>
    <w:semiHidden/>
    <w:qFormat/>
    <w:rsid w:val="00e7294f"/>
    <w:rPr>
      <w:b/>
      <w:bCs/>
      <w:lang w:eastAsia="en-US"/>
    </w:rPr>
  </w:style>
  <w:style w:type="character" w:styleId="Strong">
    <w:name w:val="Strong"/>
    <w:uiPriority w:val="22"/>
    <w:qFormat/>
    <w:rsid w:val="001d0248"/>
    <w:rPr>
      <w:b/>
      <w:bCs/>
    </w:rPr>
  </w:style>
  <w:style w:type="character" w:styleId="Pagenumber">
    <w:name w:val="page number"/>
    <w:basedOn w:val="DefaultParagraphFont"/>
    <w:qFormat/>
    <w:rsid w:val="00901ce4"/>
    <w:rPr/>
  </w:style>
  <w:style w:type="character" w:styleId="Linenumber">
    <w:name w:val="line number"/>
    <w:qFormat/>
    <w:rPr/>
  </w:style>
  <w:style w:type="character" w:styleId="Strong2">
    <w:name w:val="Strong2"/>
    <w:qFormat/>
    <w:rPr>
      <w:b/>
      <w:bCs/>
    </w:rPr>
  </w:style>
  <w:style w:type="character" w:styleId="Strong3">
    <w:name w:val="Strong3"/>
    <w:qFormat/>
    <w:rPr>
      <w:b/>
      <w:bCs/>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11"/>
    <w:rsid w:val="008f748e"/>
    <w:pPr>
      <w:spacing w:before="0" w:after="120"/>
    </w:pPr>
    <w:rPr>
      <w:lang w:eastAsia="ar-SA"/>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BalloonText">
    <w:name w:val="Balloon Text"/>
    <w:basedOn w:val="Normal"/>
    <w:link w:val="Style6"/>
    <w:uiPriority w:val="99"/>
    <w:semiHidden/>
    <w:unhideWhenUsed/>
    <w:qFormat/>
    <w:rsid w:val="0053223e"/>
    <w:pPr>
      <w:spacing w:lineRule="auto" w:line="240" w:before="0" w:after="0"/>
    </w:pPr>
    <w:rPr>
      <w:rFonts w:ascii="Tahoma" w:hAnsi="Tahoma"/>
      <w:sz w:val="16"/>
      <w:szCs w:val="16"/>
    </w:rPr>
  </w:style>
  <w:style w:type="paragraph" w:styleId="Style19" w:customStyle="1">
    <w:name w:val="Колонтитул"/>
    <w:basedOn w:val="Normal"/>
    <w:qFormat/>
    <w:pPr/>
    <w:rPr/>
  </w:style>
  <w:style w:type="paragraph" w:styleId="Header">
    <w:name w:val="Header"/>
    <w:basedOn w:val="Normal"/>
    <w:link w:val="Style7"/>
    <w:rsid w:val="005c0949"/>
    <w:pPr>
      <w:tabs>
        <w:tab w:val="clear" w:pos="708"/>
        <w:tab w:val="center" w:pos="4677" w:leader="none"/>
        <w:tab w:val="right" w:pos="9355" w:leader="none"/>
      </w:tabs>
      <w:spacing w:lineRule="auto" w:line="240" w:before="0" w:after="0"/>
    </w:pPr>
    <w:rPr>
      <w:rFonts w:ascii="Times New Roman" w:hAnsi="Times New Roman" w:eastAsia="Times New Roman"/>
      <w:sz w:val="24"/>
      <w:szCs w:val="24"/>
    </w:rPr>
  </w:style>
  <w:style w:type="paragraph" w:styleId="FootnoteText">
    <w:name w:val="Footnote Text"/>
    <w:basedOn w:val="Normal"/>
    <w:link w:val="Style8"/>
    <w:semiHidden/>
    <w:rsid w:val="005c0949"/>
    <w:pPr>
      <w:spacing w:lineRule="auto" w:line="240" w:before="0" w:after="0"/>
    </w:pPr>
    <w:rPr>
      <w:rFonts w:ascii="Times New Roman" w:hAnsi="Times New Roman" w:eastAsia="Times New Roman"/>
      <w:sz w:val="20"/>
      <w:szCs w:val="20"/>
    </w:rPr>
  </w:style>
  <w:style w:type="paragraph" w:styleId="BodyTextIndent">
    <w:name w:val="Body Text Indent"/>
    <w:basedOn w:val="Normal"/>
    <w:link w:val="Style10"/>
    <w:rsid w:val="005c0949"/>
    <w:pPr>
      <w:spacing w:lineRule="auto" w:line="240" w:before="0" w:after="0"/>
      <w:ind w:hanging="0" w:left="360"/>
    </w:pPr>
    <w:rPr>
      <w:rFonts w:ascii="Times New Roman" w:hAnsi="Times New Roman" w:eastAsia="Times New Roman"/>
      <w:sz w:val="24"/>
      <w:szCs w:val="24"/>
    </w:rPr>
  </w:style>
  <w:style w:type="paragraph" w:styleId="ListParagraph">
    <w:name w:val="List Paragraph"/>
    <w:basedOn w:val="Normal"/>
    <w:uiPriority w:val="99"/>
    <w:qFormat/>
    <w:rsid w:val="00a647d0"/>
    <w:pPr>
      <w:spacing w:before="0" w:after="200"/>
      <w:ind w:hanging="0" w:left="720"/>
      <w:contextualSpacing/>
    </w:pPr>
    <w:rPr/>
  </w:style>
  <w:style w:type="paragraph" w:styleId="11" w:customStyle="1">
    <w:name w:val="Абзац списка1"/>
    <w:basedOn w:val="Normal"/>
    <w:qFormat/>
    <w:rsid w:val="008f748e"/>
    <w:pPr>
      <w:widowControl w:val="false"/>
      <w:ind w:firstLine="709" w:left="720"/>
    </w:pPr>
    <w:rPr>
      <w:lang w:eastAsia="ar-SA"/>
    </w:rPr>
  </w:style>
  <w:style w:type="paragraph" w:styleId="Footer">
    <w:name w:val="Footer"/>
    <w:basedOn w:val="Normal"/>
    <w:link w:val="Style12"/>
    <w:uiPriority w:val="99"/>
    <w:rsid w:val="00412015"/>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qFormat/>
    <w:rsid w:val="00412015"/>
    <w:pPr>
      <w:spacing w:lineRule="auto" w:line="240" w:before="30" w:after="30"/>
    </w:pPr>
    <w:rPr>
      <w:rFonts w:ascii="Arial" w:hAnsi="Arial" w:cs="Arial"/>
      <w:color w:val="332E2D"/>
      <w:spacing w:val="2"/>
      <w:sz w:val="24"/>
      <w:szCs w:val="24"/>
      <w:lang w:eastAsia="ru-RU"/>
    </w:rPr>
  </w:style>
  <w:style w:type="paragraph" w:styleId="12" w:customStyle="1">
    <w:name w:val="Основной текст1"/>
    <w:basedOn w:val="Normal"/>
    <w:link w:val="Style13"/>
    <w:uiPriority w:val="99"/>
    <w:qFormat/>
    <w:rsid w:val="00412015"/>
    <w:pPr>
      <w:widowControl w:val="false"/>
      <w:shd w:val="clear" w:color="auto" w:fill="FFFFFF"/>
      <w:spacing w:lineRule="exact" w:line="302" w:before="0" w:after="0"/>
    </w:pPr>
    <w:rPr>
      <w:sz w:val="28"/>
      <w:szCs w:val="28"/>
      <w:lang w:eastAsia="ru-RU"/>
    </w:rPr>
  </w:style>
  <w:style w:type="paragraph" w:styleId="Annotationtext">
    <w:name w:val="annotation text"/>
    <w:basedOn w:val="Normal"/>
    <w:link w:val="Style15"/>
    <w:uiPriority w:val="99"/>
    <w:semiHidden/>
    <w:unhideWhenUsed/>
    <w:qFormat/>
    <w:rsid w:val="00e7294f"/>
    <w:pPr>
      <w:spacing w:lineRule="auto" w:line="240"/>
    </w:pPr>
    <w:rPr>
      <w:sz w:val="20"/>
      <w:szCs w:val="20"/>
    </w:rPr>
  </w:style>
  <w:style w:type="paragraph" w:styleId="Annotationsubject">
    <w:name w:val="annotation subject"/>
    <w:basedOn w:val="Annotationtext"/>
    <w:next w:val="Annotationtext"/>
    <w:link w:val="Style16"/>
    <w:uiPriority w:val="99"/>
    <w:semiHidden/>
    <w:unhideWhenUsed/>
    <w:qFormat/>
    <w:rsid w:val="00e7294f"/>
    <w:pPr/>
    <w:rPr>
      <w:b/>
      <w:bCs/>
    </w:rPr>
  </w:style>
  <w:style w:type="paragraph" w:styleId="Default" w:customStyle="1">
    <w:name w:val="Default"/>
    <w:qFormat/>
    <w:rsid w:val="00515767"/>
    <w:pPr>
      <w:widowControl/>
      <w:suppressAutoHyphens w:val="true"/>
      <w:bidi w:val="0"/>
      <w:spacing w:before="0" w:after="0"/>
      <w:jc w:val="left"/>
    </w:pPr>
    <w:rPr>
      <w:rFonts w:ascii="Times New Roman" w:hAnsi="Times New Roman" w:eastAsia="Calibri" w:cs="Times New Roman"/>
      <w:color w:val="000000"/>
      <w:kern w:val="0"/>
      <w:sz w:val="24"/>
      <w:szCs w:val="24"/>
      <w:lang w:val="ru-RU" w:eastAsia="ru-RU" w:bidi="ar-SA"/>
    </w:rPr>
  </w:style>
  <w:style w:type="paragraph" w:styleId="Style20" w:customStyle="1">
    <w:name w:val="Содержимое таблицы"/>
    <w:basedOn w:val="Normal"/>
    <w:qFormat/>
    <w:pPr>
      <w:widowControl w:val="false"/>
      <w:suppressLineNumbers/>
    </w:pPr>
    <w:rPr/>
  </w:style>
  <w:style w:type="paragraph" w:styleId="Style21" w:customStyle="1">
    <w:name w:val="Заголовок таблицы"/>
    <w:basedOn w:val="Style20"/>
    <w:qFormat/>
    <w:pPr>
      <w:jc w:val="center"/>
    </w:pPr>
    <w:rPr>
      <w:b/>
      <w:bCs/>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5">
    <w:name w:val="Table Grid"/>
    <w:basedOn w:val="a2"/>
    <w:uiPriority w:val="39"/>
    <w:rsid w:val="00644ff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59D68-7A60-4CE6-A744-95603466C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2167</TotalTime>
  <Application>AlterOffice/2026.2.0.0$Linux_X86_64 LibreOffice_project/bc4ef1adf80b36c7a6365f8ed6cbf29021361edd</Application>
  <AppVersion>15.0000</AppVersion>
  <Pages>4</Pages>
  <Words>748</Words>
  <Characters>5171</Characters>
  <CharactersWithSpaces>6104</CharactersWithSpaces>
  <Paragraphs>111</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2024-07-15T11:09:00Z</dcterms:created>
  <dc:creator>Admin</dc:creator>
  <dc:description/>
  <dc:language>ru-RU</dc:language>
  <cp:lastModifiedBy>korolevkv@corp.gidroogk.com</cp:lastModifiedBy>
  <cp:lastPrinted>2025-09-26T14:45:28Z</cp:lastPrinted>
  <dcterms:modified xsi:type="dcterms:W3CDTF">2026-09-28T11:59:25Z</dcterms:modified>
  <cp:revision>91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027a58-0b8b-4b38-933d-36c79ab5a9a6_ActionId">
    <vt:lpwstr>624e3e5c-1bd8-430e-aca5-6db545a4e20d</vt:lpwstr>
  </property>
  <property fmtid="{D5CDD505-2E9C-101B-9397-08002B2CF9AE}" pid="3" name="MSIP_Label_cb027a58-0b8b-4b38-933d-36c79ab5a9a6_ContentBits">
    <vt:lpwstr>0</vt:lpwstr>
  </property>
  <property fmtid="{D5CDD505-2E9C-101B-9397-08002B2CF9AE}" pid="4" name="MSIP_Label_cb027a58-0b8b-4b38-933d-36c79ab5a9a6_Enabled">
    <vt:lpwstr>true</vt:lpwstr>
  </property>
  <property fmtid="{D5CDD505-2E9C-101B-9397-08002B2CF9AE}" pid="5" name="MSIP_Label_cb027a58-0b8b-4b38-933d-36c79ab5a9a6_Method">
    <vt:lpwstr>Privileged</vt:lpwstr>
  </property>
  <property fmtid="{D5CDD505-2E9C-101B-9397-08002B2CF9AE}" pid="6" name="MSIP_Label_cb027a58-0b8b-4b38-933d-36c79ab5a9a6_Name">
    <vt:lpwstr>cb027a58-0b8b-4b38-933d-36c79ab5a9a6</vt:lpwstr>
  </property>
  <property fmtid="{D5CDD505-2E9C-101B-9397-08002B2CF9AE}" pid="7" name="MSIP_Label_cb027a58-0b8b-4b38-933d-36c79ab5a9a6_SetDate">
    <vt:lpwstr>2023-03-30T11:50:38Z</vt:lpwstr>
  </property>
  <property fmtid="{D5CDD505-2E9C-101B-9397-08002B2CF9AE}" pid="8" name="MSIP_Label_cb027a58-0b8b-4b38-933d-36c79ab5a9a6_SiteId">
    <vt:lpwstr>75b2f54b-feff-400d-8e0b-67102edb9a23</vt:lpwstr>
  </property>
</Properties>
</file>