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11"/>
        <w:numPr>
          <w:ilvl w:val="0"/>
          <w:numId w:val="0"/>
        </w:numPr>
        <w:spacing w:before="120" w:after="480"/>
        <w:ind w:hanging="0" w:left="0"/>
        <w:jc w:val="center"/>
        <w:rPr>
          <w:rFonts w:ascii="Times New Roman" w:hAnsi="Times New Roman"/>
          <w:sz w:val="28"/>
          <w:szCs w:val="28"/>
        </w:rPr>
      </w:pPr>
      <w:r>
        <w:rPr/>
        <w:drawing>
          <wp:inline distT="0" distB="0" distL="0" distR="0">
            <wp:extent cx="5886450" cy="882650"/>
            <wp:effectExtent l="0" t="0" r="0" b="0"/>
            <wp:docPr id="1" name="Рисунок 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6450" cy="882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11"/>
        <w:numPr>
          <w:ilvl w:val="0"/>
          <w:numId w:val="0"/>
        </w:numPr>
        <w:spacing w:before="0" w:after="0"/>
        <w:ind w:firstLine="567" w:left="0"/>
        <w:jc w:val="center"/>
        <w:outlineLvl w:val="9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Запрос технико-коммерческих предложений в рамках закупки </w:t>
      </w:r>
    </w:p>
    <w:p>
      <w:pPr>
        <w:pStyle w:val="11"/>
        <w:numPr>
          <w:ilvl w:val="0"/>
          <w:numId w:val="0"/>
        </w:numPr>
        <w:spacing w:before="0" w:after="0"/>
        <w:ind w:firstLine="567" w:left="0"/>
        <w:jc w:val="center"/>
        <w:outlineLvl w:val="9"/>
        <w:rPr>
          <w:rFonts w:ascii="Times New Roman" w:hAnsi="Times New Roman"/>
          <w:sz w:val="26"/>
          <w:szCs w:val="26"/>
        </w:rPr>
      </w:pPr>
      <w:r>
        <w:rPr>
          <w:rFonts w:eastAsia="Calibri" w:ascii="Times New Roman" w:hAnsi="Times New Roman"/>
          <w:sz w:val="26"/>
          <w:szCs w:val="26"/>
        </w:rPr>
        <w:t>ОКПД2 2</w:t>
      </w:r>
      <w:r>
        <w:rPr>
          <w:rFonts w:eastAsia="Calibri" w:ascii="Times New Roman" w:hAnsi="Times New Roman"/>
          <w:sz w:val="26"/>
          <w:szCs w:val="26"/>
        </w:rPr>
        <w:t>0.52.10.140</w:t>
      </w:r>
      <w:r>
        <w:rPr>
          <w:rFonts w:eastAsia="Calibri" w:ascii="Times New Roman" w:hAnsi="Times New Roman"/>
          <w:sz w:val="26"/>
          <w:szCs w:val="26"/>
        </w:rPr>
        <w:t xml:space="preserve">. </w:t>
      </w:r>
      <w:r>
        <w:rPr>
          <w:rFonts w:eastAsia="Calibri" w:ascii="Times New Roman" w:hAnsi="Times New Roman"/>
          <w:sz w:val="26"/>
          <w:szCs w:val="26"/>
          <w:lang w:eastAsia="ru-RU"/>
        </w:rPr>
        <w:t>П</w:t>
      </w:r>
      <w:r>
        <w:rPr>
          <w:rFonts w:eastAsia="Times New Roman" w:ascii="Times New Roman" w:hAnsi="Times New Roman"/>
          <w:sz w:val="26"/>
          <w:szCs w:val="26"/>
          <w:lang w:eastAsia="ru-RU"/>
        </w:rPr>
        <w:t xml:space="preserve">оставка </w:t>
      </w:r>
      <w:r>
        <w:rPr>
          <w:rStyle w:val="Style9"/>
          <w:rFonts w:eastAsia="Times New Roman" w:cs="Liberation Serif" w:ascii="Liberation Serif" w:hAnsi="Liberation Serif"/>
          <w:sz w:val="24"/>
          <w:szCs w:val="24"/>
          <w:lang w:eastAsia="ru-RU"/>
        </w:rPr>
        <w:t>материалов</w:t>
      </w:r>
      <w:r>
        <w:rPr>
          <w:rFonts w:eastAsia="Times New Roman" w:ascii="Times New Roman" w:hAnsi="Times New Roman"/>
          <w:sz w:val="26"/>
          <w:szCs w:val="26"/>
          <w:lang w:eastAsia="ru-RU"/>
        </w:rPr>
        <w:t xml:space="preserve"> для нужд филиала ПАО «РусГидро»- «Бурейская ГЭС»</w:t>
      </w:r>
    </w:p>
    <w:p>
      <w:pPr>
        <w:pStyle w:val="Normal"/>
        <w:numPr>
          <w:ilvl w:val="0"/>
          <w:numId w:val="5"/>
        </w:numPr>
        <w:spacing w:lineRule="auto" w:line="240" w:before="120" w:after="0"/>
        <w:ind w:hanging="567" w:left="567"/>
        <w:rPr>
          <w:sz w:val="24"/>
          <w:szCs w:val="24"/>
        </w:rPr>
      </w:pPr>
      <w:r>
        <w:rPr>
          <w:sz w:val="24"/>
          <w:szCs w:val="24"/>
        </w:rPr>
        <w:t>Публичное акционерное общество «Федеральная гидрогенерирующая компания РусГидро»</w:t>
      </w:r>
      <w:r>
        <w:rPr>
          <w:i/>
          <w:sz w:val="24"/>
          <w:szCs w:val="24"/>
        </w:rPr>
        <w:t xml:space="preserve"> </w:t>
      </w:r>
      <w:r>
        <w:rPr>
          <w:sz w:val="24"/>
          <w:szCs w:val="24"/>
        </w:rPr>
        <w:t xml:space="preserve">(далее – Заказчик) сообщает о проведении анализа технико-коммерческих предложений потенциальных поставщиков в рамках закупки на право заключения договора. </w:t>
      </w:r>
    </w:p>
    <w:p>
      <w:pPr>
        <w:pStyle w:val="Normal"/>
        <w:numPr>
          <w:ilvl w:val="0"/>
          <w:numId w:val="5"/>
        </w:numPr>
        <w:spacing w:lineRule="auto" w:line="240" w:before="120" w:after="0"/>
        <w:ind w:hanging="567" w:left="567"/>
        <w:rPr>
          <w:sz w:val="24"/>
          <w:szCs w:val="24"/>
        </w:rPr>
      </w:pPr>
      <w:r>
        <w:rPr>
          <w:sz w:val="24"/>
          <w:szCs w:val="24"/>
        </w:rPr>
        <w:t>Подробные требования к продукции (в том числе, сведения об объеме, месте, сроках поставляемой продукции) приведены в приложении 1 к настоящему запросу.</w:t>
      </w:r>
    </w:p>
    <w:p>
      <w:pPr>
        <w:pStyle w:val="Normal"/>
        <w:numPr>
          <w:ilvl w:val="0"/>
          <w:numId w:val="5"/>
        </w:numPr>
        <w:spacing w:lineRule="auto" w:line="240" w:before="120" w:after="0"/>
        <w:ind w:hanging="567" w:left="567"/>
        <w:rPr>
          <w:sz w:val="24"/>
          <w:szCs w:val="24"/>
        </w:rPr>
      </w:pPr>
      <w:r>
        <w:rPr>
          <w:sz w:val="24"/>
          <w:szCs w:val="24"/>
        </w:rPr>
        <w:t>Настоящий запрос не является публичной офертой и не влечет за собой возникновения каких-либо обязательств для Заказчика. Рассмотрение Заказчиком поступивших технико-коммерческих предложений не предполагает какого-либо информирования (в т.ч. публичного) лиц, подавших такие предложения, а также любых иных лиц о результатах произведенного рассмотрения, за исключением выбранного по результатам анализа контрагента с целью согласования и заключения с ним договора.</w:t>
      </w:r>
    </w:p>
    <w:p>
      <w:pPr>
        <w:pStyle w:val="Normal"/>
        <w:numPr>
          <w:ilvl w:val="0"/>
          <w:numId w:val="5"/>
        </w:numPr>
        <w:spacing w:lineRule="auto" w:line="240" w:before="120" w:after="0"/>
        <w:ind w:hanging="567" w:left="567"/>
        <w:rPr>
          <w:sz w:val="24"/>
          <w:szCs w:val="24"/>
        </w:rPr>
      </w:pPr>
      <w:r>
        <w:rPr>
          <w:sz w:val="24"/>
          <w:szCs w:val="24"/>
        </w:rPr>
        <w:t>Ответ с технико-коммерческим предложением должен быть оформлен на официальном бланке Поставщика и заверен подписью уполномоченного лица, а также печатью организации (при наличии), и в обязательном порядке содержать следующую информацию: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lineRule="auto" w:line="240" w:before="120" w:after="0"/>
        <w:ind w:hanging="567" w:left="567"/>
        <w:rPr>
          <w:sz w:val="24"/>
          <w:szCs w:val="24"/>
        </w:rPr>
      </w:pPr>
      <w:r>
        <w:rPr>
          <w:sz w:val="24"/>
          <w:szCs w:val="24"/>
        </w:rPr>
        <w:t>дату направления предложения;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lineRule="auto" w:line="240" w:before="120" w:after="0"/>
        <w:ind w:hanging="567" w:left="567"/>
        <w:rPr>
          <w:sz w:val="24"/>
          <w:szCs w:val="24"/>
        </w:rPr>
      </w:pPr>
      <w:r>
        <w:rPr>
          <w:sz w:val="24"/>
          <w:szCs w:val="24"/>
        </w:rPr>
        <w:t>полное наименование Поставщика, с указанием организационно-правовой формы (для юридических лиц);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lineRule="auto" w:line="240" w:before="120" w:after="0"/>
        <w:ind w:hanging="567" w:left="567"/>
        <w:rPr>
          <w:sz w:val="24"/>
          <w:szCs w:val="24"/>
        </w:rPr>
      </w:pPr>
      <w:r>
        <w:rPr>
          <w:sz w:val="24"/>
          <w:szCs w:val="24"/>
        </w:rPr>
        <w:t>юридический адрес, почтовый адрес, ИНН (</w:t>
      </w:r>
      <w:r>
        <w:rPr>
          <w:rStyle w:val="Style8"/>
          <w:b w:val="false"/>
          <w:sz w:val="24"/>
          <w:szCs w:val="24"/>
          <w:shd w:fill="auto" w:val="clear"/>
        </w:rPr>
        <w:t>для юридических лиц)</w:t>
      </w:r>
      <w:r>
        <w:rPr>
          <w:i/>
          <w:sz w:val="24"/>
          <w:szCs w:val="24"/>
        </w:rPr>
        <w:t xml:space="preserve"> / </w:t>
      </w:r>
      <w:r>
        <w:rPr>
          <w:sz w:val="24"/>
          <w:szCs w:val="24"/>
        </w:rPr>
        <w:t>паспортные данные, адрес регистрации, ИНН (при наличии) (</w:t>
      </w:r>
      <w:r>
        <w:rPr>
          <w:i/>
          <w:sz w:val="24"/>
          <w:szCs w:val="24"/>
        </w:rPr>
        <w:t>для физических лиц</w:t>
      </w:r>
      <w:r>
        <w:rPr>
          <w:sz w:val="24"/>
          <w:szCs w:val="24"/>
        </w:rPr>
        <w:t>)</w:t>
      </w:r>
      <w:r>
        <w:rPr>
          <w:i/>
          <w:sz w:val="24"/>
          <w:szCs w:val="24"/>
        </w:rPr>
        <w:t>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lineRule="auto" w:line="240" w:before="120" w:after="0"/>
        <w:ind w:hanging="567" w:left="567"/>
        <w:rPr>
          <w:sz w:val="24"/>
          <w:szCs w:val="24"/>
        </w:rPr>
      </w:pPr>
      <w:r>
        <w:rPr>
          <w:sz w:val="24"/>
          <w:szCs w:val="24"/>
        </w:rPr>
        <w:t xml:space="preserve">контактные данные: номер телефона, </w:t>
      </w:r>
      <w:r>
        <w:rPr>
          <w:sz w:val="24"/>
          <w:szCs w:val="24"/>
          <w:lang w:val="en-US"/>
        </w:rPr>
        <w:t>e</w:t>
      </w:r>
      <w:r>
        <w:rPr>
          <w:sz w:val="24"/>
          <w:szCs w:val="24"/>
        </w:rPr>
        <w:t>-</w:t>
      </w:r>
      <w:r>
        <w:rPr>
          <w:sz w:val="24"/>
          <w:szCs w:val="24"/>
          <w:lang w:val="en-US"/>
        </w:rPr>
        <w:t>mail</w:t>
      </w:r>
      <w:r>
        <w:rPr>
          <w:sz w:val="24"/>
          <w:szCs w:val="24"/>
        </w:rPr>
        <w:t>, ФИО контактного лица;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lineRule="auto" w:line="240" w:before="120" w:after="0"/>
        <w:ind w:hanging="567" w:left="567"/>
        <w:rPr>
          <w:sz w:val="24"/>
          <w:szCs w:val="24"/>
        </w:rPr>
      </w:pPr>
      <w:r>
        <w:rPr>
          <w:sz w:val="24"/>
          <w:szCs w:val="24"/>
        </w:rPr>
        <w:t xml:space="preserve">гарантии наличия у Поставщика </w:t>
      </w:r>
      <w:r>
        <w:rPr>
          <w:sz w:val="24"/>
          <w:szCs w:val="24"/>
          <w:lang w:eastAsia="en-US"/>
        </w:rPr>
        <w:t>гражданской правоспособности в полном объеме для заключения и исполнения договора, в том числе наличие регистрации, отсутствие банкротства, стадии ликвидации или приостановления деятельности;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lineRule="auto" w:line="240" w:before="120" w:after="0"/>
        <w:ind w:hanging="567" w:left="567"/>
        <w:rPr>
          <w:sz w:val="24"/>
          <w:szCs w:val="24"/>
        </w:rPr>
      </w:pPr>
      <w:r>
        <w:rPr>
          <w:sz w:val="24"/>
          <w:szCs w:val="24"/>
          <w:lang w:eastAsia="en-US"/>
        </w:rPr>
        <w:t>информацию / документы, подтверждающие соответствие Поставщика установленным дополнительным требованиям, указанным в приложении 1 к настоящему запросу;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lineRule="auto" w:line="240" w:before="120" w:after="0"/>
        <w:ind w:hanging="567" w:left="567"/>
        <w:rPr>
          <w:sz w:val="24"/>
          <w:szCs w:val="24"/>
        </w:rPr>
      </w:pPr>
      <w:r>
        <w:rPr>
          <w:sz w:val="24"/>
          <w:szCs w:val="24"/>
        </w:rPr>
        <w:t>подробное описание предлагаемой к поставке продукции с указанием конкретных технических и функциональных характеристик, подтверждающее соответствие установленным требованиям (см.</w:t>
      </w:r>
      <w:r>
        <w:rPr>
          <w:sz w:val="24"/>
          <w:szCs w:val="24"/>
          <w:lang w:eastAsia="en-US"/>
        </w:rPr>
        <w:t> приложение 1 к настоящему запросу);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lineRule="auto" w:line="240" w:before="120" w:after="0"/>
        <w:ind w:hanging="567" w:left="567"/>
        <w:rPr>
          <w:sz w:val="24"/>
          <w:szCs w:val="24"/>
        </w:rPr>
      </w:pPr>
      <w:r>
        <w:rPr>
          <w:sz w:val="24"/>
          <w:szCs w:val="24"/>
        </w:rPr>
        <w:t>информацию о производителе предлагаемой к поставке продукции;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lineRule="auto" w:line="240" w:before="120" w:after="0"/>
        <w:ind w:hanging="567" w:left="567"/>
        <w:rPr>
          <w:sz w:val="24"/>
          <w:szCs w:val="24"/>
        </w:rPr>
      </w:pPr>
      <w:r>
        <w:rPr>
          <w:sz w:val="24"/>
          <w:szCs w:val="24"/>
        </w:rPr>
        <w:t>подтверждение возможности поставки требуемого объема продукции (см.</w:t>
      </w:r>
      <w:r>
        <w:rPr>
          <w:sz w:val="24"/>
          <w:szCs w:val="24"/>
          <w:lang w:eastAsia="en-US"/>
        </w:rPr>
        <w:t> приложение 1 к настоящему запросу);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lineRule="auto" w:line="240" w:before="120" w:after="0"/>
        <w:ind w:hanging="567" w:left="567"/>
        <w:rPr>
          <w:sz w:val="24"/>
          <w:szCs w:val="24"/>
        </w:rPr>
      </w:pPr>
      <w:r>
        <w:rPr>
          <w:sz w:val="24"/>
          <w:szCs w:val="24"/>
          <w:lang w:eastAsia="en-US"/>
        </w:rPr>
        <w:t xml:space="preserve">сроки поставки продукции в соответствии с установленными требованиями </w:t>
      </w:r>
      <w:r>
        <w:rPr>
          <w:sz w:val="24"/>
          <w:szCs w:val="24"/>
        </w:rPr>
        <w:t>(см.</w:t>
      </w:r>
      <w:r>
        <w:rPr>
          <w:sz w:val="24"/>
          <w:szCs w:val="24"/>
          <w:lang w:eastAsia="en-US"/>
        </w:rPr>
        <w:t> приложение 1 к настоящему запросу);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lineRule="auto" w:line="240" w:before="120" w:after="0"/>
        <w:ind w:hanging="567" w:left="567"/>
        <w:rPr>
          <w:sz w:val="24"/>
          <w:szCs w:val="24"/>
        </w:rPr>
      </w:pPr>
      <w:r>
        <w:rPr>
          <w:sz w:val="24"/>
          <w:szCs w:val="24"/>
          <w:lang w:eastAsia="en-US"/>
        </w:rPr>
        <w:t xml:space="preserve">сроки и условия гарантийных обязательств в соответствии с установленными требованиями </w:t>
      </w:r>
      <w:r>
        <w:rPr>
          <w:sz w:val="24"/>
          <w:szCs w:val="24"/>
        </w:rPr>
        <w:t>(см.</w:t>
      </w:r>
      <w:r>
        <w:rPr>
          <w:sz w:val="24"/>
          <w:szCs w:val="24"/>
          <w:lang w:eastAsia="en-US"/>
        </w:rPr>
        <w:t> приложение 1 к настоящему запросу);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lineRule="auto" w:line="240" w:before="120" w:after="0"/>
        <w:ind w:hanging="567" w:left="567"/>
        <w:rPr>
          <w:sz w:val="24"/>
          <w:szCs w:val="24"/>
        </w:rPr>
      </w:pPr>
      <w:r>
        <w:rPr>
          <w:sz w:val="24"/>
          <w:szCs w:val="24"/>
        </w:rPr>
        <w:t xml:space="preserve">цену предложения в рублях (без </w:t>
      </w:r>
      <w:r>
        <w:rPr>
          <w:sz w:val="24"/>
        </w:rPr>
        <w:t xml:space="preserve">учета </w:t>
      </w:r>
      <w:r>
        <w:rPr>
          <w:sz w:val="24"/>
          <w:szCs w:val="24"/>
        </w:rPr>
        <w:t>НДС и с учетом НДС).</w:t>
      </w:r>
    </w:p>
    <w:p>
      <w:pPr>
        <w:pStyle w:val="Normal"/>
        <w:numPr>
          <w:ilvl w:val="0"/>
          <w:numId w:val="5"/>
        </w:numPr>
        <w:spacing w:lineRule="auto" w:line="240" w:before="120" w:after="0"/>
        <w:ind w:hanging="567" w:left="567"/>
        <w:rPr>
          <w:sz w:val="24"/>
          <w:szCs w:val="24"/>
        </w:rPr>
      </w:pPr>
      <w:r>
        <w:rPr>
          <w:sz w:val="24"/>
          <w:szCs w:val="24"/>
        </w:rPr>
        <w:t>Срок подачи технико-коммерческих предложений: до 09:00 (МСК) 07.10.2026 г.</w:t>
      </w:r>
    </w:p>
    <w:p>
      <w:pPr>
        <w:pStyle w:val="Normal"/>
        <w:keepNext w:val="true"/>
        <w:numPr>
          <w:ilvl w:val="0"/>
          <w:numId w:val="5"/>
        </w:numPr>
        <w:spacing w:lineRule="auto" w:line="240" w:before="120" w:after="0"/>
        <w:ind w:hanging="567" w:left="567"/>
        <w:rPr>
          <w:sz w:val="24"/>
          <w:szCs w:val="24"/>
        </w:rPr>
      </w:pPr>
      <w:r>
        <w:rPr>
          <w:sz w:val="24"/>
          <w:szCs w:val="24"/>
        </w:rPr>
        <w:t xml:space="preserve">Предложения должны быть направлены в виде сканированной электронной копии в адрес: Электронная (торговая) площадка: АО «Российский аукционный дом» </w:t>
      </w:r>
      <w:hyperlink r:id="rId3">
        <w:r>
          <w:rPr>
            <w:rStyle w:val="Hyperlink"/>
            <w:sz w:val="24"/>
            <w:szCs w:val="24"/>
          </w:rPr>
          <w:t>https://tender.lot-online.ru</w:t>
        </w:r>
      </w:hyperlink>
    </w:p>
    <w:p>
      <w:pPr>
        <w:pStyle w:val="Normal"/>
        <w:keepNext w:val="true"/>
        <w:ind w:firstLine="851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ind w:firstLine="851"/>
        <w:rPr>
          <w:sz w:val="24"/>
          <w:szCs w:val="24"/>
        </w:rPr>
      </w:pPr>
      <w:r>
        <w:rPr>
          <w:sz w:val="24"/>
          <w:szCs w:val="24"/>
        </w:rPr>
        <w:t>Приложения: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851" w:leader="none"/>
        </w:tabs>
        <w:spacing w:lineRule="auto" w:line="240" w:before="120" w:after="0"/>
        <w:ind w:hanging="493" w:left="850"/>
        <w:rPr>
          <w:sz w:val="24"/>
          <w:szCs w:val="24"/>
        </w:rPr>
      </w:pPr>
      <w:r>
        <w:rPr>
          <w:sz w:val="24"/>
          <w:szCs w:val="24"/>
        </w:rPr>
        <w:t>Технические требования к продукции (в том числе, сведения об объеме, месте, сроках поставляемой продукции);</w:t>
      </w:r>
    </w:p>
    <w:p>
      <w:pPr>
        <w:pStyle w:val="Normal"/>
        <w:numPr>
          <w:ilvl w:val="0"/>
          <w:numId w:val="0"/>
        </w:numPr>
        <w:tabs>
          <w:tab w:val="clear" w:pos="708"/>
          <w:tab w:val="left" w:pos="851" w:leader="none"/>
        </w:tabs>
        <w:spacing w:lineRule="auto" w:line="240" w:before="120" w:after="0"/>
        <w:ind w:hanging="0" w:left="850"/>
        <w:rPr>
          <w:highlight w:val="none"/>
          <w:shd w:fill="FF0000" w:val="clear"/>
        </w:rPr>
      </w:pPr>
      <w:r>
        <w:rPr>
          <w:shd w:fill="FF0000" w:val="clear"/>
        </w:rPr>
      </w:r>
    </w:p>
    <w:p>
      <w:pPr>
        <w:pStyle w:val="Normal"/>
        <w:rPr>
          <w:highlight w:val="none"/>
          <w:shd w:fill="FF0000" w:val="clear"/>
        </w:rPr>
      </w:pPr>
      <w:r>
        <w:rPr>
          <w:shd w:fill="FF0000" w:val="clear"/>
        </w:rPr>
      </w:r>
    </w:p>
    <w:sectPr>
      <w:type w:val="nextPage"/>
      <w:pgSz w:w="11906" w:h="16838"/>
      <w:pgMar w:left="1418" w:right="851" w:gutter="0" w:header="0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Calibri Light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Arial">
    <w:charset w:val="01"/>
    <w:family w:val="roman"/>
    <w:pitch w:val="variable"/>
  </w:font>
  <w:font w:name="Liberation Serif">
    <w:altName w:val="Times New Roman"/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/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/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  <w:rPr/>
    </w:lvl>
    <w:lvl w:ilvl="3">
      <w:start w:val="1"/>
      <w:numFmt w:val="decimal"/>
      <w:lvlText w:val="%1.%2.%3.%4"/>
      <w:lvlJc w:val="left"/>
      <w:pPr>
        <w:tabs>
          <w:tab w:val="num" w:pos="1701"/>
        </w:tabs>
        <w:ind w:left="1701" w:hanging="1134"/>
      </w:pPr>
      <w:rPr/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/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/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4">
    <w:lvl w:ilvl="0">
      <w:start w:val="1"/>
      <w:numFmt w:val="bullet"/>
      <w:lvlText w:val="–"/>
      <w:lvlJc w:val="left"/>
      <w:pPr>
        <w:tabs>
          <w:tab w:val="num" w:pos="0"/>
        </w:tabs>
        <w:ind w:left="128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 w:cs="Wingdings" w:hint="default"/>
      </w:rPr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0" w:semiHidden="1" w:unhideWhenUsed="1" w:qFormat="1"/>
    <w:lsdException w:name="heading 4" w:uiPriority="0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8d1c15"/>
    <w:pPr>
      <w:widowControl/>
      <w:suppressAutoHyphens w:val="true"/>
      <w:bidi w:val="0"/>
      <w:spacing w:lineRule="auto" w:line="360" w:before="0" w:after="0"/>
      <w:ind w:firstLine="567"/>
      <w:jc w:val="both"/>
    </w:pPr>
    <w:rPr>
      <w:rFonts w:ascii="Times New Roman" w:hAnsi="Times New Roman" w:eastAsia="Times New Roman" w:cs="Times New Roman"/>
      <w:color w:val="auto"/>
      <w:kern w:val="0"/>
      <w:sz w:val="28"/>
      <w:szCs w:val="20"/>
      <w:lang w:val="ru-RU" w:eastAsia="ru-RU" w:bidi="ar-SA"/>
    </w:rPr>
  </w:style>
  <w:style w:type="paragraph" w:styleId="Heading1">
    <w:name w:val="Heading 1"/>
    <w:basedOn w:val="Normal"/>
    <w:next w:val="Normal"/>
    <w:link w:val="1"/>
    <w:uiPriority w:val="9"/>
    <w:qFormat/>
    <w:rsid w:val="008d1c15"/>
    <w:pPr>
      <w:keepNext w:val="true"/>
      <w:keepLines/>
      <w:spacing w:before="240" w:after="0"/>
      <w:outlineLvl w:val="0"/>
    </w:pPr>
    <w:rPr>
      <w:rFonts w:ascii="Calibri Light" w:hAnsi="Calibri Light" w:eastAsia="" w:cs="" w:asciiTheme="majorHAnsi" w:cstheme="majorBidi" w:eastAsiaTheme="majorEastAsia" w:hAnsiTheme="majorHAns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3"/>
    <w:qFormat/>
    <w:rsid w:val="008d1c15"/>
    <w:pPr>
      <w:keepNext w:val="true"/>
      <w:numPr>
        <w:ilvl w:val="2"/>
        <w:numId w:val="2"/>
      </w:numPr>
      <w:spacing w:lineRule="auto" w:line="240" w:before="120" w:after="120"/>
      <w:jc w:val="left"/>
      <w:outlineLvl w:val="2"/>
    </w:pPr>
    <w:rPr>
      <w:b/>
    </w:rPr>
  </w:style>
  <w:style w:type="paragraph" w:styleId="Heading4">
    <w:name w:val="Heading 4"/>
    <w:basedOn w:val="Normal"/>
    <w:next w:val="Normal"/>
    <w:link w:val="4"/>
    <w:qFormat/>
    <w:rsid w:val="008d1c15"/>
    <w:pPr>
      <w:keepNext w:val="true"/>
      <w:numPr>
        <w:ilvl w:val="3"/>
        <w:numId w:val="2"/>
      </w:numPr>
      <w:tabs>
        <w:tab w:val="clear" w:pos="708"/>
        <w:tab w:val="left" w:pos="1134" w:leader="none"/>
      </w:tabs>
      <w:spacing w:lineRule="auto" w:line="240" w:before="240" w:after="120"/>
      <w:ind w:firstLine="567" w:left="1134"/>
      <w:outlineLvl w:val="3"/>
    </w:pPr>
    <w:rPr>
      <w:b/>
      <w:i/>
    </w:rPr>
  </w:style>
  <w:style w:type="character" w:styleId="DefaultParagraphFont" w:default="1">
    <w:name w:val="Default Paragraph Font"/>
    <w:uiPriority w:val="1"/>
    <w:unhideWhenUsed/>
    <w:qFormat/>
    <w:rPr/>
  </w:style>
  <w:style w:type="character" w:styleId="3" w:customStyle="1">
    <w:name w:val="Заголовок 3 Знак"/>
    <w:basedOn w:val="DefaultParagraphFont"/>
    <w:qFormat/>
    <w:rsid w:val="008d1c15"/>
    <w:rPr>
      <w:rFonts w:ascii="Times New Roman" w:hAnsi="Times New Roman" w:eastAsia="Times New Roman" w:cs="Times New Roman"/>
      <w:b/>
      <w:sz w:val="28"/>
      <w:szCs w:val="20"/>
      <w:lang w:eastAsia="ru-RU"/>
    </w:rPr>
  </w:style>
  <w:style w:type="character" w:styleId="4" w:customStyle="1">
    <w:name w:val="Заголовок 4 Знак"/>
    <w:basedOn w:val="DefaultParagraphFont"/>
    <w:qFormat/>
    <w:rsid w:val="008d1c15"/>
    <w:rPr>
      <w:rFonts w:ascii="Times New Roman" w:hAnsi="Times New Roman" w:eastAsia="Times New Roman" w:cs="Times New Roman"/>
      <w:b/>
      <w:i/>
      <w:sz w:val="28"/>
      <w:szCs w:val="20"/>
      <w:lang w:eastAsia="ru-RU"/>
    </w:rPr>
  </w:style>
  <w:style w:type="character" w:styleId="Style6" w:customStyle="1">
    <w:name w:val="Символ сноски"/>
    <w:uiPriority w:val="99"/>
    <w:qFormat/>
    <w:rsid w:val="008d1c15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7" w:customStyle="1">
    <w:name w:val="Текст сноски Знак"/>
    <w:basedOn w:val="DefaultParagraphFont"/>
    <w:uiPriority w:val="99"/>
    <w:qFormat/>
    <w:rsid w:val="008d1c15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Style8" w:customStyle="1">
    <w:name w:val="комментарий"/>
    <w:qFormat/>
    <w:rsid w:val="008d1c15"/>
    <w:rPr>
      <w:b/>
      <w:i/>
      <w:shd w:fill="FFFF99" w:val="clear"/>
    </w:rPr>
  </w:style>
  <w:style w:type="character" w:styleId="1" w:customStyle="1">
    <w:name w:val="Заголовок 1 Знак"/>
    <w:basedOn w:val="DefaultParagraphFont"/>
    <w:uiPriority w:val="9"/>
    <w:qFormat/>
    <w:rsid w:val="008d1c15"/>
    <w:rPr>
      <w:rFonts w:ascii="Calibri Light" w:hAnsi="Calibri Light" w:eastAsia="" w:cs="" w:asciiTheme="majorHAnsi" w:cstheme="majorBidi" w:eastAsiaTheme="majorEastAsia" w:hAnsiTheme="majorHAnsi"/>
      <w:color w:val="2E74B5" w:themeColor="accent1" w:themeShade="bf"/>
      <w:sz w:val="32"/>
      <w:szCs w:val="32"/>
      <w:lang w:eastAsia="ru-RU"/>
    </w:rPr>
  </w:style>
  <w:style w:type="character" w:styleId="Hyperlink">
    <w:name w:val="Hyperlink"/>
    <w:basedOn w:val="DefaultParagraphFont"/>
    <w:uiPriority w:val="99"/>
    <w:unhideWhenUsed/>
    <w:rsid w:val="00225e37"/>
    <w:rPr>
      <w:color w:val="0563C1" w:themeColor="hyperlink"/>
      <w:u w:val="single"/>
    </w:rPr>
  </w:style>
  <w:style w:type="character" w:styleId="Style9">
    <w:name w:val="Основной шрифт абзаца"/>
    <w:qFormat/>
    <w:rPr/>
  </w:style>
  <w:style w:type="paragraph" w:styleId="Style10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1">
    <w:name w:val="Указатель"/>
    <w:basedOn w:val="Normal"/>
    <w:qFormat/>
    <w:pPr>
      <w:suppressLineNumbers/>
    </w:pPr>
    <w:rPr/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Cs w:val="28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">
    <w:name w:val="index heading"/>
    <w:basedOn w:val="Normal"/>
    <w:qFormat/>
    <w:pPr>
      <w:suppressLineNumbers/>
    </w:pPr>
    <w:rPr/>
  </w:style>
  <w:style w:type="paragraph" w:styleId="Caption11" w:customStyle="1">
    <w:name w:val="caption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FootnoteText">
    <w:name w:val="Footnote Text"/>
    <w:basedOn w:val="Normal"/>
    <w:link w:val="Style7"/>
    <w:uiPriority w:val="99"/>
    <w:rsid w:val="008d1c15"/>
    <w:pPr>
      <w:spacing w:lineRule="auto" w:line="240"/>
    </w:pPr>
    <w:rPr>
      <w:sz w:val="20"/>
    </w:rPr>
  </w:style>
  <w:style w:type="paragraph" w:styleId="11" w:customStyle="1">
    <w:name w:val="Стиль Заголовок 1 + по ширине"/>
    <w:basedOn w:val="Heading1"/>
    <w:qFormat/>
    <w:rsid w:val="008d1c15"/>
    <w:pPr>
      <w:numPr>
        <w:ilvl w:val="0"/>
        <w:numId w:val="2"/>
      </w:numPr>
      <w:spacing w:lineRule="auto" w:line="240" w:before="480" w:after="240"/>
    </w:pPr>
    <w:rPr>
      <w:rFonts w:ascii="Arial" w:hAnsi="Arial" w:eastAsia="Times New Roman" w:cs="Times New Roman"/>
      <w:b/>
      <w:bCs/>
      <w:color w:val="auto"/>
      <w:kern w:val="2"/>
      <w:sz w:val="40"/>
      <w:szCs w:val="20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yperlink" Target="https://tender.lot-online.ru/" TargetMode="Externa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242</TotalTime>
  <Application>AlterOffice/2026.2.0.0$Linux_X86_64 LibreOffice_project/bc4ef1adf80b36c7a6365f8ed6cbf29021361edd</Application>
  <AppVersion>15.0000</AppVersion>
  <Pages>2</Pages>
  <Words>374</Words>
  <Characters>2659</Characters>
  <CharactersWithSpaces>2995</CharactersWithSpaces>
  <Paragraphs>23</Paragraphs>
  <Company>РусГидро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2024-09-20T00:22:00Z</dcterms:created>
  <dc:creator>Лысенко Екатерина Алексеевна</dc:creator>
  <dc:description/>
  <dc:language>ru-RU</dc:language>
  <cp:lastModifiedBy>karlovvv@corp.gidroogk.com</cp:lastModifiedBy>
  <dcterms:modified xsi:type="dcterms:W3CDTF">2026-09-29T09:39:20Z</dcterms:modified>
  <cp:revision>31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