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eastAsia="Calibri"/>
          <w:bCs/>
          <w:color w:val="000000"/>
          <w:sz w:val="24"/>
          <w:szCs w:val="24"/>
        </w:rPr>
      </w:pPr>
      <w:r>
        <w:rPr>
          <w:rFonts w:eastAsia="Calibri"/>
          <w:bCs/>
          <w:color w:val="000000"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bCs/>
          <w:color w:val="000000"/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t>Технические требования к продукции</w:t>
      </w:r>
    </w:p>
    <w:p>
      <w:pPr>
        <w:pStyle w:val="Normal"/>
        <w:jc w:val="center"/>
        <w:rPr>
          <w:rFonts w:eastAsia="Calibri"/>
          <w:b/>
          <w:bCs/>
          <w:color w:val="000000"/>
          <w:sz w:val="24"/>
          <w:szCs w:val="24"/>
        </w:rPr>
      </w:pPr>
      <w:r>
        <w:rPr>
          <w:rFonts w:eastAsia="Calibri"/>
          <w:b/>
          <w:bCs/>
          <w:color w:val="000000"/>
          <w:sz w:val="24"/>
          <w:szCs w:val="24"/>
        </w:rPr>
        <w:t xml:space="preserve"> </w:t>
      </w:r>
      <w:r>
        <w:rPr>
          <w:rFonts w:eastAsia="Calibri"/>
          <w:b/>
          <w:bCs/>
          <w:color w:val="000000"/>
          <w:sz w:val="24"/>
          <w:szCs w:val="24"/>
        </w:rPr>
        <w:t xml:space="preserve">(в том числе, сведения об объеме, месте, сроках поставляемой продукции) </w:t>
      </w:r>
    </w:p>
    <w:p>
      <w:pPr>
        <w:pStyle w:val="Normal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</w:r>
    </w:p>
    <w:tbl>
      <w:tblPr>
        <w:tblW w:w="13935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60"/>
        <w:gridCol w:w="2610"/>
        <w:gridCol w:w="1531"/>
        <w:gridCol w:w="7090"/>
        <w:gridCol w:w="817"/>
        <w:gridCol w:w="926"/>
      </w:tblGrid>
      <w:tr>
        <w:trPr>
          <w:trHeight w:val="1260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№ </w:t>
            </w:r>
            <w:r>
              <w:rPr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Марка</w:t>
            </w:r>
          </w:p>
        </w:tc>
        <w:tc>
          <w:tcPr>
            <w:tcW w:w="7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Технические характеристики (описание)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</w:tr>
      <w:tr>
        <w:trPr>
          <w:trHeight w:val="315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7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7</w:t>
            </w:r>
          </w:p>
        </w:tc>
      </w:tr>
      <w:tr>
        <w:trPr>
          <w:trHeight w:val="1200" w:hRule="atLeast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1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en-US" w:eastAsia="ru-RU" w:bidi="ar-SA"/>
              </w:rPr>
              <w:t>Техпластина УРТ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1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en-US" w:eastAsia="ru-RU" w:bidi="ar-SA"/>
              </w:rPr>
              <w:t>УРТ</w:t>
            </w:r>
          </w:p>
        </w:tc>
        <w:tc>
          <w:tcPr>
            <w:tcW w:w="7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Heading1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en-US" w:eastAsia="ru-RU" w:bidi="ar-SA"/>
              </w:rPr>
              <w:t>Техпластина УРТ пористая прессовая 25 мм ТУ 38 105867-90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cs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м2</w:t>
            </w:r>
          </w:p>
        </w:tc>
        <w:tc>
          <w:tcPr>
            <w:tcW w:w="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cs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2</w:t>
            </w:r>
          </w:p>
        </w:tc>
      </w:tr>
      <w:tr>
        <w:trPr>
          <w:trHeight w:val="1200" w:hRule="atLeast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2</w:t>
            </w: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1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en-US" w:eastAsia="ru-RU" w:bidi="ar-SA"/>
              </w:rPr>
              <w:t xml:space="preserve">Геотекстиль тканный 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1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" w:cs="Times New Roman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ТН30</w:t>
            </w:r>
          </w:p>
        </w:tc>
        <w:tc>
          <w:tcPr>
            <w:tcW w:w="7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Heading1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rFonts w:eastAsia="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en-US" w:eastAsia="ru-RU" w:bidi="ar-SA"/>
              </w:rPr>
              <w:t>Геотекстиль тканый строительный (ТН30), пл. 150г/м2, 30 кНт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cs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м.п.</w:t>
            </w:r>
          </w:p>
        </w:tc>
        <w:tc>
          <w:tcPr>
            <w:tcW w:w="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cs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15</w:t>
            </w:r>
          </w:p>
        </w:tc>
      </w:tr>
      <w:tr>
        <w:trPr>
          <w:trHeight w:val="1200" w:hRule="atLeast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3</w:t>
            </w: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1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en-US" w:eastAsia="ru-RU" w:bidi="ar-SA"/>
              </w:rPr>
              <w:t>Рукав пожарный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1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" w:cs="Times New Roman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Латекс</w:t>
            </w:r>
          </w:p>
        </w:tc>
        <w:tc>
          <w:tcPr>
            <w:tcW w:w="7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Heading1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en-US" w:eastAsia="ru-RU" w:bidi="ar-SA"/>
              </w:rPr>
              <w:t xml:space="preserve">Рукав пожарный латексированный диаметр 80 мм (РПМ(П)-Ду-1,6-М-УХЛ1 (Типа “Латекс”) 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cs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м</w:t>
            </w:r>
          </w:p>
        </w:tc>
        <w:tc>
          <w:tcPr>
            <w:tcW w:w="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cs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60 (необходимо 4 отрезка по 15 м)</w:t>
            </w:r>
          </w:p>
        </w:tc>
      </w:tr>
      <w:tr>
        <w:trPr>
          <w:trHeight w:val="1200" w:hRule="atLeast"/>
        </w:trPr>
        <w:tc>
          <w:tcPr>
            <w:tcW w:w="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 w:val="false"/>
                <w:bCs w:val="false"/>
                <w:color w:val="000000"/>
                <w:sz w:val="24"/>
                <w:szCs w:val="24"/>
              </w:rPr>
              <w:t>4</w:t>
            </w:r>
          </w:p>
        </w:tc>
        <w:tc>
          <w:tcPr>
            <w:tcW w:w="2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1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en-US" w:eastAsia="ru-RU" w:bidi="ar-SA"/>
              </w:rPr>
              <w:t>Рукав высокого давления</w:t>
            </w:r>
          </w:p>
        </w:tc>
        <w:tc>
          <w:tcPr>
            <w:tcW w:w="15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Heading1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" w:cs="Times New Roman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 xml:space="preserve">Tehno 1 SN </w:t>
            </w:r>
          </w:p>
        </w:tc>
        <w:tc>
          <w:tcPr>
            <w:tcW w:w="70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Heading1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eastAsia="" w:cs="Times New Roman"/>
                <w:b w:val="false"/>
                <w:bCs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en-US" w:eastAsia="ru-RU" w:bidi="ar-SA"/>
              </w:rPr>
              <w:t>Рукав высокого давления Tehno 1 SN P-160 bar D-1/2”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</w:r>
          </w:p>
        </w:tc>
        <w:tc>
          <w:tcPr>
            <w:tcW w:w="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cs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м</w:t>
            </w:r>
          </w:p>
        </w:tc>
        <w:tc>
          <w:tcPr>
            <w:tcW w:w="9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Fonts w:cs="Times New Roman"/>
                <w:b w:val="false"/>
                <w:bCs w:val="false"/>
                <w:kern w:val="0"/>
                <w:sz w:val="24"/>
                <w:szCs w:val="24"/>
                <w:shd w:fill="auto" w:val="clear"/>
                <w:lang w:val="en-US" w:eastAsia="ru-RU" w:bidi="ar-SA"/>
              </w:rPr>
              <w:t>100</w:t>
            </w:r>
          </w:p>
        </w:tc>
      </w:tr>
    </w:tbl>
    <w:p>
      <w:pPr>
        <w:pStyle w:val="Normal"/>
        <w:widowControl w:val="false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Условия поставки</w:t>
      </w:r>
      <w:r>
        <w:rPr>
          <w:bCs/>
          <w:color w:val="000000"/>
          <w:sz w:val="24"/>
          <w:szCs w:val="24"/>
        </w:rPr>
        <w:t>:</w:t>
      </w:r>
    </w:p>
    <w:p>
      <w:pPr>
        <w:pStyle w:val="Normal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</w:r>
    </w:p>
    <w:tbl>
      <w:tblPr>
        <w:tblW w:w="15446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2253"/>
        <w:gridCol w:w="13192"/>
      </w:tblGrid>
      <w:tr>
        <w:trPr>
          <w:trHeight w:val="21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Требования к поставке продукции</w:t>
            </w:r>
          </w:p>
        </w:tc>
        <w:tc>
          <w:tcPr>
            <w:tcW w:w="1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hanging="0" w:left="0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Продукция должна быть новой, ранее не использованной, </w:t>
            </w:r>
            <w:r>
              <w:rPr>
                <w:sz w:val="22"/>
                <w:szCs w:val="22"/>
              </w:rPr>
              <w:t>не бывшей в употреблении, не восстановленной после ремонта, не выставочным экземпляром, технически исправной.</w:t>
            </w:r>
          </w:p>
          <w:p>
            <w:pPr>
              <w:pStyle w:val="ListParagraph"/>
              <w:widowControl w:val="false"/>
              <w:ind w:hanging="0" w:left="0"/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По качеству и комплектности должна соответствовать действующим на момент поставки ТУ или ГОСТ, указанным в соответствующих сертификатах.</w:t>
            </w:r>
          </w:p>
        </w:tc>
      </w:tr>
      <w:tr>
        <w:trPr>
          <w:trHeight w:val="619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jc w:val="left"/>
              <w:rPr>
                <w:b w:val="false"/>
                <w:bCs/>
                <w:sz w:val="22"/>
                <w:szCs w:val="22"/>
              </w:rPr>
            </w:pPr>
            <w:r>
              <w:rPr>
                <w:b w:val="false"/>
                <w:bCs/>
                <w:sz w:val="22"/>
                <w:szCs w:val="22"/>
              </w:rPr>
              <w:t>Место поставки продукции</w:t>
            </w:r>
          </w:p>
        </w:tc>
        <w:tc>
          <w:tcPr>
            <w:tcW w:w="1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676730, Амурская область, пгт Талакан, Склад ТМЦ Филиала ПАО «РусГидро» - «Бурейская ГЭС»</w:t>
            </w:r>
          </w:p>
        </w:tc>
      </w:tr>
      <w:tr>
        <w:trPr>
          <w:trHeight w:val="444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jc w:val="left"/>
              <w:rPr>
                <w:b w:val="false"/>
                <w:bCs/>
                <w:sz w:val="22"/>
                <w:szCs w:val="22"/>
              </w:rPr>
            </w:pPr>
            <w:r>
              <w:rPr>
                <w:b w:val="false"/>
                <w:bCs/>
                <w:sz w:val="22"/>
                <w:szCs w:val="22"/>
              </w:rPr>
              <w:t>Условия поставки</w:t>
            </w:r>
          </w:p>
        </w:tc>
        <w:tc>
          <w:tcPr>
            <w:tcW w:w="1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Доставка продукции производится Поставщиком (транспортом поставщика, за его счет) на склад Заказчика</w:t>
            </w:r>
          </w:p>
        </w:tc>
      </w:tr>
      <w:tr>
        <w:trPr>
          <w:trHeight w:val="570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jc w:val="left"/>
              <w:rPr>
                <w:b w:val="false"/>
                <w:bCs/>
                <w:sz w:val="22"/>
                <w:szCs w:val="22"/>
              </w:rPr>
            </w:pPr>
            <w:r>
              <w:rPr>
                <w:b w:val="false"/>
                <w:bCs/>
                <w:sz w:val="22"/>
                <w:szCs w:val="22"/>
              </w:rPr>
              <w:t>Срок поставки</w:t>
            </w:r>
          </w:p>
        </w:tc>
        <w:tc>
          <w:tcPr>
            <w:tcW w:w="1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34" w:leader="none"/>
                <w:tab w:val="left" w:pos="1418" w:leader="none"/>
              </w:tabs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Начало: день, следующий за днем подписания Сторонами договора.</w:t>
            </w:r>
          </w:p>
          <w:p>
            <w:pPr>
              <w:pStyle w:val="Normal"/>
              <w:widowControl w:val="false"/>
              <w:shd w:val="clear" w:color="auto" w:fill="FFFFFF"/>
              <w:tabs>
                <w:tab w:val="clear" w:pos="708"/>
                <w:tab w:val="left" w:pos="1134" w:leader="none"/>
                <w:tab w:val="left" w:pos="1418" w:leader="none"/>
              </w:tabs>
              <w:jc w:val="both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Срок поставки  45 дней.</w:t>
            </w:r>
          </w:p>
        </w:tc>
      </w:tr>
      <w:tr>
        <w:trPr>
          <w:trHeight w:val="1253" w:hRule="atLeast"/>
          <w:cantSplit w:val="true"/>
        </w:trPr>
        <w:tc>
          <w:tcPr>
            <w:tcW w:w="2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jc w:val="left"/>
              <w:rPr>
                <w:b w:val="false"/>
                <w:bCs/>
                <w:sz w:val="22"/>
                <w:szCs w:val="22"/>
              </w:rPr>
            </w:pPr>
            <w:r>
              <w:rPr>
                <w:b w:val="false"/>
                <w:bCs/>
                <w:sz w:val="22"/>
                <w:szCs w:val="22"/>
              </w:rPr>
              <w:t>Гарантийный срок</w:t>
            </w:r>
          </w:p>
        </w:tc>
        <w:tc>
          <w:tcPr>
            <w:tcW w:w="1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contextualSpacing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Поставщик гарантирует соответствие продукции требованиям нормативно-технической документации (конструкторской документации) в течение гарантийного срока, установленного заводом изготовителем, исчисляемого с даты подписания соответствующих актов, товарных накладных (ТОРГ-12), при соблюдении условий транспортирования, правил хранения на складе. При этом гарантийное обслуживание осуществляется специалистами поставщика бесплатно в течение всего указанного гарантийного срока.</w:t>
            </w:r>
          </w:p>
        </w:tc>
      </w:tr>
    </w:tbl>
    <w:p>
      <w:pPr>
        <w:pStyle w:val="Normal"/>
        <w:rPr>
          <w:bCs/>
          <w:color w:val="000000"/>
        </w:rPr>
      </w:pPr>
      <w:r>
        <w:rPr>
          <w:bCs/>
          <w:color w:val="000000"/>
        </w:rPr>
      </w:r>
    </w:p>
    <w:p>
      <w:pPr>
        <w:pStyle w:val="Normal"/>
        <w:rPr/>
      </w:pPr>
      <w:r>
        <w:rPr/>
      </w:r>
    </w:p>
    <w:sectPr>
      <w:type w:val="nextPage"/>
      <w:pgSz w:orient="landscape" w:w="16838" w:h="11906"/>
      <w:pgMar w:left="720" w:right="720" w:gutter="0" w:header="0" w:top="720" w:footer="0" w:bottom="72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552e9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4552e9"/>
    <w:pPr>
      <w:keepNext w:val="true"/>
      <w:jc w:val="center"/>
      <w:outlineLvl w:val="0"/>
    </w:pPr>
    <w:rPr>
      <w:b/>
      <w:sz w:val="24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4552e9"/>
    <w:rPr>
      <w:rFonts w:ascii="Times New Roman" w:hAnsi="Times New Roman" w:eastAsia="Times New Roman" w:cs="Times New Roman"/>
      <w:b/>
      <w:sz w:val="24"/>
      <w:szCs w:val="20"/>
      <w:lang w:eastAsia="ru-RU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7414aa"/>
    <w:rPr>
      <w:rFonts w:ascii="Segoe UI" w:hAnsi="Segoe UI" w:eastAsia="Times New Roman" w:cs="Segoe UI"/>
      <w:sz w:val="18"/>
      <w:szCs w:val="18"/>
      <w:lang w:eastAsia="ru-RU"/>
    </w:rPr>
  </w:style>
  <w:style w:type="character" w:styleId="Style9">
    <w:name w:val="Маркеры"/>
    <w:qFormat/>
    <w:rPr>
      <w:rFonts w:ascii="OpenSymbol" w:hAnsi="OpenSymbol" w:eastAsia="OpenSymbol" w:cs="OpenSymbol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4552e9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BalloonText">
    <w:name w:val="Balloon Text"/>
    <w:basedOn w:val="Normal"/>
    <w:link w:val="Style8"/>
    <w:uiPriority w:val="99"/>
    <w:semiHidden/>
    <w:unhideWhenUsed/>
    <w:qFormat/>
    <w:rsid w:val="007414aa"/>
    <w:pPr/>
    <w:rPr>
      <w:rFonts w:ascii="Segoe UI" w:hAnsi="Segoe UI" w:cs="Segoe UI"/>
      <w:sz w:val="18"/>
      <w:szCs w:val="18"/>
    </w:rPr>
  </w:style>
  <w:style w:type="paragraph" w:styleId="Style12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3" w:customStyle="1">
    <w:name w:val="Заголовок таблицы"/>
    <w:basedOn w:val="Style12"/>
    <w:qFormat/>
    <w:pPr>
      <w:jc w:val="center"/>
    </w:pPr>
    <w:rPr>
      <w:b/>
      <w:bCs/>
    </w:rPr>
  </w:style>
  <w:style w:type="paragraph" w:styleId="Style14" w:customStyle="1">
    <w:name w:val="Текст в заданном формате"/>
    <w:basedOn w:val="Normal"/>
    <w:qFormat/>
    <w:pPr/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42372031971">
    <w:name w:val="42372031971"/>
    <w:qFormat/>
  </w:style>
  <w:style w:type="numbering" w:styleId="41791161231">
    <w:name w:val="41791161231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1030</TotalTime>
  <Application>AlterOffice/2026.2.0.0$Linux_X86_64 LibreOffice_project/bc4ef1adf80b36c7a6365f8ed6cbf29021361edd</Application>
  <AppVersion>15.0000</AppVersion>
  <Pages>2</Pages>
  <Words>234</Words>
  <Characters>1558</Characters>
  <CharactersWithSpaces>1747</CharactersWithSpaces>
  <Paragraphs>51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2023-02-15T02:36:00Z</dcterms:created>
  <dc:creator>Воронина Юлия Викторовна</dc:creator>
  <dc:description/>
  <dc:language>ru-RU</dc:language>
  <cp:lastModifiedBy>karlovvv@corp.gidroogk.com</cp:lastModifiedBy>
  <cp:lastPrinted>2024-10-04T02:27:00Z</cp:lastPrinted>
  <dcterms:modified xsi:type="dcterms:W3CDTF">2026-09-29T09:35:05Z</dcterms:modified>
  <cp:revision>49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