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b/>
          <w:sz w:val="24"/>
          <w:szCs w:val="24"/>
          <w:shd w:fill="auto" w:val="clear"/>
        </w:rPr>
        <w:t xml:space="preserve">ОКПД 2: </w:t>
      </w:r>
      <w:r>
        <w:rPr>
          <w:rStyle w:val="Strong"/>
          <w:sz w:val="24"/>
          <w:szCs w:val="24"/>
          <w:shd w:fill="auto" w:val="clear"/>
        </w:rPr>
        <w:t>27.33.13.130</w:t>
      </w:r>
      <w:r>
        <w:rPr>
          <w:b/>
          <w:sz w:val="24"/>
          <w:szCs w:val="24"/>
          <w:shd w:fill="auto" w:val="clear"/>
        </w:rPr>
        <w:t xml:space="preserve"> </w:t>
      </w:r>
      <w:r>
        <w:rPr>
          <w:b/>
          <w:sz w:val="24"/>
          <w:szCs w:val="24"/>
        </w:rPr>
        <w:t xml:space="preserve">поставка 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муфт для кабелей 6кВ (аварийный запас)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</w:rPr>
      </w:pPr>
      <w:bookmarkStart w:id="0" w:name="_Toc75446566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7"/>
      <w:bookmarkStart w:id="3" w:name="_Toc46743505"/>
      <w:r>
        <w:rPr/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highlight w:val="none"/>
                <w:shd w:fill="auto" w:val="clear"/>
              </w:rPr>
            </w:pPr>
            <w:r>
              <w:rPr>
                <w:iCs/>
                <w:sz w:val="22"/>
                <w:szCs w:val="22"/>
                <w:shd w:fill="auto" w:val="clear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both"/>
              <w:rPr>
                <w:highlight w:val="none"/>
                <w:shd w:fill="auto" w:val="clear"/>
              </w:rPr>
            </w:pPr>
            <w:r>
              <w:rPr>
                <w:iCs/>
                <w:sz w:val="22"/>
                <w:szCs w:val="22"/>
                <w:shd w:fill="auto" w:val="clear"/>
              </w:rPr>
              <w:t>государственный стандарт;</w:t>
            </w:r>
          </w:p>
        </w:tc>
      </w:tr>
    </w:tbl>
    <w:p>
      <w:pPr>
        <w:pStyle w:val="29"/>
        <w:numPr>
          <w:ilvl w:val="0"/>
          <w:numId w:val="0"/>
        </w:numPr>
        <w:ind w:firstLine="709" w:left="0"/>
        <w:rPr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auto"/>
          <w:kern w:val="0"/>
          <w:sz w:val="24"/>
          <w:szCs w:val="24"/>
          <w:lang w:val="ru-RU" w:eastAsia="ru-RU" w:bidi="ar-SA"/>
        </w:rPr>
        <w:t>Аварийный запас</w:t>
      </w:r>
      <w:r>
        <w:rPr>
          <w:rFonts w:eastAsia="Times New Roman" w:cs="Times New Roman"/>
          <w:i/>
          <w:iCs/>
          <w:color w:val="auto"/>
          <w:kern w:val="0"/>
          <w:sz w:val="24"/>
          <w:szCs w:val="24"/>
          <w:lang w:val="ru-RU" w:eastAsia="ru-RU" w:bidi="ar-SA"/>
        </w:rPr>
        <w:t xml:space="preserve"> – запас товарно-материальных средств (оборудования, конструктивных элементов, запасных частей, расходных материалов), предназначенный для предотвращения и устранения последствий аварий (отказов, неисправностей), возникающих в процессе эксплуатации производственных объектов.</w:t>
      </w:r>
    </w:p>
    <w:p>
      <w:pPr>
        <w:pStyle w:val="Heading4"/>
        <w:numPr>
          <w:ilvl w:val="1"/>
          <w:numId w:val="3"/>
        </w:numPr>
        <w:rPr/>
      </w:pPr>
      <w:bookmarkStart w:id="4" w:name="_Toc75446568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b/>
          <w:bCs/>
          <w:sz w:val="24"/>
          <w:szCs w:val="24"/>
          <w:lang w:val="en-US" w:eastAsia="x-none"/>
        </w:rPr>
        <w:t>Соединительная муфта для кабеля 6кВ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 xml:space="preserve">использования закупаемой продукции </w:t>
      </w:r>
      <w:bookmarkEnd w:id="6"/>
      <w:r>
        <w:rPr/>
        <w:t xml:space="preserve"> </w:t>
      </w:r>
    </w:p>
    <w:p>
      <w:pPr>
        <w:pStyle w:val="ConsPlusNormal"/>
        <w:spacing w:before="240" w:after="0"/>
        <w:ind w:firstLine="540" w:left="0"/>
        <w:jc w:val="both"/>
        <w:rPr/>
      </w:pPr>
      <w:r>
        <w:rPr>
          <w:rStyle w:val="Style8"/>
          <w:rFonts w:ascii="Times New Roman" w:hAnsi="Times New Roman"/>
          <w:b w:val="false"/>
          <w:bCs w:val="false"/>
          <w:i/>
          <w:iCs/>
          <w:sz w:val="24"/>
          <w:szCs w:val="24"/>
          <w:shd w:fill="auto" w:val="clear"/>
        </w:rPr>
        <w:t>Закупка осуществляется в целях формирования и поддержания неснижаемого запаса материально технических ресурсов для предотвращения и развития аварийных ситуаций на оборудовании Саяно-Шушенской ГЭС.</w:t>
      </w:r>
    </w:p>
    <w:p>
      <w:pPr>
        <w:pStyle w:val="29"/>
        <w:numPr>
          <w:ilvl w:val="0"/>
          <w:numId w:val="0"/>
        </w:numPr>
        <w:tabs>
          <w:tab w:val="clear" w:pos="1701"/>
          <w:tab w:val="left" w:pos="1418" w:leader="none"/>
        </w:tabs>
        <w:ind w:firstLine="709" w:left="0"/>
        <w:jc w:val="both"/>
        <w:rPr/>
      </w:pPr>
      <w:r>
        <w:rPr>
          <w:rStyle w:val="Style8"/>
          <w:b w:val="false"/>
          <w:bCs w:val="false"/>
          <w:i/>
          <w:iCs/>
          <w:sz w:val="24"/>
          <w:szCs w:val="24"/>
          <w:shd w:fill="auto" w:val="clear"/>
          <w:lang w:val="ru-RU"/>
        </w:rPr>
        <w:t xml:space="preserve">Целью </w:t>
      </w:r>
      <w:r>
        <w:rPr>
          <w:rStyle w:val="Style8"/>
          <w:rFonts w:eastAsia="Times New Roman" w:cs="Arial"/>
          <w:b w:val="false"/>
          <w:bCs w:val="false"/>
          <w:iCs/>
          <w:color w:val="000000"/>
          <w:kern w:val="0"/>
          <w:sz w:val="24"/>
          <w:szCs w:val="24"/>
          <w:shd w:fill="auto" w:val="clear"/>
          <w:lang w:val="ru-RU" w:eastAsia="ru-RU" w:bidi="ar-SA"/>
        </w:rPr>
        <w:t>формирования</w:t>
      </w:r>
      <w:r>
        <w:rPr>
          <w:rStyle w:val="Style8"/>
          <w:b w:val="false"/>
          <w:bCs w:val="false"/>
          <w:i/>
          <w:iCs/>
          <w:sz w:val="24"/>
          <w:szCs w:val="24"/>
          <w:shd w:fill="auto" w:val="clear"/>
          <w:lang w:val="ru-RU"/>
        </w:rPr>
        <w:t xml:space="preserve"> и поддержания АЗ является минимизация ущерба от последствий аварий, повреждений технологического оборудования и сетевых объектов, за счет сокращения времени обеспечения оборудованием, конструктивными элементами и расходными материалами, необходимыми для аварийно-восстановительных работ или работ, направленных на предотвращение возможных аварийных отказов.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8" w:name="_Toc75446573"/>
      <w:bookmarkStart w:id="9" w:name="_Toc51339693"/>
      <w:bookmarkStart w:id="10" w:name="_Toc50125126"/>
      <w:bookmarkStart w:id="11" w:name="_Toc46743510"/>
      <w:bookmarkEnd w:id="10"/>
      <w:bookmarkEnd w:id="11"/>
      <w:r>
        <w:rPr>
          <w:iCs/>
        </w:rPr>
        <w:t>Требования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rPr/>
      </w:pPr>
      <w:bookmarkStart w:id="1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>
      <w:pPr>
        <w:pStyle w:val="Heading3"/>
        <w:numPr>
          <w:ilvl w:val="2"/>
          <w:numId w:val="3"/>
        </w:numPr>
        <w:rPr/>
      </w:pPr>
      <w:bookmarkStart w:id="13" w:name="_Toc75446575"/>
      <w:r>
        <w:rPr>
          <w:lang w:val="ru-RU"/>
        </w:rPr>
        <w:t>Перечень и объем закупаемой продукции</w:t>
      </w:r>
      <w:bookmarkEnd w:id="1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4" w:name="_Toc75446576"/>
      <w:bookmarkStart w:id="1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5"/>
      <w:r>
        <w:rPr>
          <w:sz w:val="24"/>
          <w:szCs w:val="24"/>
          <w:lang w:val="ru-RU"/>
        </w:rPr>
        <w:t>и объем закупаемой продукции</w:t>
      </w:r>
      <w:bookmarkEnd w:id="14"/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5"/>
        <w:gridCol w:w="6140"/>
        <w:gridCol w:w="1427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x-none"/>
              </w:rPr>
              <w:t>Муфта соединительная 6кВ ЗПСТ-6-70/120(Б)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Муфта концевая 6кВ ЗПКТ-6-70/120(Б)</w:t>
            </w:r>
          </w:p>
        </w:tc>
        <w:tc>
          <w:tcPr>
            <w:tcW w:w="1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r>
        <w:rPr>
          <w:lang w:val="ru-RU"/>
        </w:rPr>
        <w:t xml:space="preserve">Требования к срокам поставки продукции 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6" w:name="_Toc75446579"/>
      <w:bookmarkStart w:id="17" w:name="_Toc51339697"/>
      <w:bookmarkStart w:id="18" w:name="_Toc50125127"/>
      <w:bookmarkStart w:id="19" w:name="_Toc50125126_Копия_1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x-none"/>
              </w:rPr>
              <w:t>Муфта соединительная 6кВ ЗПСТ-6-70/120(Б)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 заключения 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Не позднее 30.11.2026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Муфта концевая 6кВ ЗПКТ-6-70/120(Б)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 заключения  договора</w:t>
            </w:r>
          </w:p>
        </w:tc>
        <w:tc>
          <w:tcPr>
            <w:tcW w:w="3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Не позднее 30.11.2026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rPr>
          <w:rFonts w:eastAsia="Calibri"/>
          <w:b/>
          <w:bCs/>
          <w:sz w:val="24"/>
          <w:szCs w:val="24"/>
          <w:lang w:eastAsia="x-none"/>
        </w:rPr>
      </w:pPr>
      <w:r>
        <w:rPr>
          <w:rFonts w:eastAsia="Calibri"/>
          <w:b/>
          <w:bCs/>
          <w:sz w:val="24"/>
          <w:szCs w:val="24"/>
          <w:lang w:eastAsia="x-none"/>
        </w:rPr>
      </w:r>
      <w:r>
        <w:br w:type="page"/>
      </w:r>
    </w:p>
    <w:p>
      <w:pPr>
        <w:pStyle w:val="Heading4"/>
        <w:numPr>
          <w:ilvl w:val="1"/>
          <w:numId w:val="3"/>
        </w:numPr>
        <w:rPr>
          <w:lang w:val="ru-RU"/>
        </w:rPr>
      </w:pPr>
      <w:r>
        <w:rPr>
          <w:lang w:val="ru-RU"/>
        </w:rPr>
        <w:t>Требование к месту поставки</w:t>
      </w:r>
    </w:p>
    <w:p>
      <w:pPr>
        <w:pStyle w:val="Normal"/>
        <w:ind w:hanging="0" w:left="709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2.2.1.   Требование к месту поставки</w:t>
      </w:r>
    </w:p>
    <w:p>
      <w:pPr>
        <w:pStyle w:val="Normal"/>
        <w:ind w:hanging="0" w:left="709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Таблица 2.</w:t>
      </w:r>
      <w:r>
        <w:rPr>
          <w:rFonts w:eastAsia="Calibri"/>
          <w:b/>
          <w:sz w:val="24"/>
          <w:szCs w:val="24"/>
          <w:lang w:val="en-US" w:eastAsia="x-none"/>
        </w:rPr>
        <w:t>2</w:t>
      </w:r>
      <w:r>
        <w:rPr>
          <w:rFonts w:eastAsia="Calibri"/>
          <w:b/>
          <w:sz w:val="24"/>
          <w:szCs w:val="24"/>
          <w:lang w:eastAsia="x-none"/>
        </w:rPr>
        <w:t xml:space="preserve"> Адрес поставки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37"/>
        <w:gridCol w:w="6110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поставки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eastAsia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eastAsia="x-none"/>
              </w:rPr>
              <w:t>Муфта соединительная 6кВ ЗПСТ-6-70/120(Б)</w:t>
            </w:r>
          </w:p>
        </w:tc>
        <w:tc>
          <w:tcPr>
            <w:tcW w:w="6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Склад по адресу: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Российская Федерация, Республика Хакасия, г Саяногорск, п. Черемушки, 106.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ru-RU"/>
              </w:rPr>
              <w:t>Приемка продукции осуществляется только в рабочие дни с 9-00 до 11-00 и с 13-00 до 16-00.</w:t>
            </w:r>
          </w:p>
        </w:tc>
      </w:tr>
      <w:tr>
        <w:trPr/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Муфта концевая 6кВ ЗПКТ-6-70/120(Б)</w:t>
            </w:r>
          </w:p>
        </w:tc>
        <w:tc>
          <w:tcPr>
            <w:tcW w:w="6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Склад по адресу: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Российская Федерация, Республика Хакасия, г Саяногорск, п. Черемушки, 106.</w:t>
            </w:r>
          </w:p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ru-RU"/>
              </w:rPr>
              <w:t>Приемка продукции осуществляется только в рабочие дни с 9-00 до 11-00 и с 13-00 до 16-00.</w:t>
            </w:r>
          </w:p>
        </w:tc>
      </w:tr>
    </w:tbl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Таблица 2.3 Требования по входному контролю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tbl>
      <w:tblPr>
        <w:tblW w:w="952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0"/>
        <w:gridCol w:w="1715"/>
        <w:gridCol w:w="5654"/>
        <w:gridCol w:w="1614"/>
      </w:tblGrid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Покупателя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Участника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1" w:name="_Toc485136135"/>
            <w:bookmarkStart w:id="22" w:name="_Toc3554706"/>
            <w:bookmarkStart w:id="23" w:name="_Toc496695443"/>
            <w:bookmarkStart w:id="24" w:name="_Toc9606245"/>
            <w:bookmarkStart w:id="25" w:name="_Toc40167777"/>
            <w:r>
              <w:rPr>
                <w:sz w:val="24"/>
                <w:szCs w:val="24"/>
              </w:rPr>
              <w:t>Условия поставки</w:t>
            </w:r>
            <w:bookmarkEnd w:id="21"/>
            <w:bookmarkEnd w:id="22"/>
            <w:bookmarkEnd w:id="23"/>
            <w:bookmarkEnd w:id="24"/>
            <w:bookmarkEnd w:id="25"/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 без обязательных сопроводительных документов не принимается, ответственность за его сохранность Покупатель не несет.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Одновременно с передачей Товара Поставщик обязан передать Покупателю оригиналы следующих относящихся к Товару сопроводительных документов: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сертификаты качества;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паспорта на русском языке;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заводские инструкции по эксплуатации на русском языке;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заводские инструкции по монтажу;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документы изготовителя, имеющие отношение к Товару, при их наличии;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 в 1 экз.;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накладная ТОРГ-12/УПД в 2 экз.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транспортировки Товара: погрузка и доставка до склада Покупателя осуществляется силами и средствами Поставщика. Поставщик несет все расходы и риски, связанные с доставкой до пункта назначения.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Полный перечень условий поставки прописан в проекте договора поставки, который является неотъемлемой частью закупочной документации.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6" w:name="_Toc40167778"/>
            <w:bookmarkStart w:id="27" w:name="_Toc9606246"/>
            <w:bookmarkStart w:id="28" w:name="_Toc496695444"/>
            <w:bookmarkStart w:id="29" w:name="_Toc3554707"/>
            <w:bookmarkStart w:id="30" w:name="_Toc470092316"/>
            <w:bookmarkStart w:id="31" w:name="_Toc485136136"/>
            <w:bookmarkStart w:id="32" w:name="_Toc470092453"/>
            <w:r>
              <w:rPr>
                <w:sz w:val="24"/>
                <w:szCs w:val="24"/>
              </w:rPr>
              <w:t>Приемка Товара</w:t>
            </w:r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</w:p>
        </w:tc>
        <w:tc>
          <w:tcPr>
            <w:tcW w:w="5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приемке Товара специалистами Филиала осуществляется внешний осмотр, проверяется сохранность тары и упаковки, наличие сопроводительной документации, удостоверяющей качество, и правильность ее оформления.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обнаружении фактов некомплектности, недопоставки Товара, отсутствия необходимых принадлежностей и / или документов, относящихся к Товару, Покупатель вправе прекратить приемку Товара до момента устранения выявленных нарушений. Поставщик обязан в течение 5 (пяти) календарных дней с даты выявления указанных нарушений представить Покупателю необходимые принадлежности и / или документы, а также восполнить недопоставку Товара в срок, письменно согласованный с Покупателем.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Товара со вскрытием упаковки производится Покупателем в течение 10 (десяти) рабочих дней с даты подписания товарно-транспортной накладной по форме №1-Т. В случае отсутствия замечаний Покупатель подписывает товарную накладную унифицированной формы ТОРГ-12/УПД, либо направляет Поставщику мотивированный отказ.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осуществляется только в рабочие дни с 9-00 до 11-00 и с 13-00 до 16-00.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3" w:name="_Toc51339698"/>
      <w:bookmarkStart w:id="34" w:name="_Toc75446581"/>
      <w:bookmarkStart w:id="35" w:name="_Toc46743511"/>
      <w:r>
        <w:rPr/>
        <w:t xml:space="preserve">Требования к </w:t>
      </w:r>
      <w:bookmarkEnd w:id="35"/>
      <w:r>
        <w:rPr>
          <w:lang w:val="ru-RU"/>
        </w:rPr>
        <w:t>качеству продукции</w:t>
      </w:r>
      <w:bookmarkEnd w:id="3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36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6"/>
      <w:r>
        <w:rPr>
          <w:sz w:val="24"/>
          <w:szCs w:val="24"/>
        </w:rPr>
        <w:t xml:space="preserve"> </w:t>
      </w:r>
      <w:bookmarkEnd w:id="33"/>
    </w:p>
    <w:p>
      <w:pPr>
        <w:pStyle w:val="Normal"/>
        <w:jc w:val="both"/>
        <w:rPr>
          <w:bCs/>
          <w:i/>
          <w:i/>
          <w:sz w:val="24"/>
          <w:szCs w:val="24"/>
          <w:lang w:eastAsia="x-none"/>
        </w:rPr>
      </w:pPr>
      <w:r>
        <w:rPr>
          <w:bCs/>
          <w:i/>
          <w:sz w:val="24"/>
          <w:szCs w:val="24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tbl>
      <w:tblPr>
        <w:tblStyle w:val="af"/>
        <w:tblW w:w="153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0"/>
        <w:gridCol w:w="3119"/>
        <w:gridCol w:w="3504"/>
        <w:gridCol w:w="2100"/>
        <w:gridCol w:w="2944"/>
        <w:gridCol w:w="2837"/>
      </w:tblGrid>
      <w:tr>
        <w:trPr/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11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5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04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8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1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 позиции 1 таблицы 2.1</w:t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eastAsia="Calibri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ЗПСТ-6-70/120(Б)</w:t>
            </w:r>
          </w:p>
        </w:tc>
        <w:tc>
          <w:tcPr>
            <w:tcW w:w="210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напряжения кВ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10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жил, мм²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70 до 120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жил, шт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 позиции 2 таблицы 2.1</w:t>
            </w:r>
          </w:p>
        </w:tc>
        <w:tc>
          <w:tcPr>
            <w:tcW w:w="2100" w:type="dxa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</w:t>
            </w:r>
          </w:p>
        </w:tc>
        <w:tc>
          <w:tcPr>
            <w:tcW w:w="350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rFonts w:eastAsia="Calibri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ЗПКТ-6-70/120(Б)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напряжения кВ</w:t>
            </w:r>
          </w:p>
        </w:tc>
        <w:tc>
          <w:tcPr>
            <w:tcW w:w="350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Сечение жил, мм²</w:t>
            </w:r>
          </w:p>
        </w:tc>
        <w:tc>
          <w:tcPr>
            <w:tcW w:w="350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70 до 120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жил, шт</w:t>
            </w:r>
          </w:p>
        </w:tc>
        <w:tc>
          <w:tcPr>
            <w:tcW w:w="350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>
              <w:top w:val="nil"/>
              <w:right w:val="nil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 позиции 1 таблицы 2.1:</w:t>
            </w:r>
          </w:p>
        </w:tc>
        <w:tc>
          <w:tcPr>
            <w:tcW w:w="2100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Изоляция кабеля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Пластмассовая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 позиции 2 таблицы 2.1: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Изоляция кабеля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Пластмассовая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Рабочий температурный диапазон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От -50 до +50 °С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‍</w:t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эксплуатации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Для в</w:t>
            </w:r>
            <w:r>
              <w:rPr>
                <w:sz w:val="24"/>
                <w:szCs w:val="24"/>
                <w:lang w:val="en-US"/>
              </w:rPr>
              <w:t>нутренней и наружной установки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качеству поставляемой продукции: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новая*, ранее не используемая.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исьменное подтверждение в составе оферты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Год выпуска продукции (оборудования)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ранее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 2026г.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маркировке, упаковке, транспортировке, перемещению, условиям хранения позиции 1 таблицы 2.1: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Транспортная маркировка грузов - по ГОСТ 14192-96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хранения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условий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хранения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 месяцев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Эксплуатация и монтаж оборудования должен соответствовать требованиям Правил технической эксплуатации электрических сетей, Правил организации технического обслуживания и ремонта объектов электроэнергетики, Правил устройств электроустановок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оборудования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эксплуатации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60 месяцев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Гарантии распространяются на все поставляемое оборудование.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позиции 1 таблицы 2.1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Соединительная муфта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болтовые соединители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на муфту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Руководство/инструкция по монтажу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Руководство/инструкция по эксплуатации (в том числе условия хранения)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Спецификация на поставку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9" w:hRule="atLeast"/>
        </w:trPr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позиции 2 таблицы 2.1</w:t>
            </w:r>
          </w:p>
        </w:tc>
        <w:tc>
          <w:tcPr>
            <w:tcW w:w="35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Концевая муфта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Болтовые соединители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 на муфту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Руководство/инструкция по монтажу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Руководство/инструкция по эксплуатации (в том числе условия хранения)</w:t>
            </w:r>
          </w:p>
        </w:tc>
        <w:tc>
          <w:tcPr>
            <w:tcW w:w="210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Спецификация на поставку</w:t>
            </w:r>
          </w:p>
        </w:tc>
        <w:tc>
          <w:tcPr>
            <w:tcW w:w="283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62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параметрам: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службы, не менее, лет</w:t>
            </w:r>
          </w:p>
        </w:tc>
        <w:tc>
          <w:tcPr>
            <w:tcW w:w="35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30</w:t>
            </w:r>
          </w:p>
        </w:tc>
        <w:tc>
          <w:tcPr>
            <w:tcW w:w="210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Указание участником ТХ</w:t>
            </w:r>
          </w:p>
        </w:tc>
        <w:tc>
          <w:tcPr>
            <w:tcW w:w="29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Паспорт</w:t>
            </w:r>
          </w:p>
        </w:tc>
        <w:tc>
          <w:tcPr>
            <w:tcW w:w="283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7" w:name="_Toc75446583"/>
      <w:bookmarkStart w:id="38" w:name="_Toc46743519"/>
      <w:bookmarkStart w:id="39" w:name="_Toc51339699"/>
      <w:bookmarkStart w:id="40" w:name="_Toc53393312"/>
      <w:r>
        <w:rPr>
          <w:lang w:val="ru-RU"/>
        </w:rPr>
        <w:t>Требования к документации по ценообразованию</w:t>
      </w:r>
      <w:bookmarkEnd w:id="40"/>
      <w:r>
        <w:rPr>
          <w:lang w:val="ru-RU"/>
        </w:rPr>
        <w:t xml:space="preserve"> на этапе закупки</w:t>
      </w:r>
      <w:bookmarkEnd w:id="37"/>
      <w:bookmarkEnd w:id="38"/>
      <w:bookmarkEnd w:id="39"/>
    </w:p>
    <w:p>
      <w:pPr>
        <w:pStyle w:val="ListParagraph"/>
        <w:ind w:hanging="0" w:left="567"/>
        <w:rPr>
          <w:i/>
          <w:i/>
          <w:szCs w:val="20"/>
          <w:lang w:eastAsia="x-none"/>
        </w:rPr>
      </w:pPr>
      <w:r>
        <w:rPr>
          <w:i/>
          <w:szCs w:val="20"/>
          <w:lang w:eastAsia="x-none"/>
        </w:rPr>
        <w:t xml:space="preserve">3.1 </w:t>
      </w:r>
      <w:r>
        <w:rPr>
          <w:bCs/>
          <w:i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41" w:name="_Hlk88325985"/>
      <w:r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41"/>
      <w:r>
        <w:rPr>
          <w:bCs/>
          <w:i/>
          <w:iCs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ListParagraph"/>
        <w:ind w:hanging="0" w:left="567"/>
        <w:rPr>
          <w:i/>
          <w:i/>
          <w:szCs w:val="20"/>
          <w:lang w:eastAsia="x-none"/>
        </w:rPr>
      </w:pPr>
      <w:bookmarkStart w:id="42" w:name="_Hlk88327292"/>
      <w:r>
        <w:rPr>
          <w:i/>
          <w:szCs w:val="20"/>
          <w:lang w:eastAsia="x-none"/>
        </w:rPr>
        <w:t>3.2 Дополнительные документы по ценообразованию</w:t>
      </w:r>
      <w:bookmarkEnd w:id="42"/>
      <w:r>
        <w:rPr>
          <w:i/>
          <w:szCs w:val="20"/>
          <w:lang w:eastAsia="x-none"/>
        </w:rPr>
        <w:t xml:space="preserve"> в состав заявки не включаются.</w:t>
      </w:r>
    </w:p>
    <w:p>
      <w:pPr>
        <w:pStyle w:val="ListParagraph"/>
        <w:ind w:hanging="0" w:left="567"/>
        <w:rPr>
          <w:i/>
          <w:i/>
          <w:szCs w:val="20"/>
          <w:lang w:eastAsia="x-none"/>
        </w:rPr>
      </w:pPr>
      <w:r>
        <w:rPr>
          <w:i/>
          <w:szCs w:val="20"/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r>
        <w:rPr>
          <w:lang w:val="ru-RU"/>
        </w:rPr>
        <w:t>Приложения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uppressAutoHyphens w:val="true"/>
        <w:bidi w:val="0"/>
        <w:spacing w:before="120" w:after="120"/>
        <w:ind w:firstLine="567" w:left="0" w:right="0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  <w:lang w:val="en-US" w:eastAsia="x-none"/>
        </w:rPr>
        <w:t xml:space="preserve">Приложение № 1: </w:t>
      </w:r>
      <w:bookmarkStart w:id="43" w:name="_Hlk87532473"/>
      <w:r>
        <w:rPr>
          <w:bCs/>
          <w:i/>
          <w:iCs/>
          <w:sz w:val="24"/>
          <w:szCs w:val="24"/>
          <w:lang w:val="en-US" w:eastAsia="x-none"/>
        </w:rPr>
        <w:t>Требования к оформлению и составлению документации по ценообразованию</w:t>
      </w:r>
      <w:bookmarkEnd w:id="43"/>
      <w:r>
        <w:rPr>
          <w:bCs/>
          <w:i/>
          <w:iCs/>
          <w:sz w:val="24"/>
          <w:szCs w:val="24"/>
          <w:lang w:val="en-US" w:eastAsia="x-none"/>
        </w:rPr>
        <w:t>.</w:t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10"/>
  <w:revisionView w:insDel="0" w:formatting="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e7d4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uiPriority w:val="9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uiPriority w:val="9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rong2">
    <w:name w:val="Strong2"/>
    <w:qFormat/>
    <w:rPr>
      <w:b/>
      <w:bCs/>
    </w:rPr>
  </w:style>
  <w:style w:type="character" w:styleId="Style14">
    <w:name w:val="Символ нумерации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LineNumber">
    <w:name w:val="Line Number"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Знак Знак Знак Знак"/>
    <w:basedOn w:val="Normal"/>
    <w:qFormat/>
    <w:rsid w:val="005e05b1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paragraph" w:styleId="110">
    <w:name w:val="Уровень 1"/>
    <w:basedOn w:val="ListParagraph"/>
    <w:qFormat/>
    <w:pPr>
      <w:numPr>
        <w:ilvl w:val="0"/>
        <w:numId w:val="6"/>
      </w:numPr>
      <w:spacing w:before="360" w:after="240"/>
      <w:contextualSpacing w:val="false"/>
      <w:jc w:val="both"/>
    </w:pPr>
    <w:rPr>
      <w:b/>
      <w:sz w:val="32"/>
    </w:rPr>
  </w:style>
  <w:style w:type="paragraph" w:styleId="29">
    <w:name w:val="Уровень 2"/>
    <w:basedOn w:val="110"/>
    <w:qFormat/>
    <w:pPr>
      <w:numPr>
        <w:ilvl w:val="1"/>
      </w:numPr>
      <w:tabs>
        <w:tab w:val="clear" w:pos="709"/>
        <w:tab w:val="left" w:pos="1701" w:leader="none"/>
      </w:tabs>
      <w:spacing w:before="0" w:after="0"/>
    </w:pPr>
    <w:rPr>
      <w:b w:val="false"/>
      <w:sz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23868141021">
    <w:name w:val="23868141021"/>
    <w:qFormat/>
  </w:style>
  <w:style w:type="numbering" w:styleId="32283569961">
    <w:name w:val="32283569961"/>
    <w:qFormat/>
  </w:style>
  <w:style w:type="numbering" w:styleId="25578804521">
    <w:name w:val="25578804521"/>
    <w:qFormat/>
  </w:style>
  <w:style w:type="numbering" w:styleId="28644899111">
    <w:name w:val="28644899111"/>
    <w:qFormat/>
  </w:style>
  <w:style w:type="numbering" w:styleId="21105339501">
    <w:name w:val="21105339501"/>
    <w:qFormat/>
  </w:style>
  <w:style w:type="numbering" w:styleId="32575093641">
    <w:name w:val="32575093641"/>
    <w:qFormat/>
  </w:style>
  <w:style w:type="numbering" w:styleId="22598446351">
    <w:name w:val="225984463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D2AA7-6B49-4511-A529-DCAD5A6BE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1268</TotalTime>
  <Application>AlterOffice/2026.2.0.0$Linux_X86_64 LibreOffice_project/bc4ef1adf80b36c7a6365f8ed6cbf29021361edd</Application>
  <AppVersion>15.0000</AppVersion>
  <Pages>9</Pages>
  <Words>1314</Words>
  <Characters>8854</Characters>
  <CharactersWithSpaces>9850</CharactersWithSpaces>
  <Paragraphs>307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2023-01-11T07:03:00Z</dcterms:created>
  <dc:creator>Быстров Олег Геннадьевич</dc:creator>
  <dc:description/>
  <dc:language>ru-RU</dc:language>
  <cp:lastModifiedBy>vasilievpi@corp.gidroogk.com</cp:lastModifiedBy>
  <cp:lastPrinted>2006-07-26T14:04:00Z</cp:lastPrinted>
  <dcterms:modified xsi:type="dcterms:W3CDTF">2026-09-21T08:44:51Z</dcterms:modified>
  <cp:revision>238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