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530" w:type="dxa"/>
        <w:jc w:val="left"/>
        <w:tblInd w:w="0" w:type="dxa"/>
        <w:tblBorders/>
        <w:tblCellMar>
          <w:top w:w="0" w:type="dxa"/>
          <w:left w:w="108" w:type="dxa"/>
          <w:bottom w:w="0" w:type="dxa"/>
          <w:right w:w="108" w:type="dxa"/>
        </w:tblCellMar>
        <w:tblLook w:val="0000" w:noVBand="0" w:noHBand="0" w:lastColumn="0" w:firstColumn="0" w:lastRow="0" w:firstRow="0"/>
      </w:tblPr>
      <w:tblGrid>
        <w:gridCol w:w="3507"/>
        <w:gridCol w:w="7022"/>
      </w:tblGrid>
      <w:tr>
        <w:trPr>
          <w:trHeight w:val="798" w:hRule="atLeast"/>
        </w:trPr>
        <w:tc>
          <w:tcPr>
            <w:tcW w:w="3507" w:type="dxa"/>
            <w:tcBorders/>
            <w:shd w:color="auto" w:fill="auto" w:val="clear"/>
          </w:tcPr>
          <w:p>
            <w:pPr>
              <w:pStyle w:val="Normal"/>
              <w:widowControl w:val="false"/>
              <w:tabs>
                <w:tab w:val="left" w:pos="9720" w:leader="none"/>
              </w:tabs>
              <w:spacing w:before="0" w:after="200"/>
              <w:jc w:val="center"/>
              <w:rPr>
                <w:b/>
                <w:b/>
                <w:i/>
                <w:i/>
                <w:sz w:val="26"/>
                <w:szCs w:val="26"/>
              </w:rPr>
            </w:pPr>
            <w:r>
              <w:rPr>
                <w:b/>
                <w:i/>
                <w:sz w:val="26"/>
                <w:szCs w:val="26"/>
              </w:rPr>
            </w:r>
          </w:p>
        </w:tc>
        <w:tc>
          <w:tcPr>
            <w:tcW w:w="7022" w:type="dxa"/>
            <w:tcBorders/>
            <w:shd w:color="auto" w:fill="auto" w:val="clear"/>
          </w:tcPr>
          <w:p>
            <w:pPr>
              <w:pStyle w:val="Normal"/>
              <w:widowControl w:val="false"/>
              <w:tabs>
                <w:tab w:val="left" w:pos="9720" w:leader="none"/>
              </w:tabs>
              <w:spacing w:before="0" w:after="0"/>
              <w:rPr>
                <w:b/>
                <w:b/>
                <w:i/>
                <w:i/>
                <w:sz w:val="26"/>
                <w:szCs w:val="26"/>
              </w:rPr>
            </w:pPr>
            <w:r>
              <w:rPr>
                <w:b/>
                <w:i/>
                <w:sz w:val="26"/>
                <w:szCs w:val="26"/>
              </w:rPr>
            </w:r>
          </w:p>
        </w:tc>
      </w:tr>
    </w:tbl>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tabs>
          <w:tab w:val="left" w:pos="2329" w:leader="none"/>
        </w:tabs>
        <w:rPr>
          <w:rFonts w:cs="Calibri"/>
          <w:b/>
          <w:b/>
        </w:rPr>
      </w:pPr>
      <w:r>
        <w:rPr>
          <w:rFonts w:cs="Calibri"/>
          <w:b/>
        </w:rPr>
      </w:r>
    </w:p>
    <w:p>
      <w:pPr>
        <w:pStyle w:val="Normal"/>
        <w:spacing w:lineRule="auto" w:line="240" w:before="0" w:after="0"/>
        <w:jc w:val="center"/>
        <w:rPr>
          <w:rFonts w:ascii="Times New Roman" w:hAnsi="Times New Roman" w:cs="Times New Roman"/>
          <w:b/>
          <w:b/>
          <w:sz w:val="24"/>
          <w:szCs w:val="26"/>
        </w:rPr>
      </w:pPr>
      <w:r>
        <w:rPr>
          <w:rFonts w:cs="Times New Roman" w:ascii="Times New Roman" w:hAnsi="Times New Roman"/>
          <w:b/>
          <w:sz w:val="24"/>
          <w:szCs w:val="26"/>
        </w:rPr>
        <w:t>Технические требования на выполнение работ</w:t>
      </w:r>
    </w:p>
    <w:p>
      <w:pPr>
        <w:pStyle w:val="Normal"/>
        <w:spacing w:lineRule="auto" w:line="240" w:before="0" w:after="0"/>
        <w:jc w:val="center"/>
        <w:rPr>
          <w:rFonts w:ascii="Times New Roman" w:hAnsi="Times New Roman" w:cs="Times New Roman"/>
          <w:b/>
          <w:b/>
          <w:sz w:val="24"/>
          <w:szCs w:val="26"/>
        </w:rPr>
      </w:pPr>
      <w:r>
        <w:rPr>
          <w:rFonts w:cs="Times New Roman" w:ascii="Times New Roman" w:hAnsi="Times New Roman"/>
          <w:b/>
          <w:sz w:val="24"/>
          <w:szCs w:val="26"/>
        </w:rPr>
      </w:r>
    </w:p>
    <w:p>
      <w:pPr>
        <w:pStyle w:val="Normal"/>
        <w:spacing w:lineRule="auto" w:line="240" w:before="0" w:after="0"/>
        <w:jc w:val="center"/>
        <w:rPr/>
      </w:pPr>
      <w:r>
        <w:rPr>
          <w:rFonts w:cs="Times New Roman" w:ascii="Times New Roman" w:hAnsi="Times New Roman"/>
          <w:b/>
          <w:bCs/>
          <w:i/>
          <w:sz w:val="24"/>
          <w:szCs w:val="24"/>
        </w:rPr>
        <w:t>«</w:t>
      </w:r>
      <w:bookmarkStart w:id="0" w:name="__DdeLink__21453_843265732"/>
      <w:bookmarkStart w:id="1" w:name="__DdeLink__1742_4272245518"/>
      <w:r>
        <w:rPr>
          <w:rFonts w:cs="Times New Roman" w:ascii="Times New Roman" w:hAnsi="Times New Roman"/>
          <w:b/>
          <w:bCs/>
          <w:i/>
          <w:sz w:val="24"/>
          <w:szCs w:val="24"/>
        </w:rPr>
        <w:t xml:space="preserve">ОКПД2 42.22.12.110 </w:t>
      </w:r>
      <w:bookmarkEnd w:id="0"/>
      <w:bookmarkEnd w:id="1"/>
      <w:r>
        <w:rPr>
          <w:rFonts w:cs="Times New Roman" w:ascii="Times New Roman" w:hAnsi="Times New Roman"/>
          <w:b/>
          <w:bCs/>
          <w:i/>
          <w:sz w:val="24"/>
          <w:szCs w:val="24"/>
        </w:rPr>
        <w:t xml:space="preserve">Выполнение проектных, строительно-монтажных работ для технологического присоединения к электрическим сетям заявителя </w:t>
      </w:r>
    </w:p>
    <w:p>
      <w:pPr>
        <w:pStyle w:val="Normal"/>
        <w:spacing w:lineRule="auto" w:line="240" w:before="0" w:after="0"/>
        <w:jc w:val="center"/>
        <w:rPr/>
      </w:pPr>
      <w:r>
        <w:rPr>
          <w:rFonts w:eastAsia="Calibri" w:cs="Times New Roman" w:ascii="Times New Roman" w:hAnsi="Times New Roman"/>
          <w:b/>
          <w:bCs/>
          <w:i/>
          <w:sz w:val="24"/>
          <w:szCs w:val="24"/>
        </w:rPr>
        <w:t>ООО «АвтоСтройГруз» (Q_25-ПЭС-6129 ТП НС) в Приморском крае,</w:t>
      </w:r>
    </w:p>
    <w:p>
      <w:pPr>
        <w:pStyle w:val="Normal"/>
        <w:spacing w:lineRule="auto" w:line="240" w:before="0" w:after="0"/>
        <w:jc w:val="center"/>
        <w:rPr/>
      </w:pPr>
      <w:r>
        <w:rPr>
          <w:rFonts w:eastAsia="Calibri" w:cs="Times New Roman" w:ascii="Times New Roman" w:hAnsi="Times New Roman"/>
          <w:b/>
          <w:bCs/>
          <w:i/>
          <w:sz w:val="24"/>
          <w:szCs w:val="24"/>
        </w:rPr>
        <w:t>Надеждинский р-н, п. Алексеевка»</w:t>
      </w:r>
    </w:p>
    <w:p>
      <w:pPr>
        <w:pStyle w:val="Normal"/>
        <w:spacing w:lineRule="auto" w:line="240" w:before="0" w:after="0"/>
        <w:jc w:val="center"/>
        <w:rPr>
          <w:rFonts w:ascii="Times New Roman" w:hAnsi="Times New Roman" w:cs="Times New Roman"/>
          <w:b/>
          <w:b/>
          <w:bCs/>
          <w:i/>
          <w:i/>
          <w:sz w:val="24"/>
          <w:szCs w:val="24"/>
        </w:rPr>
      </w:pPr>
      <w:r>
        <w:rPr>
          <w:rFonts w:cs="Times New Roman" w:ascii="Times New Roman" w:hAnsi="Times New Roman"/>
          <w:b/>
          <w:bCs/>
          <w:i/>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t>(</w:t>
      </w:r>
      <w:r>
        <w:rPr>
          <w:rFonts w:cs="Times New Roman" w:ascii="Times New Roman" w:hAnsi="Times New Roman"/>
          <w:b/>
          <w:bCs/>
          <w:smallCaps/>
          <w:color w:val="0070C0"/>
          <w:sz w:val="24"/>
          <w:szCs w:val="24"/>
        </w:rPr>
        <w:t xml:space="preserve">ЛОТ </w:t>
      </w:r>
      <w:r>
        <w:rPr>
          <w:rFonts w:cs="Times New Roman" w:ascii="Times New Roman" w:hAnsi="Times New Roman"/>
          <w:b/>
          <w:bCs/>
          <w:color w:val="0070C0"/>
          <w:sz w:val="24"/>
          <w:szCs w:val="24"/>
        </w:rPr>
        <w:t xml:space="preserve">№           </w:t>
      </w:r>
      <w:bookmarkStart w:id="2" w:name="_GoBack"/>
      <w:bookmarkEnd w:id="2"/>
      <w:r>
        <w:rPr>
          <w:rFonts w:cs="Times New Roman" w:ascii="Times New Roman" w:hAnsi="Times New Roman"/>
          <w:b/>
          <w:bCs/>
          <w:color w:val="0070C0"/>
          <w:sz w:val="24"/>
          <w:szCs w:val="24"/>
        </w:rPr>
        <w:t>-КС ПИР СМР-2026-ДРСК-ПЭС</w:t>
      </w:r>
      <w:r>
        <w:rPr>
          <w:rFonts w:cs="Times New Roman" w:ascii="Times New Roman" w:hAnsi="Times New Roman"/>
          <w:b/>
          <w:bCs/>
          <w:sz w:val="24"/>
          <w:szCs w:val="24"/>
        </w:rPr>
        <w:t>)</w:t>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Toaheading"/>
        <w:jc w:val="center"/>
        <w:rPr/>
      </w:pPr>
      <w:bookmarkStart w:id="3" w:name="__DdeLink__2743_4799373611"/>
      <w:bookmarkEnd w:id="3"/>
      <w:r>
        <w:rPr>
          <w:rFonts w:ascii="Times New Roman" w:hAnsi="Times New Roman"/>
          <w:color w:val="000000"/>
          <w:sz w:val="24"/>
          <w:szCs w:val="24"/>
        </w:rPr>
        <w:t>Содержание</w:t>
      </w:r>
    </w:p>
    <w:p>
      <w:pPr>
        <w:pStyle w:val="12"/>
        <w:tabs>
          <w:tab w:val="left" w:pos="560" w:leader="none"/>
          <w:tab w:val="right" w:pos="9355" w:leader="dot"/>
        </w:tabs>
        <w:rPr/>
      </w:pPr>
      <w:hyperlink w:anchor="__RefHeading___Toc3281_2672195666">
        <w:r>
          <w:rPr>
            <w:rStyle w:val="Style28"/>
            <w:b w:val="false"/>
            <w:bCs w:val="false"/>
            <w:color w:val="000000"/>
          </w:rPr>
          <w:t>1. Общие сведения</w:t>
          <w:tab/>
          <w:t>3</w:t>
        </w:r>
      </w:hyperlink>
    </w:p>
    <w:p>
      <w:pPr>
        <w:pStyle w:val="22"/>
        <w:tabs>
          <w:tab w:val="right" w:pos="9355" w:leader="dot"/>
        </w:tabs>
        <w:rPr/>
      </w:pPr>
      <w:hyperlink w:anchor="__RefHeading___Toc3283_2672195666">
        <w:r>
          <w:rPr>
            <w:rStyle w:val="Style28"/>
            <w:color w:val="000000"/>
            <w:szCs w:val="24"/>
          </w:rPr>
          <w:t>1.1. Обозначения и сокращения в электроэнергетике</w:t>
          <w:tab/>
          <w:t>3</w:t>
        </w:r>
      </w:hyperlink>
    </w:p>
    <w:p>
      <w:pPr>
        <w:pStyle w:val="22"/>
        <w:tabs>
          <w:tab w:val="right" w:pos="9355" w:leader="dot"/>
        </w:tabs>
        <w:rPr/>
      </w:pPr>
      <w:hyperlink w:anchor="__RefHeading___Toc3285_2672195666">
        <w:r>
          <w:rPr>
            <w:rStyle w:val="Style28"/>
            <w:color w:val="000000"/>
            <w:szCs w:val="24"/>
          </w:rPr>
          <w:t>1.2. Наименование закупаемых работ.</w:t>
          <w:tab/>
          <w:t>4</w:t>
        </w:r>
      </w:hyperlink>
    </w:p>
    <w:p>
      <w:pPr>
        <w:pStyle w:val="22"/>
        <w:tabs>
          <w:tab w:val="right" w:pos="9355" w:leader="dot"/>
        </w:tabs>
        <w:rPr/>
      </w:pPr>
      <w:hyperlink w:anchor="__RefHeading___Toc3287_2672195666">
        <w:r>
          <w:rPr>
            <w:rStyle w:val="Style28"/>
            <w:color w:val="000000"/>
            <w:szCs w:val="24"/>
          </w:rPr>
          <w:t>1.3. Цели и задачи.</w:t>
          <w:tab/>
          <w:t>4</w:t>
        </w:r>
      </w:hyperlink>
    </w:p>
    <w:p>
      <w:pPr>
        <w:pStyle w:val="31"/>
        <w:tabs>
          <w:tab w:val="left" w:pos="1120" w:leader="none"/>
          <w:tab w:val="right" w:pos="9355" w:leader="dot"/>
        </w:tabs>
        <w:rPr/>
      </w:pPr>
      <w:hyperlink w:anchor="__RefHeading___Toc3671_2672195666">
        <w:r>
          <w:rPr>
            <w:rStyle w:val="Style28"/>
            <w:color w:val="000000"/>
            <w:sz w:val="24"/>
            <w:szCs w:val="24"/>
          </w:rPr>
          <w:t>Таблица 1. Перечень объектов заказчика</w:t>
          <w:tab/>
          <w:t>4</w:t>
        </w:r>
      </w:hyperlink>
    </w:p>
    <w:p>
      <w:pPr>
        <w:pStyle w:val="12"/>
        <w:tabs>
          <w:tab w:val="left" w:pos="560" w:leader="none"/>
          <w:tab w:val="right" w:pos="9355" w:leader="dot"/>
        </w:tabs>
        <w:rPr/>
      </w:pPr>
      <w:hyperlink w:anchor="__RefHeading___Toc3289_2672195666">
        <w:r>
          <w:rPr>
            <w:rStyle w:val="Style28"/>
            <w:b w:val="false"/>
            <w:bCs w:val="false"/>
            <w:color w:val="000000"/>
          </w:rPr>
          <w:t>2. Требования к продукции</w:t>
          <w:tab/>
          <w:t>5</w:t>
        </w:r>
      </w:hyperlink>
    </w:p>
    <w:p>
      <w:pPr>
        <w:pStyle w:val="22"/>
        <w:tabs>
          <w:tab w:val="right" w:pos="9355" w:leader="dot"/>
        </w:tabs>
        <w:rPr/>
      </w:pPr>
      <w:hyperlink w:anchor="__RefHeading___Toc3673_2672195666">
        <w:r>
          <w:rPr>
            <w:rStyle w:val="Style28"/>
            <w:color w:val="000000"/>
            <w:szCs w:val="24"/>
          </w:rPr>
          <w:t>2.1. Требования к объемам и срокам выполнения работ</w:t>
          <w:tab/>
          <w:t>5</w:t>
        </w:r>
      </w:hyperlink>
    </w:p>
    <w:p>
      <w:pPr>
        <w:pStyle w:val="22"/>
        <w:tabs>
          <w:tab w:val="right" w:pos="9355" w:leader="dot"/>
        </w:tabs>
        <w:rPr/>
      </w:pPr>
      <w:hyperlink w:anchor="__RefHeading___Toc3675_2672195666">
        <w:r>
          <w:rPr>
            <w:rStyle w:val="Style28"/>
            <w:color w:val="000000"/>
            <w:szCs w:val="24"/>
          </w:rPr>
          <w:t>2.1.1. Требования к видам и объемам работ</w:t>
          <w:tab/>
          <w:t>5</w:t>
        </w:r>
      </w:hyperlink>
    </w:p>
    <w:p>
      <w:pPr>
        <w:pStyle w:val="31"/>
        <w:tabs>
          <w:tab w:val="left" w:pos="1120" w:leader="none"/>
          <w:tab w:val="right" w:pos="9355" w:leader="dot"/>
        </w:tabs>
        <w:rPr/>
      </w:pPr>
      <w:hyperlink w:anchor="__RefHeading___Toc3677_2672195666">
        <w:r>
          <w:rPr>
            <w:rStyle w:val="Style28"/>
            <w:color w:val="000000"/>
            <w:sz w:val="24"/>
            <w:szCs w:val="24"/>
          </w:rPr>
          <w:t>Таблица 2. Перечень и объем выполняемых работ</w:t>
          <w:tab/>
          <w:t>5</w:t>
        </w:r>
      </w:hyperlink>
    </w:p>
    <w:p>
      <w:pPr>
        <w:pStyle w:val="22"/>
        <w:tabs>
          <w:tab w:val="right" w:pos="9355" w:leader="dot"/>
        </w:tabs>
        <w:rPr/>
      </w:pPr>
      <w:hyperlink w:anchor="__RefHeading___Toc3679_2672195666">
        <w:r>
          <w:rPr>
            <w:rStyle w:val="Style28"/>
            <w:color w:val="000000"/>
            <w:szCs w:val="24"/>
          </w:rPr>
          <w:t>2.1.2. Требования к срокам выполнения работ</w:t>
          <w:tab/>
        </w:r>
      </w:hyperlink>
      <w:r>
        <w:rPr>
          <w:color w:val="000000"/>
          <w:szCs w:val="24"/>
        </w:rPr>
        <w:t>7</w:t>
      </w:r>
    </w:p>
    <w:p>
      <w:pPr>
        <w:pStyle w:val="31"/>
        <w:tabs>
          <w:tab w:val="left" w:pos="1120" w:leader="none"/>
          <w:tab w:val="right" w:pos="9355" w:leader="dot"/>
        </w:tabs>
        <w:rPr/>
      </w:pPr>
      <w:hyperlink w:anchor="__RefHeading___Toc9124_2185547740">
        <w:r>
          <w:rPr>
            <w:rStyle w:val="Style28"/>
            <w:color w:val="000000"/>
            <w:sz w:val="24"/>
            <w:szCs w:val="24"/>
          </w:rPr>
          <w:t>Таблица 3. Требования по срокам выполнения работ</w:t>
          <w:tab/>
          <w:t>7</w:t>
        </w:r>
      </w:hyperlink>
    </w:p>
    <w:p>
      <w:pPr>
        <w:pStyle w:val="22"/>
        <w:tabs>
          <w:tab w:val="right" w:pos="9355" w:leader="dot"/>
        </w:tabs>
        <w:rPr/>
      </w:pPr>
      <w:hyperlink w:anchor="__RefHeading___Toc3681_2672195666">
        <w:r>
          <w:rPr>
            <w:rStyle w:val="Style28"/>
            <w:color w:val="000000"/>
            <w:szCs w:val="24"/>
          </w:rPr>
          <w:t>2.2. Требования к качеству работ</w:t>
          <w:tab/>
          <w:t>8</w:t>
        </w:r>
      </w:hyperlink>
    </w:p>
    <w:p>
      <w:pPr>
        <w:pStyle w:val="31"/>
        <w:tabs>
          <w:tab w:val="left" w:pos="1120" w:leader="none"/>
          <w:tab w:val="right" w:pos="9355" w:leader="dot"/>
        </w:tabs>
        <w:rPr/>
      </w:pPr>
      <w:hyperlink w:anchor="__RefHeading___Toc3683_2672195666">
        <w:r>
          <w:rPr>
            <w:rStyle w:val="Style28"/>
            <w:color w:val="000000"/>
            <w:sz w:val="24"/>
            <w:szCs w:val="24"/>
          </w:rPr>
          <w:t>Таблица 4. Требования к качеству работ</w:t>
          <w:tab/>
          <w:t>8</w:t>
        </w:r>
      </w:hyperlink>
    </w:p>
    <w:p>
      <w:pPr>
        <w:pStyle w:val="12"/>
        <w:tabs>
          <w:tab w:val="left" w:pos="560" w:leader="none"/>
          <w:tab w:val="right" w:pos="9355" w:leader="dot"/>
        </w:tabs>
        <w:rPr/>
      </w:pPr>
      <w:hyperlink w:anchor="__RefHeading___Toc3291_2672195666">
        <w:r>
          <w:rPr>
            <w:rStyle w:val="Style28"/>
            <w:b w:val="false"/>
            <w:bCs w:val="false"/>
            <w:color w:val="000000"/>
          </w:rPr>
          <w:t>3. Требования к документации по ценообразованию на этапе закупки</w:t>
          <w:tab/>
        </w:r>
      </w:hyperlink>
      <w:r>
        <w:rPr>
          <w:rStyle w:val="Style28"/>
          <w:b w:val="false"/>
          <w:bCs w:val="false"/>
          <w:color w:val="000000"/>
        </w:rPr>
        <w:t>2</w:t>
      </w:r>
      <w:r>
        <w:rPr>
          <w:b w:val="false"/>
          <w:bCs w:val="false"/>
          <w:color w:val="000000"/>
        </w:rPr>
        <w:t>5</w:t>
      </w:r>
    </w:p>
    <w:p>
      <w:pPr>
        <w:pStyle w:val="12"/>
        <w:tabs>
          <w:tab w:val="left" w:pos="560" w:leader="none"/>
          <w:tab w:val="right" w:pos="9355" w:leader="dot"/>
        </w:tabs>
        <w:rPr/>
      </w:pPr>
      <w:hyperlink w:anchor="__RefHeading___Toc3293_2672195666">
        <w:r>
          <w:rPr>
            <w:rStyle w:val="Style28"/>
            <w:b w:val="false"/>
            <w:bCs w:val="false"/>
            <w:color w:val="000000"/>
          </w:rPr>
          <w:t>4. Требования к документации по ценообразованию на этапе заключения (исполнения) договора</w:t>
          <w:tab/>
        </w:r>
      </w:hyperlink>
      <w:r>
        <w:rPr>
          <w:rStyle w:val="Style28"/>
          <w:b w:val="false"/>
          <w:bCs w:val="false"/>
          <w:color w:val="000000"/>
        </w:rPr>
        <w:t>2</w:t>
      </w:r>
      <w:r>
        <w:rPr>
          <w:b w:val="false"/>
          <w:bCs w:val="false"/>
          <w:color w:val="000000"/>
        </w:rPr>
        <w:t>5</w:t>
      </w:r>
    </w:p>
    <w:p>
      <w:pPr>
        <w:pStyle w:val="12"/>
        <w:tabs>
          <w:tab w:val="left" w:pos="560" w:leader="none"/>
          <w:tab w:val="right" w:pos="9355" w:leader="dot"/>
        </w:tabs>
        <w:spacing w:before="0" w:after="200"/>
        <w:jc w:val="center"/>
        <w:rPr/>
      </w:pPr>
      <w:hyperlink w:anchor="__RefHeading___Toc9122_2185547740">
        <w:r>
          <w:rPr>
            <w:rStyle w:val="Style28"/>
            <w:rFonts w:eastAsia="Calibri" w:cs="Times New Roman"/>
            <w:b w:val="false"/>
            <w:bCs w:val="false"/>
            <w:color w:val="000000"/>
          </w:rPr>
          <w:t>5. Приложения</w:t>
          <w:tab/>
        </w:r>
      </w:hyperlink>
      <w:r>
        <w:rPr>
          <w:rStyle w:val="Style28"/>
          <w:rFonts w:eastAsia="Calibri" w:cs="Times New Roman"/>
          <w:b w:val="false"/>
          <w:bCs w:val="false"/>
          <w:color w:val="000000"/>
        </w:rPr>
        <w:t>2</w:t>
      </w:r>
      <w:r>
        <w:rPr>
          <w:rFonts w:eastAsia="Calibri" w:cs="Times New Roman"/>
          <w:b w:val="false"/>
          <w:bCs w:val="false"/>
          <w:color w:val="000000"/>
        </w:rPr>
        <w:t>5</w:t>
      </w:r>
    </w:p>
    <w:p>
      <w:pPr>
        <w:pStyle w:val="Normal"/>
        <w:spacing w:before="0" w:after="0"/>
        <w:jc w:val="center"/>
        <w:rPr>
          <w:rFonts w:ascii="Times New Roman" w:hAnsi="Times New Roman" w:cs="Times New Roman"/>
          <w:b/>
          <w:b/>
          <w:color w:val="333333"/>
          <w:sz w:val="24"/>
          <w:szCs w:val="24"/>
        </w:rPr>
      </w:pPr>
      <w:r>
        <w:rPr>
          <w:rFonts w:cs="Times New Roman" w:ascii="Times New Roman" w:hAnsi="Times New Roman"/>
          <w:b/>
          <w:color w:val="333333"/>
          <w:sz w:val="24"/>
          <w:szCs w:val="24"/>
        </w:rPr>
      </w:r>
    </w:p>
    <w:p>
      <w:pPr>
        <w:pStyle w:val="Normal"/>
        <w:spacing w:before="0" w:after="0"/>
        <w:jc w:val="center"/>
        <w:rPr>
          <w:rFonts w:ascii="Times New Roman" w:hAnsi="Times New Roman" w:cs="Times New Roman"/>
          <w:b/>
          <w:b/>
          <w:color w:val="333333"/>
          <w:sz w:val="24"/>
          <w:szCs w:val="24"/>
        </w:rPr>
      </w:pPr>
      <w:bookmarkStart w:id="4" w:name="__DdeLink__2743_47993736111"/>
      <w:bookmarkStart w:id="5" w:name="__DdeLink__2743_47993736111"/>
      <w:bookmarkEnd w:id="5"/>
      <w:r>
        <w:rPr>
          <w:rFonts w:cs="Times New Roman" w:ascii="Times New Roman" w:hAnsi="Times New Roman"/>
          <w:b/>
          <w:color w:val="333333"/>
          <w:sz w:val="24"/>
          <w:szCs w:val="24"/>
        </w:rPr>
      </w:r>
    </w:p>
    <w:p>
      <w:pPr>
        <w:pStyle w:val="Normal"/>
        <w:keepNext w:val="true"/>
        <w:keepLines/>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spacing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keepNext w:val="true"/>
        <w:numPr>
          <w:ilvl w:val="0"/>
          <w:numId w:val="0"/>
        </w:numPr>
        <w:spacing w:lineRule="auto" w:line="240" w:before="120" w:after="60"/>
        <w:ind w:left="432" w:hanging="432"/>
        <w:jc w:val="center"/>
        <w:outlineLvl w:val="3"/>
        <w:rPr>
          <w:rFonts w:ascii="Times New Roman" w:hAnsi="Times New Roman" w:cs="Times New Roman"/>
          <w:b/>
          <w:b/>
          <w:bCs/>
          <w:sz w:val="28"/>
          <w:szCs w:val="28"/>
          <w:lang w:val="x-none" w:eastAsia="x-none"/>
        </w:rPr>
      </w:pPr>
      <w:bookmarkStart w:id="6" w:name="_Toc54643122"/>
      <w:bookmarkEnd w:id="6"/>
      <w:r>
        <w:rPr>
          <w:rFonts w:cs="Times New Roman" w:ascii="Times New Roman" w:hAnsi="Times New Roman"/>
          <w:b/>
          <w:bCs/>
          <w:sz w:val="28"/>
          <w:szCs w:val="28"/>
          <w:lang w:val="x-none" w:eastAsia="x-none"/>
        </w:rPr>
        <w:t>1.</w:t>
        <w:tab/>
        <w:t>Общие сведения</w:t>
      </w:r>
    </w:p>
    <w:p>
      <w:pPr>
        <w:pStyle w:val="Normal"/>
        <w:keepNext w:val="true"/>
        <w:numPr>
          <w:ilvl w:val="0"/>
          <w:numId w:val="0"/>
        </w:numPr>
        <w:spacing w:lineRule="auto" w:line="240" w:before="120" w:after="60"/>
        <w:ind w:left="432" w:hanging="432"/>
        <w:jc w:val="both"/>
        <w:outlineLvl w:val="3"/>
        <w:rPr>
          <w:rFonts w:ascii="Times New Roman" w:hAnsi="Times New Roman" w:cs="Times New Roman"/>
          <w:b/>
          <w:b/>
          <w:bCs/>
          <w:sz w:val="24"/>
          <w:szCs w:val="24"/>
          <w:lang w:val="x-none" w:eastAsia="x-none"/>
        </w:rPr>
      </w:pPr>
      <w:bookmarkStart w:id="7" w:name="_Toc54646396"/>
      <w:bookmarkStart w:id="8" w:name="_Toc46743505"/>
      <w:bookmarkStart w:id="9" w:name="_Toc546431221"/>
      <w:bookmarkEnd w:id="9"/>
      <w:r>
        <w:rPr>
          <w:rFonts w:cs="Times New Roman" w:ascii="Times New Roman" w:hAnsi="Times New Roman"/>
          <w:b/>
          <w:bCs/>
          <w:sz w:val="24"/>
          <w:szCs w:val="24"/>
          <w:lang w:eastAsia="x-none"/>
        </w:rPr>
        <w:t xml:space="preserve">1.1. </w:t>
      </w:r>
      <w:r>
        <w:rPr>
          <w:rFonts w:cs="Times New Roman" w:ascii="Times New Roman" w:hAnsi="Times New Roman"/>
          <w:b/>
          <w:bCs/>
          <w:sz w:val="24"/>
          <w:szCs w:val="24"/>
          <w:lang w:val="x-none" w:eastAsia="x-none"/>
        </w:rPr>
        <w:t>Обозначения и сокращения</w:t>
      </w:r>
      <w:bookmarkEnd w:id="7"/>
      <w:bookmarkEnd w:id="8"/>
      <w:r>
        <w:rPr>
          <w:rFonts w:cs="Times New Roman" w:ascii="Times New Roman" w:hAnsi="Times New Roman"/>
          <w:b/>
          <w:bCs/>
          <w:sz w:val="24"/>
          <w:szCs w:val="24"/>
          <w:lang w:eastAsia="x-none"/>
        </w:rPr>
        <w:t xml:space="preserve"> </w:t>
      </w:r>
      <w:r>
        <w:rPr>
          <w:rFonts w:cs="Times New Roman" w:ascii="Times New Roman" w:hAnsi="Times New Roman"/>
          <w:b/>
          <w:bCs/>
          <w:sz w:val="24"/>
          <w:szCs w:val="24"/>
          <w:lang w:val="x-none" w:eastAsia="x-none"/>
        </w:rPr>
        <w:t>в электроэнергетике</w:t>
      </w:r>
    </w:p>
    <w:tbl>
      <w:tblPr>
        <w:tblW w:w="9783"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5" w:type="dxa"/>
        </w:tblCellMar>
        <w:tblLook w:val="04a0" w:noVBand="1" w:noHBand="0" w:lastColumn="0" w:firstColumn="1" w:lastRow="0" w:firstRow="1"/>
      </w:tblPr>
      <w:tblGrid>
        <w:gridCol w:w="1785"/>
        <w:gridCol w:w="7997"/>
      </w:tblGrid>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rStyle w:val="Style26"/>
                <w:bCs/>
                <w:iCs/>
                <w:sz w:val="22"/>
                <w:szCs w:val="22"/>
              </w:rPr>
            </w:pPr>
            <w:r>
              <w:rPr>
                <w:color w:val="2D2D2D"/>
                <w:spacing w:val="2"/>
                <w:sz w:val="22"/>
                <w:szCs w:val="22"/>
                <w:shd w:fill="FFFFFF" w:val="clear"/>
                <w:lang w:val="sah-RU"/>
              </w:rPr>
              <w:t>РФ</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rStyle w:val="Style26"/>
                <w:bCs/>
                <w:i w:val="false"/>
                <w:i w:val="false"/>
                <w:iCs/>
                <w:sz w:val="22"/>
                <w:szCs w:val="22"/>
              </w:rPr>
            </w:pPr>
            <w:r>
              <w:rPr>
                <w:bCs/>
                <w:color w:val="2D2D2D"/>
                <w:spacing w:val="2"/>
                <w:sz w:val="22"/>
                <w:szCs w:val="22"/>
                <w:shd w:fill="FFFFFF" w:val="clear"/>
                <w:lang w:val="sah-RU"/>
              </w:rPr>
              <w:t>Российская Федерация;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КПТ</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кадастровый план территории;</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ЕГРН</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Единый государственный реестр недвижимости</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ПСД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Проектно-сметная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Проектная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рабочая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en-US"/>
              </w:rPr>
            </w:pPr>
            <w:r>
              <w:rPr>
                <w:color w:val="2D2D2D"/>
                <w:spacing w:val="2"/>
                <w:sz w:val="22"/>
                <w:szCs w:val="22"/>
                <w:shd w:fill="FFFFFF" w:val="clear"/>
                <w:lang w:val="sah-RU"/>
              </w:rPr>
              <w:t>ТТ</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технические требования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ТУ</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техническое условия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ВЛ</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воздушная линия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КЛ</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кабельная линия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ЛЭП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линия электропередач</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ПС</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подстанция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Трансформаторная подстанция / трансформаторный 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РТП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распределительный трансформаторный 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ИРД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исходно-разрешительная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НТД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нормативно-техническая документация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НПА</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нормативно-правовой акт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РЭС</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районные электрические сети</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струтурное подразделение филиала АО “ДРСК”</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ПУЭ</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Правила устройства электроустановок</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ПОТЭЭУ</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Правила по охране турда при эксплуатации электроустановок</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МО</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Муниципальное образование</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ГОСТ</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Государственный стандарт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СПиП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Строительные нормы и правила</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Свод правил</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СРО</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саморегулируемая организация</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кВ</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единица измерения напряжения киловольт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кВт</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lang w:val="sah-RU"/>
              </w:rPr>
            </w:pPr>
            <w:r>
              <w:rPr>
                <w:color w:val="2D2D2D"/>
                <w:spacing w:val="2"/>
                <w:sz w:val="22"/>
                <w:szCs w:val="22"/>
                <w:shd w:fill="FFFFFF" w:val="clear"/>
                <w:lang w:val="sah-RU"/>
              </w:rPr>
              <w:t>единица измерения мощности киловатт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ЛСР</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локальный сметный расчет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ЗУ</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земельный участок</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ПУД</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правоустанавливающий документ</w:t>
            </w:r>
          </w:p>
        </w:tc>
      </w:tr>
      <w:tr>
        <w:trPr>
          <w:trHeight w:val="281" w:hRule="atLeast"/>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РП</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spacing w:lineRule="auto" w:line="240"/>
              <w:ind w:left="-851" w:firstLine="851"/>
              <w:jc w:val="both"/>
              <w:rPr>
                <w:color w:val="2D2D2D"/>
                <w:spacing w:val="2"/>
                <w:sz w:val="22"/>
                <w:szCs w:val="22"/>
                <w:highlight w:val="white"/>
              </w:rPr>
            </w:pPr>
            <w:r>
              <w:rPr>
                <w:sz w:val="22"/>
              </w:rPr>
              <w:t>распределительный</w:t>
            </w:r>
            <w:r>
              <w:rPr/>
              <w:t xml:space="preserve"> </w:t>
            </w:r>
            <w:r>
              <w:rPr>
                <w:sz w:val="22"/>
              </w:rPr>
              <w:t>пункт</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ГНБ</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горизонтально-направленное бурение</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АИИС</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автоматизированная информационно-измерительная система</w:t>
            </w:r>
          </w:p>
        </w:tc>
      </w:tr>
      <w:tr>
        <w:trPr>
          <w:cantSplit w:val="true"/>
        </w:trPr>
        <w:tc>
          <w:tcPr>
            <w:tcW w:w="17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КУЭ</w:t>
            </w:r>
          </w:p>
        </w:tc>
        <w:tc>
          <w:tcPr>
            <w:tcW w:w="7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Spacing"/>
              <w:widowControl w:val="false"/>
              <w:ind w:left="-851" w:firstLine="851"/>
              <w:jc w:val="both"/>
              <w:rPr>
                <w:color w:val="2D2D2D"/>
                <w:spacing w:val="2"/>
                <w:sz w:val="22"/>
                <w:szCs w:val="22"/>
                <w:highlight w:val="white"/>
              </w:rPr>
            </w:pPr>
            <w:r>
              <w:rPr>
                <w:color w:val="2D2D2D"/>
                <w:spacing w:val="2"/>
                <w:sz w:val="22"/>
                <w:szCs w:val="22"/>
                <w:shd w:fill="FFFFFF" w:val="clear"/>
              </w:rPr>
              <w:t>коммерческий учёт энергоресурсов</w:t>
            </w:r>
          </w:p>
        </w:tc>
      </w:tr>
    </w:tbl>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pPr>
      <w:r>
        <w:rPr>
          <w:rFonts w:eastAsia="Times New Roman" w:cs="Times New Roman" w:ascii="Times New Roman" w:hAnsi="Times New Roman"/>
          <w:b/>
          <w:bCs/>
          <w:sz w:val="24"/>
          <w:szCs w:val="24"/>
          <w:lang w:eastAsia="ru-RU"/>
        </w:rPr>
        <w:t>1.2. Наименование закупаемых работ.</w:t>
      </w:r>
    </w:p>
    <w:p>
      <w:pPr>
        <w:pStyle w:val="Normal"/>
        <w:spacing w:lineRule="auto" w:line="240" w:before="0" w:after="0"/>
        <w:ind w:firstLine="426"/>
        <w:jc w:val="both"/>
        <w:rPr/>
      </w:pPr>
      <w:r>
        <w:rPr>
          <w:rFonts w:cs="Times New Roman" w:ascii="Times New Roman" w:hAnsi="Times New Roman"/>
          <w:b w:val="false"/>
          <w:bCs w:val="false"/>
          <w:i w:val="false"/>
          <w:iCs w:val="false"/>
          <w:color w:val="00000A"/>
          <w:sz w:val="24"/>
          <w:szCs w:val="24"/>
        </w:rPr>
        <w:t>«ОКПД2 42.22.12.110 Выполнение проектных, строительно-монтажных работ для технологического присоединения к электрическим сетям заявителя</w:t>
        <w:br/>
      </w:r>
      <w:r>
        <w:rPr>
          <w:rFonts w:eastAsia="Calibri" w:cs="Times New Roman" w:ascii="Times New Roman" w:hAnsi="Times New Roman"/>
          <w:b w:val="false"/>
          <w:bCs w:val="false"/>
          <w:i w:val="false"/>
          <w:iCs w:val="false"/>
          <w:color w:val="00000A"/>
          <w:sz w:val="24"/>
          <w:szCs w:val="24"/>
        </w:rPr>
        <w:t xml:space="preserve">ООО «АвтоСтройГруз» (Q_25-ПЭС-6129 ТП НС) в Приморском крае, </w:t>
      </w:r>
      <w:r>
        <w:rPr>
          <w:rFonts w:eastAsia="Calibri" w:cs="Times New Roman" w:ascii="Times New Roman" w:hAnsi="Times New Roman"/>
          <w:b w:val="false"/>
          <w:bCs w:val="false"/>
          <w:i w:val="false"/>
          <w:iCs w:val="false"/>
          <w:color w:val="00000A"/>
          <w:sz w:val="24"/>
          <w:szCs w:val="24"/>
          <w:lang w:val="ru-RU" w:eastAsia="en-US" w:bidi="ar-SA"/>
        </w:rPr>
        <w:t>Надеждинский р-н, п. Алексеевка»</w:t>
      </w:r>
    </w:p>
    <w:p>
      <w:pPr>
        <w:pStyle w:val="Style43"/>
        <w:spacing w:lineRule="auto" w:line="276"/>
        <w:jc w:val="both"/>
        <w:rPr/>
      </w:pPr>
      <w:r>
        <w:rPr>
          <w:rStyle w:val="Strong"/>
        </w:rPr>
        <w:tab/>
        <w:t>Заказчик</w:t>
      </w:r>
      <w:r>
        <w:rPr>
          <w:rStyle w:val="Strong"/>
          <w:lang w:val="sah-RU"/>
        </w:rPr>
        <w:t xml:space="preserve"> (подразделение Заказчика): </w:t>
      </w:r>
      <w:r>
        <w:rPr>
          <w:rFonts w:eastAsia="Calibri"/>
        </w:rPr>
        <w:t xml:space="preserve">филиал АО «ДРСК» Приморские электрические сети. </w:t>
      </w:r>
    </w:p>
    <w:p>
      <w:pPr>
        <w:pStyle w:val="NoSpacing"/>
        <w:spacing w:lineRule="auto" w:line="276"/>
        <w:ind w:hanging="0"/>
        <w:jc w:val="both"/>
        <w:rPr/>
      </w:pPr>
      <w:r>
        <w:rPr/>
        <w:tab/>
        <w:t>Адрес филиала: г. Владивосток, ул. Командорская, 13А.</w:t>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 xml:space="preserve">1.3. Цели и задачи. </w:t>
      </w:r>
    </w:p>
    <w:p>
      <w:pPr>
        <w:pStyle w:val="Normal"/>
        <w:tabs>
          <w:tab w:val="left" w:pos="567" w:leader="none"/>
        </w:tabs>
        <w:spacing w:lineRule="auto" w:line="240" w:before="0" w:after="0"/>
        <w:jc w:val="both"/>
        <w:rPr/>
      </w:pPr>
      <w:r>
        <w:rPr>
          <w:rFonts w:eastAsia="Times New Roman" w:cs="Times New Roman" w:ascii="Times New Roman" w:hAnsi="Times New Roman"/>
          <w:b/>
          <w:sz w:val="24"/>
          <w:szCs w:val="24"/>
          <w:lang w:eastAsia="ru-RU"/>
        </w:rPr>
        <w:t>1</w:t>
      </w:r>
      <w:r>
        <w:rPr>
          <w:rFonts w:eastAsia="Times New Roman" w:cs="Times New Roman" w:ascii="Times New Roman" w:hAnsi="Times New Roman"/>
          <w:b/>
          <w:color w:val="000000" w:themeColor="text1"/>
          <w:sz w:val="24"/>
          <w:szCs w:val="24"/>
          <w:lang w:eastAsia="ru-RU"/>
        </w:rPr>
        <w:t>.3.1.</w:t>
      </w:r>
      <w:r>
        <w:rPr>
          <w:rFonts w:eastAsia="Times New Roman" w:cs="Times New Roman" w:ascii="Times New Roman" w:hAnsi="Times New Roman"/>
          <w:color w:val="000000" w:themeColor="text1"/>
          <w:sz w:val="24"/>
          <w:szCs w:val="24"/>
          <w:lang w:eastAsia="ru-RU"/>
        </w:rPr>
        <w:t xml:space="preserve"> Целью выполняемых работ является осуществление комплекса мероприятий по строительству объекта технологического присоединения к электрическим сетям АО «ДРСК» в рамках заключенного договора</w:t>
      </w:r>
      <w:r>
        <w:rPr>
          <w:rFonts w:cs="Times New Roman" w:ascii="Times New Roman" w:hAnsi="Times New Roman"/>
          <w:color w:val="000000" w:themeColor="text1"/>
          <w:sz w:val="24"/>
          <w:szCs w:val="24"/>
        </w:rPr>
        <w:t>:</w:t>
      </w:r>
    </w:p>
    <w:p>
      <w:pPr>
        <w:pStyle w:val="ListParagraph"/>
        <w:numPr>
          <w:ilvl w:val="0"/>
          <w:numId w:val="4"/>
        </w:numPr>
        <w:tabs>
          <w:tab w:val="left" w:pos="709" w:leader="none"/>
        </w:tabs>
        <w:jc w:val="both"/>
        <w:rPr/>
      </w:pPr>
      <w:r>
        <w:rPr>
          <w:rFonts w:cs="Times New Roman"/>
          <w:color w:val="000000" w:themeColor="text1"/>
          <w:sz w:val="24"/>
          <w:szCs w:val="24"/>
          <w:lang w:val="ru-RU"/>
        </w:rPr>
        <w:t xml:space="preserve">Договор №25-1217 от 19.08.25 с ООО «АвтоСтройГруз» </w:t>
      </w:r>
      <w:r>
        <w:rPr>
          <w:color w:val="00000A"/>
          <w:sz w:val="24"/>
          <w:szCs w:val="24"/>
          <w:lang w:val="ru-RU"/>
        </w:rPr>
        <w:t xml:space="preserve">- технологическое присоединение: Карьер Алексеевский-2 </w:t>
      </w:r>
      <w:r>
        <w:rPr>
          <w:color w:val="000000" w:themeColor="text1"/>
          <w:sz w:val="24"/>
          <w:szCs w:val="24"/>
          <w:lang w:val="ru-RU"/>
        </w:rPr>
        <w:t>по адресу: Приморский край, Надеждинский р-н, п. Алексеевка, в 1028 м по направлению на северо-восток от ул. Ленина, д. 102, кадастровый номер земельного участка 25:10:010102:358;</w:t>
        <w:br/>
        <w:t>630 кВт (в том числе 15 кВт (0,4 кВ) существующая мощность), 10 кВ.</w:t>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Cs/>
          <w:sz w:val="24"/>
          <w:szCs w:val="24"/>
          <w:lang w:eastAsia="ru-RU"/>
        </w:rPr>
        <w:t>Таблица 1.  Перечень объектов заказчика</w:t>
      </w:r>
    </w:p>
    <w:tbl>
      <w:tblPr>
        <w:tblW w:w="9498" w:type="dxa"/>
        <w:jc w:val="left"/>
        <w:tblInd w:w="-6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43" w:type="dxa"/>
          <w:bottom w:w="0" w:type="dxa"/>
          <w:right w:w="108" w:type="dxa"/>
        </w:tblCellMar>
        <w:tblLook w:val="0000" w:noVBand="0" w:noHBand="0" w:lastColumn="0" w:firstColumn="0" w:lastRow="0" w:firstRow="0"/>
      </w:tblPr>
      <w:tblGrid>
        <w:gridCol w:w="563"/>
        <w:gridCol w:w="3656"/>
        <w:gridCol w:w="2422"/>
        <w:gridCol w:w="2856"/>
      </w:tblGrid>
      <w:tr>
        <w:trPr>
          <w:trHeight w:val="424"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rPr/>
            </w:pPr>
            <w:r>
              <w:rPr>
                <w:rFonts w:cs="Times New Roman" w:ascii="Times New Roman" w:hAnsi="Times New Roman"/>
                <w:szCs w:val="24"/>
              </w:rPr>
              <w:t>№</w:t>
            </w:r>
          </w:p>
          <w:p>
            <w:pPr>
              <w:pStyle w:val="Normal"/>
              <w:widowControl w:val="false"/>
              <w:spacing w:before="0" w:after="0"/>
              <w:rPr/>
            </w:pPr>
            <w:r>
              <w:rPr>
                <w:rFonts w:cs="Times New Roman" w:ascii="Times New Roman" w:hAnsi="Times New Roman"/>
                <w:szCs w:val="24"/>
              </w:rPr>
              <w:t>п/п</w:t>
            </w:r>
          </w:p>
        </w:tc>
        <w:tc>
          <w:tcPr>
            <w:tcW w:w="3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szCs w:val="24"/>
              </w:rPr>
              <w:t xml:space="preserve">Наименование объекта </w:t>
            </w:r>
          </w:p>
          <w:p>
            <w:pPr>
              <w:pStyle w:val="Normal"/>
              <w:widowControl w:val="false"/>
              <w:spacing w:before="0" w:after="0"/>
              <w:jc w:val="center"/>
              <w:rPr>
                <w:rFonts w:ascii="Times New Roman" w:hAnsi="Times New Roman" w:cs="Times New Roman"/>
                <w:szCs w:val="24"/>
              </w:rPr>
            </w:pPr>
            <w:r>
              <w:rPr>
                <w:rFonts w:cs="Times New Roman" w:ascii="Times New Roman" w:hAnsi="Times New Roman"/>
                <w:szCs w:val="24"/>
              </w:rPr>
            </w:r>
          </w:p>
        </w:tc>
        <w:tc>
          <w:tcPr>
            <w:tcW w:w="24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szCs w:val="24"/>
              </w:rPr>
              <w:t xml:space="preserve">Расположение объекта </w:t>
              <w:br/>
            </w:r>
            <w:r>
              <w:rPr>
                <w:rFonts w:cs="Times New Roman" w:ascii="Times New Roman" w:hAnsi="Times New Roman"/>
                <w:iCs/>
                <w:szCs w:val="24"/>
              </w:rPr>
              <w:t>(место оказания услуг)</w:t>
            </w:r>
            <w:r>
              <w:rPr>
                <w:rFonts w:cs="Times New Roman" w:ascii="Times New Roman" w:hAnsi="Times New Roman"/>
                <w:szCs w:val="24"/>
              </w:rPr>
              <w:t xml:space="preserve"> </w:t>
            </w:r>
          </w:p>
        </w:tc>
        <w:tc>
          <w:tcPr>
            <w:tcW w:w="28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szCs w:val="24"/>
              </w:rPr>
              <w:t>Примечания</w:t>
            </w:r>
          </w:p>
        </w:tc>
      </w:tr>
      <w:tr>
        <w:trPr>
          <w:trHeight w:val="38"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b/>
                <w:szCs w:val="24"/>
              </w:rPr>
              <w:t>1</w:t>
            </w:r>
          </w:p>
        </w:tc>
        <w:tc>
          <w:tcPr>
            <w:tcW w:w="3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b/>
                <w:szCs w:val="24"/>
              </w:rPr>
              <w:t>2</w:t>
            </w:r>
          </w:p>
        </w:tc>
        <w:tc>
          <w:tcPr>
            <w:tcW w:w="24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b/>
                <w:szCs w:val="24"/>
              </w:rPr>
              <w:t>3</w:t>
            </w:r>
          </w:p>
        </w:tc>
        <w:tc>
          <w:tcPr>
            <w:tcW w:w="28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tcPr>
          <w:p>
            <w:pPr>
              <w:pStyle w:val="Normal"/>
              <w:widowControl w:val="false"/>
              <w:spacing w:before="0" w:after="0"/>
              <w:jc w:val="center"/>
              <w:rPr/>
            </w:pPr>
            <w:r>
              <w:rPr>
                <w:rFonts w:cs="Times New Roman" w:ascii="Times New Roman" w:hAnsi="Times New Roman"/>
                <w:b/>
                <w:szCs w:val="24"/>
              </w:rPr>
              <w:t>4</w:t>
            </w:r>
          </w:p>
        </w:tc>
      </w:tr>
      <w:tr>
        <w:trPr>
          <w:trHeight w:val="1662"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vAlign w:val="center"/>
          </w:tcPr>
          <w:p>
            <w:pPr>
              <w:pStyle w:val="ListParagraph"/>
              <w:widowControl/>
              <w:numPr>
                <w:ilvl w:val="0"/>
                <w:numId w:val="5"/>
              </w:numPr>
              <w:tabs>
                <w:tab w:val="left" w:pos="309" w:leader="none"/>
              </w:tabs>
              <w:bidi w:val="0"/>
              <w:spacing w:before="0" w:after="0"/>
              <w:ind w:left="0" w:right="0" w:hanging="0"/>
              <w:contextualSpacing/>
              <w:jc w:val="center"/>
              <w:rPr>
                <w:sz w:val="24"/>
                <w:szCs w:val="24"/>
              </w:rPr>
            </w:pPr>
            <w:r>
              <w:rPr>
                <w:sz w:val="24"/>
                <w:szCs w:val="24"/>
              </w:rPr>
              <w:t>1.</w:t>
            </w:r>
          </w:p>
        </w:tc>
        <w:tc>
          <w:tcPr>
            <w:tcW w:w="36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vAlign w:val="center"/>
          </w:tcPr>
          <w:p>
            <w:pPr>
              <w:pStyle w:val="Normal"/>
              <w:bidi w:val="0"/>
              <w:spacing w:lineRule="auto" w:line="240" w:before="57" w:after="57"/>
              <w:ind w:left="57" w:right="57" w:hanging="0"/>
              <w:jc w:val="left"/>
              <w:rPr/>
            </w:pPr>
            <w:r>
              <w:rPr>
                <w:rFonts w:eastAsia="Calibri" w:cs="Times New Roman" w:ascii="Times New Roman" w:hAnsi="Times New Roman"/>
                <w:b/>
                <w:iCs/>
                <w:color w:val="00000A"/>
                <w:sz w:val="24"/>
                <w:szCs w:val="24"/>
                <w:lang w:val="ru-RU" w:eastAsia="en-US" w:bidi="ar-SA"/>
              </w:rPr>
              <w:t>ЛЭП 10 кВ</w:t>
            </w:r>
          </w:p>
          <w:p>
            <w:pPr>
              <w:pStyle w:val="Normal"/>
              <w:bidi w:val="0"/>
              <w:spacing w:lineRule="auto" w:line="240" w:before="57" w:after="57"/>
              <w:ind w:left="57" w:right="57" w:hanging="0"/>
              <w:jc w:val="left"/>
              <w:rPr/>
            </w:pPr>
            <w:r>
              <w:rPr>
                <w:rFonts w:eastAsia="Calibri" w:cs="Times New Roman" w:ascii="Times New Roman" w:hAnsi="Times New Roman"/>
                <w:iCs/>
                <w:color w:val="00000A"/>
                <w:sz w:val="24"/>
                <w:szCs w:val="24"/>
                <w:lang w:val="ru-RU" w:eastAsia="en-US" w:bidi="ar-SA"/>
              </w:rPr>
              <w:t>«</w:t>
            </w:r>
            <w:r>
              <w:rPr>
                <w:rFonts w:eastAsia="Calibri" w:cs="Times New Roman" w:ascii="Times New Roman" w:hAnsi="Times New Roman"/>
                <w:iCs/>
                <w:color w:val="00000A"/>
                <w:sz w:val="24"/>
                <w:szCs w:val="24"/>
                <w:lang w:val="x-none" w:eastAsia="en-US" w:bidi="ar-SA"/>
              </w:rPr>
              <w:t xml:space="preserve">Строительство </w:t>
            </w:r>
            <w:r>
              <w:rPr>
                <w:rFonts w:eastAsia="Calibri" w:cs="Times New Roman" w:ascii="Times New Roman" w:hAnsi="Times New Roman"/>
                <w:iCs/>
                <w:color w:val="00000A"/>
                <w:sz w:val="24"/>
                <w:szCs w:val="24"/>
                <w:lang w:val="ru-RU" w:eastAsia="en-US" w:bidi="ar-SA"/>
              </w:rPr>
              <w:t>ЛЭП</w:t>
            </w:r>
            <w:r>
              <w:rPr>
                <w:rFonts w:eastAsia="Calibri" w:cs="Times New Roman" w:ascii="Times New Roman" w:hAnsi="Times New Roman"/>
                <w:iCs/>
                <w:color w:val="00000A"/>
                <w:sz w:val="24"/>
                <w:szCs w:val="24"/>
                <w:lang w:val="x-none" w:eastAsia="en-US" w:bidi="ar-SA"/>
              </w:rPr>
              <w:t xml:space="preserve"> </w:t>
            </w:r>
            <w:r>
              <w:rPr>
                <w:rFonts w:eastAsia="Calibri" w:cs="Times New Roman" w:ascii="Times New Roman" w:hAnsi="Times New Roman"/>
                <w:iCs/>
                <w:color w:val="00000A"/>
                <w:sz w:val="24"/>
                <w:szCs w:val="24"/>
                <w:lang w:val="ru-RU" w:eastAsia="en-US" w:bidi="ar-SA"/>
              </w:rPr>
              <w:t>10</w:t>
            </w:r>
            <w:r>
              <w:rPr>
                <w:rFonts w:eastAsia="Calibri" w:cs="Times New Roman" w:ascii="Times New Roman" w:hAnsi="Times New Roman"/>
                <w:iCs/>
                <w:color w:val="00000A"/>
                <w:sz w:val="24"/>
                <w:szCs w:val="24"/>
                <w:lang w:val="x-none" w:eastAsia="en-US" w:bidi="ar-SA"/>
              </w:rPr>
              <w:t xml:space="preserve"> кВ отпайкой от фидера 10 кВ № 4 ПС 110/10 кВ «Раздольное-2» и с установкой двух разъединителей до границы земельного участка заявителя</w:t>
            </w:r>
            <w:r>
              <w:rPr>
                <w:rFonts w:eastAsia="Calibri" w:cs="Times New Roman" w:ascii="Times New Roman" w:hAnsi="Times New Roman"/>
                <w:iCs/>
                <w:color w:val="00000A"/>
                <w:sz w:val="24"/>
                <w:szCs w:val="24"/>
                <w:lang w:val="ru-RU" w:eastAsia="en-US" w:bidi="ar-SA"/>
              </w:rPr>
              <w:t xml:space="preserve"> (для потребителя </w:t>
            </w:r>
            <w:bookmarkStart w:id="10" w:name="__DdeLink__1905_2631693745"/>
            <w:r>
              <w:rPr>
                <w:rFonts w:eastAsia="Calibri" w:cs="Times New Roman" w:ascii="Times New Roman" w:hAnsi="Times New Roman"/>
                <w:iCs/>
                <w:color w:val="00000A"/>
                <w:sz w:val="24"/>
                <w:szCs w:val="24"/>
                <w:lang w:val="ru-RU" w:eastAsia="en-US" w:bidi="ar-SA"/>
              </w:rPr>
              <w:t>О</w:t>
            </w:r>
            <w:bookmarkEnd w:id="10"/>
            <w:r>
              <w:rPr>
                <w:rFonts w:eastAsia="Calibri" w:cs="Times New Roman" w:ascii="Times New Roman" w:hAnsi="Times New Roman"/>
                <w:iCs/>
                <w:color w:val="00000A"/>
                <w:sz w:val="24"/>
                <w:szCs w:val="24"/>
                <w:lang w:val="ru-RU" w:eastAsia="en-US" w:bidi="ar-SA"/>
              </w:rPr>
              <w:t>ОО АвтоСтройГруз</w:t>
            </w:r>
            <w:r>
              <w:rPr>
                <w:rFonts w:eastAsia="Calibri" w:cs="Times New Roman" w:ascii="Times New Roman" w:hAnsi="Times New Roman"/>
                <w:b w:val="false"/>
                <w:bCs w:val="false"/>
                <w:i w:val="false"/>
                <w:iCs/>
                <w:color w:val="00000A"/>
                <w:sz w:val="24"/>
                <w:szCs w:val="24"/>
                <w:lang w:val="ru-RU" w:eastAsia="en-US" w:bidi="ar-SA"/>
              </w:rPr>
              <w:t>)</w:t>
            </w:r>
            <w:r>
              <w:rPr>
                <w:rFonts w:eastAsia="Calibri" w:cs="Times New Roman" w:ascii="Times New Roman" w:hAnsi="Times New Roman"/>
                <w:iCs/>
                <w:color w:val="00000A"/>
                <w:sz w:val="24"/>
                <w:szCs w:val="24"/>
                <w:lang w:val="ru-RU" w:eastAsia="en-US" w:bidi="ar-SA"/>
              </w:rPr>
              <w:t>»</w:t>
            </w:r>
          </w:p>
        </w:tc>
        <w:tc>
          <w:tcPr>
            <w:tcW w:w="24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vAlign w:val="center"/>
          </w:tcPr>
          <w:p>
            <w:pPr>
              <w:pStyle w:val="Normal"/>
              <w:spacing w:lineRule="auto" w:line="240" w:before="0" w:after="0"/>
              <w:jc w:val="center"/>
              <w:rPr/>
            </w:pPr>
            <w:r>
              <w:rPr>
                <w:rFonts w:cs="Times New Roman" w:ascii="Times New Roman" w:hAnsi="Times New Roman"/>
                <w:sz w:val="24"/>
                <w:szCs w:val="24"/>
              </w:rPr>
              <w:t>Приморский край,</w:t>
            </w:r>
          </w:p>
          <w:p>
            <w:pPr>
              <w:pStyle w:val="Normal"/>
              <w:spacing w:lineRule="auto" w:line="240" w:before="0" w:after="0"/>
              <w:jc w:val="center"/>
              <w:rPr/>
            </w:pPr>
            <w:r>
              <w:rPr>
                <w:rFonts w:cs="Times New Roman" w:ascii="Times New Roman" w:hAnsi="Times New Roman"/>
                <w:sz w:val="24"/>
                <w:szCs w:val="24"/>
              </w:rPr>
              <w:t xml:space="preserve">Надеждинский р-н, </w:t>
            </w:r>
          </w:p>
          <w:p>
            <w:pPr>
              <w:pStyle w:val="Normal"/>
              <w:spacing w:lineRule="auto" w:line="240" w:before="0" w:after="0"/>
              <w:jc w:val="center"/>
              <w:rPr/>
            </w:pPr>
            <w:r>
              <w:rPr>
                <w:rFonts w:eastAsia="Calibri" w:cs="Times New Roman" w:ascii="Times New Roman" w:hAnsi="Times New Roman"/>
                <w:color w:val="00000A"/>
                <w:sz w:val="24"/>
                <w:szCs w:val="24"/>
                <w:lang w:val="ru-RU" w:eastAsia="en-US" w:bidi="ar-SA"/>
              </w:rPr>
              <w:t>п. Алексеевка</w:t>
            </w:r>
          </w:p>
        </w:tc>
        <w:tc>
          <w:tcPr>
            <w:tcW w:w="285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43" w:type="dxa"/>
            </w:tcMar>
            <w:vAlign w:val="center"/>
          </w:tcPr>
          <w:p>
            <w:pPr>
              <w:pStyle w:val="Normal"/>
              <w:spacing w:lineRule="auto" w:line="240" w:before="0" w:after="0"/>
              <w:jc w:val="center"/>
              <w:rPr/>
            </w:pPr>
            <w:r>
              <w:rPr>
                <w:rFonts w:cs="Times New Roman" w:ascii="Times New Roman" w:hAnsi="Times New Roman"/>
                <w:i/>
                <w:iCs/>
                <w:sz w:val="24"/>
                <w:szCs w:val="24"/>
              </w:rPr>
              <w:t>Протяженность ЛЭП, марку и сечения уточнить при проектировании и согласовать с заказчиком</w:t>
            </w:r>
          </w:p>
        </w:tc>
      </w:tr>
    </w:tbl>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1.4.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pPr>
        <w:pStyle w:val="Normal"/>
        <w:spacing w:lineRule="auto" w:line="240" w:before="0" w:after="0"/>
        <w:jc w:val="both"/>
        <w:rPr>
          <w:rFonts w:ascii="Times New Roman" w:hAnsi="Times New Roman" w:eastAsia="Times New Roman" w:cs="Times New Roman"/>
          <w:b w:val="false"/>
          <w:b w:val="false"/>
          <w:bCs w:val="false"/>
          <w:sz w:val="24"/>
          <w:szCs w:val="24"/>
          <w:lang w:eastAsia="ru-RU"/>
        </w:rPr>
      </w:pPr>
      <w:r>
        <w:rPr>
          <w:rFonts w:eastAsia="Times New Roman" w:cs="Times New Roman" w:ascii="Times New Roman" w:hAnsi="Times New Roman"/>
          <w:b w:val="false"/>
          <w:bCs w:val="false"/>
          <w:sz w:val="24"/>
          <w:szCs w:val="24"/>
          <w:lang w:eastAsia="ru-RU"/>
        </w:rPr>
        <w:t xml:space="preserve">1.4.1. На этапе подготовке заявки Подрядчик руководствуется техническими условиями (Приложение № 1). </w:t>
      </w:r>
    </w:p>
    <w:p>
      <w:pPr>
        <w:pStyle w:val="Normal"/>
        <w:spacing w:lineRule="auto" w:line="240" w:before="0" w:after="0"/>
        <w:jc w:val="both"/>
        <w:rPr>
          <w:rFonts w:ascii="Times New Roman" w:hAnsi="Times New Roman" w:eastAsia="Times New Roman" w:cs="Times New Roman"/>
          <w:b w:val="false"/>
          <w:b w:val="false"/>
          <w:bCs w:val="false"/>
          <w:sz w:val="24"/>
          <w:szCs w:val="24"/>
          <w:lang w:eastAsia="ru-RU"/>
        </w:rPr>
      </w:pPr>
      <w:r>
        <w:rPr>
          <w:rFonts w:eastAsia="Times New Roman" w:cs="Times New Roman" w:ascii="Times New Roman" w:hAnsi="Times New Roman"/>
          <w:b w:val="false"/>
          <w:bCs w:val="false"/>
          <w:sz w:val="24"/>
          <w:szCs w:val="24"/>
          <w:lang w:eastAsia="ru-RU"/>
        </w:rPr>
        <w:t>1.4.2. Подрядчик самостоятельно получает от лица Заказчика все необходимые согласования для возможности доставки оборудования и производства работ. Все затраты на получение необходимых согласований и компенсационных выплат входят в общую стоимость объекта.</w:t>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0"/>
        <w:jc w:val="both"/>
        <w:rPr>
          <w:rFonts w:ascii="Times New Roman" w:hAnsi="Times New Roman" w:eastAsia="Times New Roman" w:cs="Times New Roman"/>
          <w:b w:val="false"/>
          <w:b w:val="false"/>
          <w:bCs w:val="false"/>
          <w:sz w:val="22"/>
          <w:szCs w:val="22"/>
          <w:lang w:eastAsia="ru-RU"/>
        </w:rPr>
      </w:pPr>
      <w:r>
        <w:rPr>
          <w:rFonts w:eastAsia="Times New Roman" w:cs="Times New Roman" w:ascii="Times New Roman" w:hAnsi="Times New Roman"/>
          <w:b w:val="false"/>
          <w:bCs w:val="false"/>
          <w:sz w:val="22"/>
          <w:szCs w:val="22"/>
          <w:lang w:eastAsia="ru-RU"/>
        </w:rPr>
      </w:r>
    </w:p>
    <w:p>
      <w:pPr>
        <w:pStyle w:val="Normal"/>
        <w:spacing w:lineRule="auto" w:line="240" w:before="0" w:after="120"/>
        <w:jc w:val="center"/>
        <w:rPr/>
      </w:pPr>
      <w:r>
        <w:rPr>
          <w:rFonts w:eastAsia="Times New Roman" w:cs="Times New Roman" w:ascii="Times New Roman" w:hAnsi="Times New Roman"/>
          <w:b/>
          <w:bCs/>
          <w:sz w:val="28"/>
          <w:szCs w:val="28"/>
          <w:lang w:eastAsia="ru-RU"/>
        </w:rPr>
        <w:t>2. Требования к продукции</w:t>
      </w:r>
    </w:p>
    <w:p>
      <w:pPr>
        <w:pStyle w:val="Normal"/>
        <w:spacing w:lineRule="auto" w:line="240" w:before="0" w:after="0"/>
        <w:jc w:val="both"/>
        <w:rPr/>
      </w:pPr>
      <w:r>
        <w:rPr>
          <w:rFonts w:eastAsia="Times New Roman" w:cs="Times New Roman" w:ascii="Times New Roman" w:hAnsi="Times New Roman"/>
          <w:b/>
          <w:bCs/>
          <w:sz w:val="24"/>
          <w:szCs w:val="24"/>
          <w:lang w:eastAsia="ru-RU"/>
        </w:rPr>
        <w:t xml:space="preserve">2.1. </w:t>
      </w:r>
      <w:bookmarkStart w:id="11" w:name="_Toc54646404"/>
      <w:r>
        <w:rPr>
          <w:rFonts w:eastAsia="Times New Roman" w:cs="Times New Roman" w:ascii="Times New Roman" w:hAnsi="Times New Roman"/>
          <w:b/>
          <w:bCs/>
          <w:sz w:val="24"/>
          <w:szCs w:val="24"/>
          <w:lang w:val="x-none" w:eastAsia="ru-RU"/>
        </w:rPr>
        <w:t xml:space="preserve">Требования к объемам и срокам </w:t>
      </w:r>
      <w:bookmarkEnd w:id="11"/>
      <w:r>
        <w:rPr>
          <w:rFonts w:eastAsia="Times New Roman" w:cs="Times New Roman" w:ascii="Times New Roman" w:hAnsi="Times New Roman"/>
          <w:b/>
          <w:bCs/>
          <w:sz w:val="24"/>
          <w:szCs w:val="24"/>
          <w:lang w:eastAsia="ru-RU"/>
        </w:rPr>
        <w:t>выполнения работ</w:t>
      </w:r>
    </w:p>
    <w:p>
      <w:pPr>
        <w:pStyle w:val="Normal"/>
        <w:spacing w:lineRule="auto" w:line="240" w:before="0" w:after="120"/>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2.1.1. Требования к видам и объемам работ</w:t>
      </w:r>
    </w:p>
    <w:p>
      <w:pPr>
        <w:pStyle w:val="Normal"/>
        <w:keepNext w:val="true"/>
        <w:keepLines/>
        <w:numPr>
          <w:ilvl w:val="0"/>
          <w:numId w:val="0"/>
        </w:numPr>
        <w:spacing w:lineRule="auto" w:line="240" w:before="240" w:after="0"/>
        <w:outlineLvl w:val="0"/>
        <w:rPr/>
      </w:pPr>
      <w:bookmarkStart w:id="12" w:name="_Toc51339695"/>
      <w:bookmarkStart w:id="13" w:name="_Toc54646406"/>
      <w:r>
        <w:rPr>
          <w:rFonts w:cs="Times New Roman" w:ascii="Times New Roman" w:hAnsi="Times New Roman"/>
          <w:sz w:val="24"/>
          <w:szCs w:val="24"/>
          <w:lang w:val="x-none" w:eastAsia="x-none"/>
        </w:rPr>
        <w:t xml:space="preserve">Таблица </w:t>
      </w:r>
      <w:r>
        <w:rPr>
          <w:rFonts w:cs="Times New Roman" w:ascii="Times New Roman" w:hAnsi="Times New Roman"/>
          <w:sz w:val="24"/>
          <w:szCs w:val="24"/>
          <w:lang w:eastAsia="x-none"/>
        </w:rPr>
        <w:t>2.</w:t>
      </w:r>
      <w:r>
        <w:rPr>
          <w:rFonts w:cs="Times New Roman" w:ascii="Times New Roman" w:hAnsi="Times New Roman"/>
          <w:sz w:val="24"/>
          <w:szCs w:val="24"/>
          <w:lang w:val="x-none" w:eastAsia="x-none"/>
        </w:rPr>
        <w:t xml:space="preserve"> </w:t>
      </w:r>
      <w:r>
        <w:rPr>
          <w:rFonts w:cs="Times New Roman" w:ascii="Times New Roman" w:hAnsi="Times New Roman"/>
          <w:sz w:val="24"/>
          <w:szCs w:val="24"/>
          <w:lang w:eastAsia="x-none"/>
        </w:rPr>
        <w:t xml:space="preserve">Перечень </w:t>
      </w:r>
      <w:bookmarkEnd w:id="12"/>
      <w:bookmarkEnd w:id="13"/>
      <w:r>
        <w:rPr>
          <w:rFonts w:cs="Times New Roman" w:ascii="Times New Roman" w:hAnsi="Times New Roman"/>
          <w:sz w:val="24"/>
          <w:szCs w:val="24"/>
          <w:lang w:eastAsia="x-none"/>
        </w:rPr>
        <w:t>и объем выполняемых работ</w:t>
      </w:r>
    </w:p>
    <w:tbl>
      <w:tblPr>
        <w:tblW w:w="9526" w:type="dxa"/>
        <w:jc w:val="left"/>
        <w:tblInd w:w="-3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3" w:type="dxa"/>
        </w:tblCellMar>
        <w:tblLook w:val="0000" w:noVBand="0" w:noHBand="0" w:lastColumn="0" w:firstColumn="0" w:lastRow="0" w:firstRow="0"/>
      </w:tblPr>
      <w:tblGrid>
        <w:gridCol w:w="691"/>
        <w:gridCol w:w="5177"/>
        <w:gridCol w:w="2271"/>
        <w:gridCol w:w="1386"/>
      </w:tblGrid>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keepNext w:val="true"/>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2"/>
                <w:szCs w:val="22"/>
              </w:rPr>
              <w:t>№</w:t>
            </w:r>
          </w:p>
          <w:p>
            <w:pPr>
              <w:pStyle w:val="Normal"/>
              <w:keepNext w:val="true"/>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2"/>
                <w:szCs w:val="22"/>
              </w:rPr>
              <w:t>п/п</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keepNext w:val="true"/>
              <w:widowControl w:val="false"/>
              <w:suppressAutoHyphens w:val="true"/>
              <w:bidi w:val="0"/>
              <w:spacing w:lineRule="auto" w:line="240" w:before="57" w:after="57"/>
              <w:ind w:left="57" w:right="57" w:firstLine="283"/>
              <w:jc w:val="center"/>
              <w:rPr>
                <w:rFonts w:ascii="Times New Roman" w:hAnsi="Times New Roman" w:cs="Times New Roman"/>
                <w:sz w:val="24"/>
                <w:szCs w:val="24"/>
              </w:rPr>
            </w:pPr>
            <w:r>
              <w:rPr>
                <w:rFonts w:cs="Times New Roman" w:ascii="Times New Roman" w:hAnsi="Times New Roman"/>
                <w:sz w:val="22"/>
                <w:szCs w:val="22"/>
              </w:rPr>
              <w:t>Наименование работ / этапа работ</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keepNext w:val="true"/>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2"/>
                <w:szCs w:val="22"/>
              </w:rPr>
              <w:t>Единица измерения</w:t>
            </w:r>
          </w:p>
        </w:tc>
        <w:tc>
          <w:tcPr>
            <w:tcW w:w="13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keepNext w:val="true"/>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2"/>
                <w:szCs w:val="22"/>
              </w:rPr>
              <w:t>Количество</w:t>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2"/>
                <w:szCs w:val="22"/>
              </w:rPr>
              <w:t>1</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firstLine="283"/>
              <w:jc w:val="center"/>
              <w:rPr>
                <w:rFonts w:ascii="Times New Roman" w:hAnsi="Times New Roman" w:cs="Times New Roman"/>
                <w:b/>
                <w:b/>
                <w:sz w:val="24"/>
                <w:szCs w:val="24"/>
              </w:rPr>
            </w:pPr>
            <w:r>
              <w:rPr>
                <w:rFonts w:cs="Times New Roman" w:ascii="Times New Roman" w:hAnsi="Times New Roman"/>
                <w:b/>
                <w:sz w:val="22"/>
                <w:szCs w:val="22"/>
              </w:rPr>
              <w:t>2</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2"/>
                <w:szCs w:val="22"/>
              </w:rPr>
              <w:t>3</w:t>
            </w:r>
          </w:p>
        </w:tc>
        <w:tc>
          <w:tcPr>
            <w:tcW w:w="13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sz w:val="22"/>
                <w:szCs w:val="22"/>
              </w:rPr>
              <w:t>4</w:t>
            </w:r>
          </w:p>
        </w:tc>
      </w:tr>
      <w:tr>
        <w:trPr>
          <w:trHeight w:val="761" w:hRule="atLeast"/>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val="false"/>
                <w:bCs w:val="false"/>
                <w:sz w:val="24"/>
                <w:szCs w:val="24"/>
                <w:lang w:val="en-US"/>
              </w:rPr>
              <w:t>1</w:t>
            </w:r>
            <w:r>
              <w:rPr>
                <w:rFonts w:cs="Times New Roman" w:ascii="Times New Roman" w:hAnsi="Times New Roman"/>
                <w:b w:val="false"/>
                <w:bCs w:val="false"/>
                <w:sz w:val="24"/>
                <w:szCs w:val="24"/>
              </w:rPr>
              <w:t>.</w:t>
            </w:r>
          </w:p>
        </w:tc>
        <w:tc>
          <w:tcPr>
            <w:tcW w:w="883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left"/>
              <w:rPr>
                <w:rFonts w:ascii="Times New Roman" w:hAnsi="Times New Roman" w:cs="Times New Roman"/>
                <w:b/>
                <w:b/>
                <w:i/>
                <w:i/>
                <w:sz w:val="24"/>
                <w:szCs w:val="24"/>
              </w:rPr>
            </w:pPr>
            <w:r>
              <w:rPr>
                <w:rFonts w:cs="Times New Roman" w:ascii="Times New Roman" w:hAnsi="Times New Roman"/>
                <w:b/>
                <w:sz w:val="22"/>
                <w:szCs w:val="22"/>
              </w:rPr>
              <w:t>ОФОРМЛЕНИЕ ПРАВОУСТАНАВЛИВАЮЩИХ ДОКУМЕНТОВ НА ИСПОЛЬЗОВАНИЕ ЗЕМЕЛЬНЫХ УЧАСТКОВ</w:t>
            </w:r>
          </w:p>
        </w:tc>
      </w:tr>
      <w:tr>
        <w:trPr>
          <w:trHeight w:val="1024" w:hRule="atLeast"/>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.1.</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firstLine="283"/>
              <w:jc w:val="left"/>
              <w:rPr>
                <w:rStyle w:val="Style26"/>
                <w:rFonts w:ascii="Times New Roman" w:hAnsi="Times New Roman" w:cs="Times New Roman"/>
                <w:i w:val="false"/>
                <w:i w:val="false"/>
                <w:sz w:val="24"/>
                <w:szCs w:val="24"/>
                <w:highlight w:val="white"/>
              </w:rPr>
            </w:pPr>
            <w:r>
              <w:rPr>
                <w:rFonts w:cs="Times New Roman" w:ascii="Times New Roman" w:hAnsi="Times New Roman"/>
                <w:sz w:val="24"/>
                <w:szCs w:val="24"/>
              </w:rPr>
              <w:t>Выезд с представителем АО «ДРСК» на предполагаемое место строительства, для определения трассы объекта;</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Выезд</w:t>
            </w:r>
          </w:p>
        </w:tc>
        <w:tc>
          <w:tcPr>
            <w:tcW w:w="13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В полном объеме для каждого объекта таблицы 1</w:t>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rPr>
              <w:t>1.2.</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633" w:leader="none"/>
              </w:tabs>
              <w:suppressAutoHyphens w:val="true"/>
              <w:bidi w:val="0"/>
              <w:spacing w:lineRule="auto" w:line="240" w:before="57" w:after="57"/>
              <w:ind w:left="57" w:right="57" w:firstLine="283"/>
              <w:jc w:val="both"/>
              <w:rPr>
                <w:rStyle w:val="Style26"/>
                <w:rFonts w:ascii="Times New Roman" w:hAnsi="Times New Roman" w:cs="Times New Roman"/>
                <w:iCs/>
                <w:sz w:val="24"/>
                <w:szCs w:val="24"/>
              </w:rPr>
            </w:pPr>
            <w:r>
              <w:rPr>
                <w:rFonts w:cs="Times New Roman" w:ascii="Times New Roman" w:hAnsi="Times New Roman"/>
                <w:sz w:val="24"/>
                <w:szCs w:val="24"/>
              </w:rPr>
              <w:t>На основании предварительно выбранного варианта прохождения трассы, получить сведений из Единого государственного реестра недвижимости (ЕГРН) в виде кадастрового плана территорий (КПТ) и (или) выписки об основных характеристиках и зарегистрированных правах на объект недвижимости;</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Сведения</w:t>
            </w:r>
          </w:p>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КПТ,</w:t>
            </w:r>
          </w:p>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выписка из ЕГРН</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.3.</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567" w:leader="none"/>
              </w:tabs>
              <w:suppressAutoHyphens w:val="true"/>
              <w:bidi w:val="0"/>
              <w:spacing w:lineRule="auto" w:line="240" w:before="57" w:after="57"/>
              <w:ind w:left="57" w:right="57" w:firstLine="283"/>
              <w:jc w:val="both"/>
              <w:rPr/>
            </w:pPr>
            <w:r>
              <w:rPr>
                <w:rFonts w:cs="Times New Roman" w:ascii="Times New Roman" w:hAnsi="Times New Roman"/>
                <w:sz w:val="24"/>
                <w:szCs w:val="24"/>
              </w:rPr>
              <w:t>Подготовить и направить на согласование Заказчику схему обзорного плана объекта. Заказчик согласовывает план трассы, а также определяет правовой титул оформления правоустанавливающих документов на использование земельных участков.</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Обзорный план трассы на кадастровом плане территории</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.4.</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993" w:leader="none"/>
              </w:tabs>
              <w:suppressAutoHyphens w:val="true"/>
              <w:bidi w:val="0"/>
              <w:spacing w:lineRule="auto" w:line="240" w:before="57" w:after="57"/>
              <w:ind w:left="57" w:right="57" w:firstLine="283"/>
              <w:jc w:val="both"/>
              <w:rPr/>
            </w:pPr>
            <w:r>
              <w:rPr>
                <w:rFonts w:cs="Times New Roman" w:ascii="Times New Roman" w:hAnsi="Times New Roman"/>
                <w:sz w:val="24"/>
                <w:szCs w:val="24"/>
              </w:rPr>
              <w:t>Совместно с Заказчиком согласовать место размещения объекта с организациями - сетедержателями;</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Согласование (технические условия на пересечения)</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rHeight w:val="1408" w:hRule="atLeast"/>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.5.</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993" w:leader="none"/>
              </w:tabs>
              <w:suppressAutoHyphens w:val="true"/>
              <w:bidi w:val="0"/>
              <w:spacing w:lineRule="auto" w:line="240" w:before="57" w:after="57"/>
              <w:ind w:left="57" w:right="57" w:firstLine="283"/>
              <w:jc w:val="both"/>
              <w:rPr/>
            </w:pPr>
            <w:r>
              <w:rPr>
                <w:rFonts w:cs="Times New Roman" w:ascii="Times New Roman" w:hAnsi="Times New Roman"/>
                <w:sz w:val="24"/>
                <w:szCs w:val="24"/>
              </w:rPr>
              <w:t>В случае, прохождения трассы объекта строительства, по землям или земельным участкам, находящимся в государственной или муниципальной собственности, без прав третьих лиц, изготовить и согласовать с Заказчиком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МСК-25).</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Схема границ земель или части земельного участка на кадастровом плане территории, на которых планируется размещение объектов, с указанием координат характерных точек границ территории</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.6.</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3318" w:leader="none"/>
              </w:tabs>
              <w:bidi w:val="0"/>
              <w:spacing w:lineRule="auto" w:line="240" w:before="57" w:after="57"/>
              <w:ind w:left="57" w:right="57" w:firstLine="283"/>
              <w:jc w:val="both"/>
              <w:rPr>
                <w:rFonts w:ascii="Times New Roman" w:hAnsi="Times New Roman" w:cs="Times New Roman"/>
                <w:sz w:val="24"/>
                <w:szCs w:val="24"/>
              </w:rPr>
            </w:pPr>
            <w:r>
              <w:rPr>
                <w:rFonts w:cs="Times New Roman" w:ascii="Times New Roman" w:hAnsi="Times New Roman"/>
                <w:sz w:val="24"/>
                <w:szCs w:val="24"/>
              </w:rPr>
              <w:t>Подготовить и направить заявление о выдаче разрешения на размещение объекта в исполнительный орган власти или орган местного самоуправления.</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Заявление</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rPr>
              <w:t>1.7.</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3318" w:leader="none"/>
              </w:tabs>
              <w:bidi w:val="0"/>
              <w:spacing w:lineRule="auto" w:line="240" w:before="57" w:after="57"/>
              <w:ind w:left="57" w:right="57" w:firstLine="283"/>
              <w:jc w:val="both"/>
              <w:rPr/>
            </w:pPr>
            <w:r>
              <w:rPr>
                <w:rFonts w:cs="Times New Roman" w:ascii="Times New Roman" w:hAnsi="Times New Roman"/>
                <w:sz w:val="24"/>
                <w:szCs w:val="24"/>
              </w:rPr>
              <w:t>В случае, прохождения трассы объекта строительства, планируемого к расположению на части земельных участков, находящихся в государственной и муниципальной собственности, в пользовании третьих лиц, а также в собственности физических, юридических лиц</w:t>
            </w:r>
            <w:r>
              <w:rPr>
                <w:rFonts w:cs="Times New Roman" w:ascii="Times New Roman" w:hAnsi="Times New Roman"/>
                <w:b/>
                <w:sz w:val="24"/>
                <w:szCs w:val="24"/>
              </w:rPr>
              <w:t xml:space="preserve"> </w:t>
            </w:r>
            <w:r>
              <w:rPr>
                <w:rFonts w:cs="Times New Roman" w:ascii="Times New Roman" w:hAnsi="Times New Roman"/>
                <w:sz w:val="24"/>
                <w:szCs w:val="24"/>
              </w:rPr>
              <w:t xml:space="preserve">подготовить и передать Заказчику в форме электронного документа сведений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МСК-25 </w:t>
            </w:r>
            <w:r>
              <w:rPr>
                <w:rFonts w:cs="Times New Roman" w:ascii="Times New Roman" w:hAnsi="Times New Roman"/>
                <w:i/>
                <w:sz w:val="24"/>
                <w:szCs w:val="24"/>
              </w:rPr>
              <w:t xml:space="preserve">(в соответствии с требованиями приказа Федеральной службы государственной регистрации, кадастра и картографии от 13 января 2021 г. N П/0004). </w:t>
            </w:r>
          </w:p>
          <w:p>
            <w:pPr>
              <w:pStyle w:val="Normal"/>
              <w:widowControl w:val="false"/>
              <w:tabs>
                <w:tab w:val="left" w:pos="993" w:leader="none"/>
              </w:tabs>
              <w:suppressAutoHyphens w:val="true"/>
              <w:bidi w:val="0"/>
              <w:spacing w:lineRule="auto" w:line="240" w:before="57" w:after="57"/>
              <w:ind w:left="57" w:right="57" w:firstLine="283"/>
              <w:jc w:val="both"/>
              <w:rPr/>
            </w:pPr>
            <w:r>
              <w:rPr>
                <w:rFonts w:eastAsia="Calibri" w:cs="Times New Roman" w:ascii="Times New Roman" w:hAnsi="Times New Roman" w:eastAsiaTheme="minorHAnsi"/>
                <w:i/>
                <w:color w:val="333333"/>
                <w:sz w:val="24"/>
                <w:szCs w:val="24"/>
              </w:rPr>
              <w:t>Обеспечить подготовку отчетов об оценке рыночной стоимости платы за публичный сервитут определяемой в соответствии с Федеральным законом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(при необходимости).</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sz w:val="22"/>
                <w:szCs w:val="22"/>
              </w:rPr>
            </w:pPr>
            <w:r>
              <w:rPr>
                <w:rFonts w:cs="Times New Roman" w:ascii="Times New Roman" w:hAnsi="Times New Roman"/>
                <w:i/>
                <w:iCs/>
                <w:sz w:val="22"/>
                <w:szCs w:val="22"/>
              </w:rPr>
              <w:t>Графическое описание местоположения границ публичного сервитута, ходатайство об установлении публичного сервитута</w:t>
            </w:r>
            <w:r>
              <w:rPr>
                <w:rFonts w:cs="Times New Roman" w:ascii="Times New Roman" w:hAnsi="Times New Roman"/>
                <w:i/>
                <w:sz w:val="22"/>
                <w:szCs w:val="22"/>
              </w:rPr>
              <w:t xml:space="preserve"> </w:t>
            </w:r>
          </w:p>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p>
            <w:pPr>
              <w:pStyle w:val="Normal"/>
              <w:widowControl w:val="false"/>
              <w:suppressAutoHyphens w:val="true"/>
              <w:bidi w:val="0"/>
              <w:spacing w:lineRule="auto" w:line="240" w:before="57" w:after="57"/>
              <w:ind w:left="57" w:right="57" w:hanging="0"/>
              <w:jc w:val="center"/>
              <w:rPr>
                <w:rFonts w:ascii="Times New Roman" w:hAnsi="Times New Roman" w:cs="Times New Roman"/>
                <w:i/>
                <w:i/>
                <w:iCs/>
                <w:color w:val="C9211E"/>
                <w:sz w:val="22"/>
                <w:szCs w:val="22"/>
              </w:rPr>
            </w:pPr>
            <w:r>
              <w:rPr>
                <w:rFonts w:cs="Times New Roman" w:ascii="Times New Roman" w:hAnsi="Times New Roman"/>
                <w:i/>
                <w:iCs/>
                <w:color w:val="C9211E"/>
                <w:sz w:val="22"/>
                <w:szCs w:val="22"/>
              </w:rPr>
            </w:r>
          </w:p>
          <w:p>
            <w:pPr>
              <w:pStyle w:val="Normal"/>
              <w:widowControl w:val="false"/>
              <w:suppressAutoHyphens w:val="true"/>
              <w:bidi w:val="0"/>
              <w:spacing w:lineRule="auto" w:line="240" w:before="57" w:after="57"/>
              <w:ind w:left="57" w:right="57" w:hanging="0"/>
              <w:jc w:val="center"/>
              <w:rPr>
                <w:sz w:val="22"/>
                <w:szCs w:val="22"/>
              </w:rPr>
            </w:pPr>
            <w:bookmarkStart w:id="14" w:name="__DdeLink__22798_1118958135"/>
            <w:bookmarkEnd w:id="14"/>
            <w:r>
              <w:rPr>
                <w:rFonts w:cs="Times New Roman" w:ascii="Times New Roman" w:hAnsi="Times New Roman"/>
                <w:i/>
                <w:iCs/>
                <w:color w:val="333333"/>
                <w:sz w:val="22"/>
                <w:szCs w:val="22"/>
              </w:rPr>
              <w:t>Отчет об оценке рыночной стоимости</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lang w:val="en-US"/>
              </w:rPr>
            </w:pPr>
            <w:r>
              <w:rPr>
                <w:rFonts w:cs="Times New Roman" w:ascii="Times New Roman" w:hAnsi="Times New Roman"/>
                <w:sz w:val="24"/>
                <w:szCs w:val="24"/>
                <w:lang w:val="en-US"/>
              </w:rPr>
              <w:t>1</w:t>
            </w:r>
            <w:r>
              <w:rPr>
                <w:rFonts w:cs="Times New Roman" w:ascii="Times New Roman" w:hAnsi="Times New Roman"/>
                <w:sz w:val="24"/>
                <w:szCs w:val="24"/>
              </w:rPr>
              <w:t>.8.</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bidi w:val="0"/>
              <w:spacing w:lineRule="auto" w:line="240" w:before="57" w:after="57"/>
              <w:ind w:left="57" w:right="57" w:firstLine="283"/>
              <w:jc w:val="both"/>
              <w:rPr/>
            </w:pPr>
            <w:r>
              <w:rPr>
                <w:rFonts w:cs="Times New Roman" w:ascii="Times New Roman" w:hAnsi="Times New Roman"/>
                <w:sz w:val="24"/>
                <w:szCs w:val="24"/>
              </w:rPr>
              <w:t>В случае, прохождения трассы объекта строительства, планируемого к расположению на землях лесного фонда подготовить и передать Заказчику графическое описание местоположения границ сервитута (публичного сервитута), проект освоения лесов</w:t>
            </w:r>
            <w:r>
              <w:rPr>
                <w:rFonts w:cs="Times New Roman" w:ascii="Times New Roman" w:hAnsi="Times New Roman"/>
                <w:i/>
                <w:sz w:val="24"/>
                <w:szCs w:val="24"/>
              </w:rPr>
              <w:t>,</w:t>
            </w:r>
            <w:r>
              <w:rPr>
                <w:rFonts w:cs="Times New Roman" w:ascii="Times New Roman" w:hAnsi="Times New Roman"/>
                <w:sz w:val="24"/>
                <w:szCs w:val="24"/>
              </w:rPr>
              <w:t xml:space="preserve"> отчеты             </w:t>
            </w:r>
            <w:r>
              <w:rPr>
                <w:rFonts w:cs="Times New Roman" w:ascii="Times New Roman" w:hAnsi="Times New Roman"/>
                <w:i/>
                <w:iCs/>
                <w:color w:val="C9211E"/>
                <w:sz w:val="22"/>
                <w:szCs w:val="22"/>
              </w:rPr>
              <w:t>1-ИЛ, 1-ЗЛ, 1-ОЛ, 1-ВЛ</w:t>
            </w:r>
            <w:r>
              <w:rPr>
                <w:rFonts w:cs="Times New Roman" w:ascii="Times New Roman" w:hAnsi="Times New Roman"/>
                <w:sz w:val="24"/>
                <w:szCs w:val="24"/>
              </w:rPr>
              <w:t xml:space="preserve">, проект лесовосстановления и провести работы по лесовосстановлению или лесоразведению на площади равной вырубке лесных насаждений. </w:t>
            </w:r>
            <w:r>
              <w:rPr>
                <w:rFonts w:eastAsia="Times New Roman" w:cs="Times New Roman" w:ascii="Times New Roman" w:hAnsi="Times New Roman"/>
                <w:i/>
                <w:iCs/>
                <w:color w:val="C9211E"/>
                <w:spacing w:val="-7"/>
                <w:sz w:val="22"/>
                <w:szCs w:val="22"/>
                <w:u w:val="single"/>
                <w:shd w:fill="FFFFFF" w:val="clear"/>
                <w:lang w:val="ru-RU" w:eastAsia="ru-RU" w:bidi="ar-SA"/>
              </w:rPr>
              <w:t>П</w:t>
            </w:r>
            <w:r>
              <w:rPr>
                <w:rFonts w:eastAsia="Calibri" w:cs="Times New Roman" w:ascii="Times New Roman" w:hAnsi="Times New Roman"/>
                <w:i/>
                <w:iCs/>
                <w:color w:val="C9211E"/>
                <w:sz w:val="22"/>
                <w:szCs w:val="22"/>
              </w:rPr>
              <w:t>ри выявлении объектов растительного мира, занесенных в Красную книгу Российской Федерации в обязательном порядке уведомить Заказчика и направить обращение в филиал ФГБУ «ФЦАО» НИЦ «Красная Книга» с целью проведения обследования.</w:t>
            </w:r>
          </w:p>
          <w:p>
            <w:pPr>
              <w:pStyle w:val="Normal"/>
              <w:widowControl w:val="false"/>
              <w:bidi w:val="0"/>
              <w:spacing w:lineRule="auto" w:line="240" w:before="57" w:after="57"/>
              <w:ind w:left="57" w:right="57" w:firstLine="283"/>
              <w:jc w:val="both"/>
              <w:rPr/>
            </w:pPr>
            <w:r>
              <w:rPr>
                <w:rFonts w:eastAsia="Calibri" w:cs="Times New Roman" w:ascii="Times New Roman" w:hAnsi="Times New Roman"/>
                <w:i/>
                <w:iCs/>
                <w:color w:val="800000"/>
                <w:sz w:val="24"/>
                <w:szCs w:val="24"/>
                <w:lang w:val="ru-RU" w:eastAsia="en-US" w:bidi="ar-SA"/>
              </w:rPr>
              <w:t>При выявлении зеленых насаждений на муниципальных землях выполнить подеревную съемку и перечетную ведомость, обеспечить получение в администрации МО порубочного талона, произвести оплату компенсационных выплат, вырубку зелёных насаждений, утилизацию порубочных остатков. Все затраты на компенсационные выплаты входят в общую стоимость объекта.</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pPr>
            <w:r>
              <w:rPr>
                <w:rFonts w:cs="Times New Roman" w:ascii="Times New Roman" w:hAnsi="Times New Roman"/>
                <w:i/>
                <w:iCs/>
                <w:sz w:val="22"/>
                <w:szCs w:val="22"/>
              </w:rPr>
              <w:t xml:space="preserve">Графическое описание местоположения границ сервитута (публичного сервитута), </w:t>
            </w:r>
            <w:r>
              <w:rPr>
                <w:rFonts w:eastAsia="Times New Roman" w:cs="Times New Roman" w:ascii="Times New Roman" w:hAnsi="Times New Roman"/>
                <w:i/>
                <w:iCs/>
                <w:color w:val="C9211E"/>
                <w:spacing w:val="-7"/>
                <w:sz w:val="22"/>
                <w:szCs w:val="22"/>
                <w:u w:val="none"/>
                <w:shd w:fill="FFFFFF" w:val="clear"/>
                <w:lang w:val="ru-RU" w:eastAsia="ru-RU" w:bidi="ar-SA"/>
              </w:rPr>
              <w:t xml:space="preserve">Подеревная съемка с составлением перечетной ведомости,  разрешение на снос зеленных насаждений, </w:t>
            </w:r>
            <w:r>
              <w:rPr>
                <w:rFonts w:cs="Times New Roman" w:ascii="Times New Roman" w:hAnsi="Times New Roman"/>
                <w:i/>
                <w:iCs/>
                <w:sz w:val="22"/>
                <w:szCs w:val="22"/>
              </w:rPr>
              <w:t xml:space="preserve"> </w:t>
            </w:r>
            <w:r>
              <w:rPr>
                <w:rFonts w:cs="Times New Roman" w:ascii="Times New Roman" w:hAnsi="Times New Roman"/>
                <w:i/>
                <w:iCs/>
                <w:color w:val="C9211E"/>
                <w:sz w:val="22"/>
                <w:szCs w:val="22"/>
              </w:rPr>
              <w:t>таксационное описание лесосеки</w:t>
            </w:r>
            <w:r>
              <w:rPr>
                <w:rFonts w:cs="Times New Roman" w:ascii="Times New Roman" w:hAnsi="Times New Roman"/>
                <w:i/>
                <w:iCs/>
                <w:sz w:val="22"/>
                <w:szCs w:val="22"/>
              </w:rPr>
              <w:t xml:space="preserve">, проект освоения лесов, лесная декларация, отчеты </w:t>
            </w:r>
            <w:r>
              <w:rPr>
                <w:rFonts w:cs="Times New Roman" w:ascii="Times New Roman" w:hAnsi="Times New Roman"/>
                <w:i/>
                <w:iCs/>
                <w:color w:val="C9211E"/>
                <w:sz w:val="22"/>
                <w:szCs w:val="22"/>
              </w:rPr>
              <w:t>1-ИЛ, 1-ЗЛ, 1-ОЛ,          1-ВЛ,</w:t>
            </w:r>
            <w:r>
              <w:rPr>
                <w:rFonts w:cs="Times New Roman" w:ascii="Times New Roman" w:hAnsi="Times New Roman"/>
                <w:i/>
                <w:iCs/>
                <w:sz w:val="22"/>
                <w:szCs w:val="22"/>
              </w:rPr>
              <w:t xml:space="preserve"> проект лесовосстановления или лесоразведения лесных насаждений.</w:t>
            </w:r>
          </w:p>
          <w:p>
            <w:pPr>
              <w:pStyle w:val="Normal"/>
              <w:widowControl w:val="false"/>
              <w:bidi w:val="0"/>
              <w:spacing w:lineRule="auto" w:line="240" w:before="57" w:after="57"/>
              <w:ind w:left="57" w:right="57" w:hanging="0"/>
              <w:jc w:val="center"/>
              <w:rPr/>
            </w:pPr>
            <w:r>
              <w:rPr>
                <w:rFonts w:eastAsia="Calibri" w:cs="Times New Roman" w:ascii="Times New Roman" w:hAnsi="Times New Roman"/>
                <w:i/>
                <w:iCs/>
                <w:color w:val="C9211E"/>
                <w:sz w:val="22"/>
                <w:szCs w:val="22"/>
              </w:rPr>
              <w:t xml:space="preserve"> </w:t>
            </w:r>
            <w:r>
              <w:rPr>
                <w:rFonts w:eastAsia="Calibri" w:cs="Times New Roman" w:ascii="Times New Roman" w:hAnsi="Times New Roman"/>
                <w:i/>
                <w:iCs/>
                <w:color w:val="C9211E"/>
                <w:sz w:val="22"/>
                <w:szCs w:val="22"/>
              </w:rPr>
              <w:t>Договор от филиал ФГБУ «ФЦАО» НИЦ «Красная Книга» на проведение комплекса компенсационных мероприятий.</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rPr>
            </w:pPr>
            <w:r>
              <w:rPr>
                <w:rFonts w:cs="Times New Roman" w:ascii="Times New Roman" w:hAnsi="Times New Roman"/>
                <w:sz w:val="24"/>
                <w:szCs w:val="24"/>
                <w:lang w:val="en-US"/>
              </w:rPr>
              <w:t>1</w:t>
            </w:r>
            <w:r>
              <w:rPr>
                <w:rFonts w:cs="Times New Roman" w:ascii="Times New Roman" w:hAnsi="Times New Roman"/>
                <w:sz w:val="24"/>
                <w:szCs w:val="24"/>
              </w:rPr>
              <w:t xml:space="preserve">.9. </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bidi w:val="0"/>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sz w:val="24"/>
                <w:szCs w:val="24"/>
              </w:rPr>
              <w:t>Закрепление на местности границ земельного участка, в отношении которого получено разрешение на использование земель, решение об установлении публичного сервитута.</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iCs/>
                <w:sz w:val="22"/>
                <w:szCs w:val="22"/>
              </w:rPr>
              <w:t>Акт закрепления границ земельного участка на местности</w:t>
            </w:r>
          </w:p>
        </w:tc>
        <w:tc>
          <w:tcPr>
            <w:tcW w:w="13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2"/>
                <w:szCs w:val="22"/>
              </w:rPr>
            </w:pPr>
            <w:r>
              <w:rPr>
                <w:rFonts w:cs="Times New Roman" w:ascii="Times New Roman" w:hAnsi="Times New Roman"/>
                <w:i/>
                <w:sz w:val="22"/>
                <w:szCs w:val="22"/>
              </w:rPr>
            </w:r>
          </w:p>
        </w:tc>
      </w:tr>
      <w:tr>
        <w:trPr>
          <w:trHeight w:val="384" w:hRule="atLeast"/>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b/>
                <w:b/>
                <w:sz w:val="24"/>
                <w:szCs w:val="24"/>
              </w:rPr>
            </w:pPr>
            <w:r>
              <w:rPr>
                <w:rFonts w:cs="Times New Roman" w:ascii="Times New Roman" w:hAnsi="Times New Roman"/>
                <w:b w:val="false"/>
                <w:bCs w:val="false"/>
                <w:sz w:val="24"/>
                <w:szCs w:val="24"/>
                <w:lang w:val="en-US"/>
              </w:rPr>
              <w:t>2</w:t>
            </w:r>
            <w:r>
              <w:rPr>
                <w:rFonts w:cs="Times New Roman" w:ascii="Times New Roman" w:hAnsi="Times New Roman"/>
                <w:b w:val="false"/>
                <w:bCs w:val="false"/>
                <w:sz w:val="24"/>
                <w:szCs w:val="24"/>
              </w:rPr>
              <w:t>.</w:t>
            </w:r>
          </w:p>
        </w:tc>
        <w:tc>
          <w:tcPr>
            <w:tcW w:w="883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left"/>
              <w:rPr>
                <w:sz w:val="22"/>
                <w:szCs w:val="22"/>
              </w:rPr>
            </w:pPr>
            <w:r>
              <w:rPr>
                <w:rFonts w:cs="Times New Roman" w:ascii="Times New Roman" w:hAnsi="Times New Roman"/>
                <w:b/>
                <w:sz w:val="22"/>
                <w:szCs w:val="22"/>
              </w:rPr>
              <w:t>ВЫПОЛНЕНИЕ ПРОЕКТНО-ИЗЫСКАТЕЛЬСКИХ РАБОТ</w:t>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sz w:val="24"/>
                <w:szCs w:val="24"/>
                <w:lang w:val="en-US"/>
              </w:rPr>
            </w:pPr>
            <w:r>
              <w:rPr>
                <w:rFonts w:cs="Times New Roman" w:ascii="Times New Roman" w:hAnsi="Times New Roman"/>
                <w:sz w:val="24"/>
                <w:szCs w:val="24"/>
              </w:rPr>
              <w:t>2.1</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firstLine="283"/>
              <w:jc w:val="both"/>
              <w:rPr>
                <w:highlight w:val="yellow"/>
              </w:rPr>
            </w:pPr>
            <w:r>
              <w:rPr>
                <w:rFonts w:ascii="Times New Roman" w:hAnsi="Times New Roman"/>
                <w:sz w:val="24"/>
                <w:szCs w:val="24"/>
              </w:rPr>
              <w:t xml:space="preserve">Выполнить комплекс инженерных изысканий в объеме достаточном для разработки документации. </w:t>
            </w:r>
          </w:p>
          <w:p>
            <w:pPr>
              <w:pStyle w:val="Normal"/>
              <w:widowControl w:val="false"/>
              <w:suppressAutoHyphens w:val="true"/>
              <w:bidi w:val="0"/>
              <w:spacing w:lineRule="auto" w:line="240" w:before="57" w:after="57"/>
              <w:ind w:left="57" w:right="57" w:firstLine="283"/>
              <w:jc w:val="both"/>
              <w:rPr/>
            </w:pPr>
            <w:r>
              <w:rPr>
                <w:rFonts w:ascii="Times New Roman" w:hAnsi="Times New Roman"/>
                <w:sz w:val="24"/>
                <w:szCs w:val="24"/>
              </w:rPr>
              <w:t>Выполнить рабочую документацию по объекту:</w:t>
            </w:r>
          </w:p>
          <w:p>
            <w:pPr>
              <w:pStyle w:val="Normal"/>
              <w:widowControl w:val="false"/>
              <w:tabs>
                <w:tab w:val="left" w:pos="0" w:leader="none"/>
                <w:tab w:val="left" w:pos="2040" w:leader="none"/>
              </w:tabs>
              <w:suppressAutoHyphens w:val="true"/>
              <w:bidi w:val="0"/>
              <w:spacing w:lineRule="auto" w:line="276" w:before="57" w:after="57"/>
              <w:ind w:left="57" w:right="57" w:firstLine="283"/>
              <w:jc w:val="both"/>
              <w:rPr/>
            </w:pPr>
            <w:r>
              <w:rPr>
                <w:rFonts w:cs="Times New Roman" w:ascii="Times New Roman" w:hAnsi="Times New Roman"/>
                <w:iCs/>
                <w:color w:val="00000A"/>
                <w:sz w:val="24"/>
                <w:szCs w:val="24"/>
              </w:rPr>
              <w:t>Строительство ЛЭП 10 кВ и монтаж системы коммерческого учёта электроэнергии (для потребителя ООО «АвтоСтройГруз»</w:t>
            </w:r>
            <w:r>
              <w:rPr>
                <w:rFonts w:eastAsia="Calibri" w:cs="Times New Roman" w:ascii="Times New Roman" w:hAnsi="Times New Roman"/>
                <w:iCs/>
                <w:color w:val="00000A"/>
                <w:sz w:val="24"/>
                <w:szCs w:val="24"/>
                <w:lang w:val="ru-RU" w:eastAsia="en-US" w:bidi="ar-SA"/>
              </w:rPr>
              <w:t>)</w:t>
            </w:r>
          </w:p>
        </w:tc>
        <w:tc>
          <w:tcPr>
            <w:tcW w:w="22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rPr>
            </w:pPr>
            <w:r>
              <w:rPr>
                <w:rFonts w:cs="Times New Roman" w:ascii="Times New Roman" w:hAnsi="Times New Roman"/>
                <w:i/>
                <w:sz w:val="22"/>
                <w:szCs w:val="22"/>
              </w:rPr>
              <w:t>Условная единица (Комплект)</w:t>
            </w:r>
          </w:p>
        </w:tc>
        <w:tc>
          <w:tcPr>
            <w:tcW w:w="13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cs="Times New Roman"/>
                <w:i/>
                <w:i/>
                <w:sz w:val="24"/>
                <w:szCs w:val="24"/>
                <w:lang w:val="en-US"/>
              </w:rPr>
            </w:pPr>
            <w:r>
              <w:rPr>
                <w:rFonts w:cs="Times New Roman" w:ascii="Times New Roman" w:hAnsi="Times New Roman"/>
                <w:i/>
                <w:sz w:val="22"/>
                <w:szCs w:val="22"/>
                <w:lang w:val="en-US"/>
              </w:rPr>
              <w:t>1</w:t>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pPr>
            <w:r>
              <w:rPr>
                <w:rFonts w:cs="Times New Roman" w:ascii="Times New Roman" w:hAnsi="Times New Roman"/>
                <w:sz w:val="24"/>
                <w:szCs w:val="24"/>
              </w:rPr>
              <w:t>3.</w:t>
            </w:r>
          </w:p>
        </w:tc>
        <w:tc>
          <w:tcPr>
            <w:tcW w:w="8834"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left"/>
              <w:rPr>
                <w:rFonts w:ascii="Times New Roman" w:hAnsi="Times New Roman" w:cs="Times New Roman"/>
                <w:i/>
                <w:i/>
                <w:sz w:val="24"/>
                <w:szCs w:val="24"/>
              </w:rPr>
            </w:pPr>
            <w:r>
              <w:rPr>
                <w:rFonts w:cs="Times New Roman" w:ascii="Times New Roman" w:hAnsi="Times New Roman"/>
                <w:b/>
                <w:sz w:val="22"/>
                <w:szCs w:val="22"/>
              </w:rPr>
              <w:t>ПРОВЕДЕНИЕ СТРОИТЕЛЬНО-МОНТАЖНЫХ РАБОТ</w:t>
            </w:r>
          </w:p>
        </w:tc>
      </w:tr>
      <w:tr>
        <w:trPr/>
        <w:tc>
          <w:tcPr>
            <w:tcW w:w="6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eastAsia="Calibri" w:eastAsiaTheme="minorHAnsi"/>
                <w:sz w:val="24"/>
                <w:szCs w:val="24"/>
              </w:rPr>
            </w:pPr>
            <w:r>
              <w:rPr>
                <w:rFonts w:cs="Times New Roman" w:ascii="Times New Roman" w:hAnsi="Times New Roman"/>
                <w:sz w:val="24"/>
                <w:szCs w:val="24"/>
              </w:rPr>
              <w:t>3.1</w:t>
            </w:r>
          </w:p>
        </w:tc>
        <w:tc>
          <w:tcPr>
            <w:tcW w:w="5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tabs>
                <w:tab w:val="left" w:pos="0" w:leader="none"/>
                <w:tab w:val="left" w:pos="2040" w:leader="none"/>
              </w:tabs>
              <w:suppressAutoHyphens w:val="true"/>
              <w:bidi w:val="0"/>
              <w:spacing w:lineRule="auto" w:line="276" w:before="57" w:after="57"/>
              <w:ind w:left="57" w:right="57" w:firstLine="283"/>
              <w:jc w:val="both"/>
              <w:rPr/>
            </w:pPr>
            <w:r>
              <w:rPr>
                <w:rFonts w:cs="Times New Roman" w:ascii="Times New Roman" w:hAnsi="Times New Roman"/>
                <w:iCs/>
                <w:color w:val="00000A"/>
                <w:sz w:val="24"/>
                <w:szCs w:val="24"/>
              </w:rPr>
              <w:t>Строительство ЛЭП 10 кВ и монтаж системы коммерческого учёта электроэнергии (для потребителя ООО «АвтоСтройГруз»</w:t>
            </w:r>
            <w:r>
              <w:rPr>
                <w:rFonts w:eastAsia="Calibri" w:cs="Times New Roman" w:ascii="Times New Roman" w:hAnsi="Times New Roman"/>
                <w:iCs/>
                <w:color w:val="00000A"/>
                <w:sz w:val="24"/>
                <w:szCs w:val="24"/>
                <w:lang w:val="ru-RU" w:eastAsia="en-US" w:bidi="ar-SA"/>
              </w:rPr>
              <w:t>)</w:t>
            </w:r>
          </w:p>
        </w:tc>
        <w:tc>
          <w:tcPr>
            <w:tcW w:w="365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suppressAutoHyphens w:val="true"/>
              <w:bidi w:val="0"/>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sz w:val="22"/>
                <w:szCs w:val="22"/>
                <w:lang w:eastAsia="ru-RU"/>
              </w:rPr>
              <w:t>В соответствии с разработанной РД</w:t>
            </w:r>
          </w:p>
        </w:tc>
      </w:tr>
    </w:tbl>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pPr>
      <w:r>
        <w:rPr>
          <w:rFonts w:eastAsia="Times New Roman" w:cs="Times New Roman" w:ascii="Times New Roman" w:hAnsi="Times New Roman"/>
          <w:b/>
          <w:bCs/>
          <w:sz w:val="24"/>
          <w:szCs w:val="24"/>
          <w:lang w:eastAsia="ru-RU"/>
        </w:rPr>
        <w:t>2.1.2. Требования к срокам выполнения работ</w:t>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Таблица 3. Требования по срокам выполнения работ</w:t>
      </w:r>
    </w:p>
    <w:tbl>
      <w:tblPr>
        <w:tblW w:w="9497" w:type="dxa"/>
        <w:jc w:val="left"/>
        <w:tblInd w:w="-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3" w:type="dxa"/>
        </w:tblCellMar>
        <w:tblLook w:val="04a0" w:noVBand="1" w:noHBand="0" w:lastColumn="0" w:firstColumn="1" w:lastRow="0" w:firstRow="1"/>
      </w:tblPr>
      <w:tblGrid>
        <w:gridCol w:w="566"/>
        <w:gridCol w:w="3831"/>
        <w:gridCol w:w="2097"/>
        <w:gridCol w:w="3002"/>
      </w:tblGrid>
      <w:tr>
        <w:trPr/>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п/п</w:t>
            </w:r>
          </w:p>
        </w:tc>
        <w:tc>
          <w:tcPr>
            <w:tcW w:w="3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работ/ этапа работ</w:t>
            </w:r>
          </w:p>
        </w:tc>
        <w:tc>
          <w:tcPr>
            <w:tcW w:w="2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началу срока выполнения работ/ этапа работ</w:t>
            </w:r>
          </w:p>
        </w:tc>
        <w:tc>
          <w:tcPr>
            <w:tcW w:w="30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Требования к окончанию срока выполнения работ / этапа работ</w:t>
            </w:r>
          </w:p>
        </w:tc>
      </w:tr>
      <w:tr>
        <w:trPr/>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3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2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30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w:t>
            </w:r>
          </w:p>
        </w:tc>
      </w:tr>
      <w:tr>
        <w:trPr/>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3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left"/>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lang w:eastAsia="ru-RU"/>
              </w:rPr>
              <w:t xml:space="preserve">Оформление правоустанавливающих документов на земельные участки </w:t>
            </w:r>
          </w:p>
        </w:tc>
        <w:tc>
          <w:tcPr>
            <w:tcW w:w="2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 течение </w:t>
            </w:r>
            <w:r>
              <w:rPr>
                <w:rFonts w:eastAsia="Times New Roman" w:cs="Times New Roman" w:ascii="Times New Roman" w:hAnsi="Times New Roman"/>
                <w:i/>
                <w:color w:val="C9211E"/>
                <w:sz w:val="24"/>
                <w:szCs w:val="24"/>
                <w:lang w:eastAsia="ru-RU"/>
              </w:rPr>
              <w:t>90</w:t>
            </w:r>
            <w:r>
              <w:rPr>
                <w:rFonts w:eastAsia="Times New Roman" w:cs="Times New Roman" w:ascii="Times New Roman" w:hAnsi="Times New Roman"/>
                <w:i/>
                <w:sz w:val="24"/>
                <w:szCs w:val="24"/>
                <w:lang w:eastAsia="ru-RU"/>
              </w:rPr>
              <w:t xml:space="preserve"> календарных дней</w:t>
            </w:r>
          </w:p>
        </w:tc>
      </w:tr>
      <w:tr>
        <w:trPr/>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3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Разработка, согласование с Заказчиком рабочей документации</w:t>
            </w:r>
          </w:p>
        </w:tc>
        <w:tc>
          <w:tcPr>
            <w:tcW w:w="2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В течение 45 календарных дней </w:t>
            </w:r>
          </w:p>
        </w:tc>
      </w:tr>
      <w:tr>
        <w:trPr>
          <w:trHeight w:val="674" w:hRule="atLeast"/>
        </w:trPr>
        <w:tc>
          <w:tcPr>
            <w:tcW w:w="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38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Проведение строительно-монтажных работ</w:t>
            </w:r>
          </w:p>
        </w:tc>
        <w:tc>
          <w:tcPr>
            <w:tcW w:w="20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начала действия договора подряда</w:t>
            </w:r>
          </w:p>
        </w:tc>
        <w:tc>
          <w:tcPr>
            <w:tcW w:w="30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vAlign w:val="center"/>
          </w:tcPr>
          <w:p>
            <w:pPr>
              <w:pStyle w:val="Normal"/>
              <w:widowControl w:val="false"/>
              <w:bidi w:val="0"/>
              <w:spacing w:lineRule="auto" w:line="240" w:before="57" w:after="57"/>
              <w:ind w:left="57" w:right="57" w:hanging="0"/>
              <w:jc w:val="center"/>
              <w:rPr/>
            </w:pPr>
            <w:r>
              <w:rPr>
                <w:rFonts w:eastAsia="Times New Roman" w:cs="Times New Roman" w:ascii="Times New Roman" w:hAnsi="Times New Roman"/>
                <w:i/>
                <w:sz w:val="24"/>
                <w:szCs w:val="24"/>
                <w:lang w:eastAsia="ru-RU"/>
              </w:rPr>
              <w:t>В течение 60 календарных дней</w:t>
            </w:r>
          </w:p>
        </w:tc>
      </w:tr>
    </w:tbl>
    <w:p>
      <w:pPr>
        <w:sectPr>
          <w:footerReference w:type="default" r:id="rId2"/>
          <w:type w:val="nextPage"/>
          <w:pgSz w:w="11906" w:h="16838"/>
          <w:pgMar w:left="1701" w:right="850" w:header="0" w:top="993" w:footer="708" w:bottom="765" w:gutter="0"/>
          <w:pgNumType w:fmt="decimal"/>
          <w:formProt w:val="false"/>
          <w:textDirection w:val="lrTb"/>
          <w:docGrid w:type="default" w:linePitch="360" w:charSpace="4294965247"/>
        </w:sectPr>
        <w:pStyle w:val="Normal"/>
        <w:spacing w:lineRule="auto" w:line="240" w:before="0" w:after="120"/>
        <w:jc w:val="both"/>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20"/>
        <w:jc w:val="both"/>
        <w:rPr/>
      </w:pPr>
      <w:r>
        <w:rPr>
          <w:rFonts w:eastAsia="Times New Roman" w:cs="Times New Roman" w:ascii="Times New Roman" w:hAnsi="Times New Roman"/>
          <w:b/>
          <w:bCs/>
          <w:sz w:val="24"/>
          <w:szCs w:val="24"/>
          <w:lang w:eastAsia="ru-RU"/>
        </w:rPr>
        <w:t>2.2. Требования к качеству работ</w:t>
      </w:r>
    </w:p>
    <w:p>
      <w:pPr>
        <w:pStyle w:val="Normal"/>
        <w:keepNext w:val="true"/>
        <w:keepLines/>
        <w:numPr>
          <w:ilvl w:val="0"/>
          <w:numId w:val="0"/>
        </w:numPr>
        <w:spacing w:lineRule="auto" w:line="240" w:before="0" w:after="0"/>
        <w:outlineLvl w:val="0"/>
        <w:rPr>
          <w:rFonts w:ascii="Times New Roman" w:hAnsi="Times New Roman" w:cs="Times New Roman"/>
          <w:sz w:val="24"/>
          <w:szCs w:val="24"/>
          <w:lang w:eastAsia="x-none"/>
        </w:rPr>
      </w:pPr>
      <w:r>
        <w:rPr>
          <w:rFonts w:cs="Times New Roman" w:ascii="Times New Roman" w:hAnsi="Times New Roman"/>
          <w:sz w:val="24"/>
          <w:szCs w:val="24"/>
          <w:lang w:val="x-none" w:eastAsia="x-none"/>
        </w:rPr>
        <w:t>Таблица</w:t>
      </w:r>
      <w:r>
        <w:rPr>
          <w:rFonts w:cs="Times New Roman" w:ascii="Times New Roman" w:hAnsi="Times New Roman"/>
          <w:sz w:val="24"/>
          <w:szCs w:val="24"/>
          <w:lang w:eastAsia="x-none"/>
        </w:rPr>
        <w:t xml:space="preserve"> 4</w:t>
      </w:r>
      <w:r>
        <w:rPr>
          <w:rFonts w:cs="Times New Roman" w:ascii="Times New Roman" w:hAnsi="Times New Roman"/>
          <w:sz w:val="24"/>
          <w:szCs w:val="24"/>
          <w:lang w:val="x-none" w:eastAsia="x-none"/>
        </w:rPr>
        <w:t xml:space="preserve">. Требования к </w:t>
      </w:r>
      <w:r>
        <w:rPr>
          <w:rFonts w:cs="Times New Roman" w:ascii="Times New Roman" w:hAnsi="Times New Roman"/>
          <w:sz w:val="24"/>
          <w:szCs w:val="24"/>
          <w:lang w:eastAsia="x-none"/>
        </w:rPr>
        <w:t>качеству работ</w:t>
      </w:r>
    </w:p>
    <w:p>
      <w:pPr>
        <w:pStyle w:val="Normal"/>
        <w:keepNext w:val="true"/>
        <w:keepLines/>
        <w:numPr>
          <w:ilvl w:val="0"/>
          <w:numId w:val="0"/>
        </w:numPr>
        <w:spacing w:lineRule="auto" w:line="240" w:before="0" w:after="0"/>
        <w:outlineLvl w:val="0"/>
        <w:rPr>
          <w:rFonts w:ascii="Times New Roman" w:hAnsi="Times New Roman" w:cs="Times New Roman"/>
          <w:color w:val="002060"/>
          <w:sz w:val="24"/>
          <w:szCs w:val="24"/>
          <w:lang w:val="x-none" w:eastAsia="x-none"/>
        </w:rPr>
      </w:pPr>
      <w:r>
        <w:rPr>
          <w:rFonts w:cs="Times New Roman" w:ascii="Times New Roman" w:hAnsi="Times New Roman"/>
          <w:sz w:val="24"/>
          <w:szCs w:val="24"/>
          <w:lang w:eastAsia="x-none"/>
        </w:rPr>
        <w:t>Наименование работ:</w:t>
      </w:r>
      <w:r>
        <w:rPr>
          <w:rFonts w:cs="Times New Roman" w:ascii="Times New Roman" w:hAnsi="Times New Roman"/>
          <w:sz w:val="24"/>
          <w:szCs w:val="24"/>
          <w:lang w:val="x-none" w:eastAsia="x-none"/>
        </w:rPr>
        <w:t xml:space="preserve"> </w:t>
      </w:r>
      <w:r>
        <w:rPr>
          <w:rFonts w:cs="Times New Roman" w:ascii="Times New Roman" w:hAnsi="Times New Roman"/>
          <w:sz w:val="24"/>
          <w:szCs w:val="24"/>
          <w:lang w:eastAsia="x-none"/>
        </w:rPr>
        <w:t>«Оформление ПУД, подготовка РД, выполнение СМР»</w:t>
      </w:r>
    </w:p>
    <w:tbl>
      <w:tblPr>
        <w:tblStyle w:val="affe"/>
        <w:tblpPr w:bottomFromText="0" w:horzAnchor="text" w:leftFromText="180" w:rightFromText="180" w:tblpX="-5" w:tblpY="1" w:topFromText="0" w:vertAnchor="text"/>
        <w:tblW w:w="16013" w:type="dxa"/>
        <w:jc w:val="left"/>
        <w:tblInd w:w="0" w:type="dxa"/>
        <w:tblCellMar>
          <w:top w:w="0" w:type="dxa"/>
          <w:left w:w="-5" w:type="dxa"/>
          <w:bottom w:w="0" w:type="dxa"/>
          <w:right w:w="23" w:type="dxa"/>
        </w:tblCellMar>
        <w:tblLook w:val="04a0" w:noVBand="1" w:noHBand="0" w:lastColumn="0" w:firstColumn="1" w:lastRow="0" w:firstRow="1"/>
      </w:tblPr>
      <w:tblGrid>
        <w:gridCol w:w="563"/>
        <w:gridCol w:w="2455"/>
        <w:gridCol w:w="5"/>
        <w:gridCol w:w="30"/>
        <w:gridCol w:w="9597"/>
        <w:gridCol w:w="1526"/>
        <w:gridCol w:w="1837"/>
      </w:tblGrid>
      <w:tr>
        <w:trPr/>
        <w:tc>
          <w:tcPr>
            <w:tcW w:w="563" w:type="dxa"/>
            <w:vMerge w:val="restart"/>
            <w:tcBorders/>
            <w:shd w:color="auto" w:fill="auto" w:val="clear"/>
            <w:tcMar>
              <w:left w:w="-5" w:type="dxa"/>
            </w:tcMar>
            <w:vAlign w:val="cente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 xml:space="preserve">№ </w:t>
            </w:r>
            <w:r>
              <w:rPr>
                <w:rFonts w:eastAsia="Times New Roman" w:cs="Times New Roman" w:ascii="Times New Roman" w:hAnsi="Times New Roman"/>
                <w:b/>
                <w:bCs/>
                <w:sz w:val="24"/>
                <w:szCs w:val="24"/>
                <w:lang w:val="ru-RU" w:eastAsia="ru-RU" w:bidi="ar-SA"/>
              </w:rPr>
              <w:t>п/п</w:t>
            </w:r>
          </w:p>
        </w:tc>
        <w:tc>
          <w:tcPr>
            <w:tcW w:w="2460" w:type="dxa"/>
            <w:gridSpan w:val="2"/>
            <w:vMerge w:val="restart"/>
            <w:tcBorders/>
            <w:shd w:color="auto" w:fill="auto" w:val="clear"/>
            <w:tcMar>
              <w:left w:w="-5" w:type="dxa"/>
              <w:right w:w="108" w:type="dxa"/>
            </w:tcMar>
            <w:vAlign w:val="center"/>
          </w:tcPr>
          <w:p>
            <w:pPr>
              <w:pStyle w:val="Normal"/>
              <w:widowControl/>
              <w:bidi w:val="0"/>
              <w:spacing w:lineRule="auto" w:line="240" w:before="57" w:after="57"/>
              <w:ind w:left="57" w:right="57" w:hanging="0"/>
              <w:jc w:val="center"/>
              <w:rPr>
                <w:b/>
                <w:b/>
                <w:bCs/>
                <w:sz w:val="24"/>
                <w:szCs w:val="24"/>
              </w:rPr>
            </w:pPr>
            <w:r>
              <w:rPr>
                <w:rFonts w:eastAsia="Times New Roman" w:cs="Times New Roman" w:ascii="Times New Roman" w:hAnsi="Times New Roman"/>
                <w:b/>
                <w:bCs/>
                <w:sz w:val="24"/>
                <w:szCs w:val="24"/>
                <w:lang w:val="ru-RU" w:eastAsia="ru-RU" w:bidi="ar-SA"/>
              </w:rPr>
              <w:t>Наименование параметра</w:t>
            </w:r>
          </w:p>
        </w:tc>
        <w:tc>
          <w:tcPr>
            <w:tcW w:w="9627" w:type="dxa"/>
            <w:gridSpan w:val="2"/>
            <w:vMerge w:val="restart"/>
            <w:tcBorders/>
            <w:shd w:color="auto" w:fill="auto" w:val="clear"/>
            <w:tcMar>
              <w:left w:w="-5" w:type="dxa"/>
              <w:right w:w="108" w:type="dxa"/>
            </w:tcMar>
            <w:vAlign w:val="cente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Требование заказчика</w:t>
            </w:r>
          </w:p>
        </w:tc>
        <w:tc>
          <w:tcPr>
            <w:tcW w:w="3363" w:type="dxa"/>
            <w:gridSpan w:val="2"/>
            <w:tcBorders/>
            <w:shd w:color="auto" w:fill="auto" w:val="clear"/>
            <w:tcMar>
              <w:left w:w="-5" w:type="dxa"/>
              <w:right w:w="108" w:type="dxa"/>
            </w:tcMar>
            <w:vAlign w:val="cente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bCs/>
                <w:sz w:val="20"/>
                <w:szCs w:val="20"/>
                <w:lang w:val="ru-RU" w:eastAsia="ru-RU" w:bidi="ar-SA"/>
              </w:rPr>
              <w:t>Способ подтверждения участником соответствия требованиям</w:t>
            </w:r>
          </w:p>
        </w:tc>
      </w:tr>
      <w:tr>
        <w:trPr/>
        <w:tc>
          <w:tcPr>
            <w:tcW w:w="563" w:type="dxa"/>
            <w:vMerge w:val="continue"/>
            <w:tcBorders/>
            <w:shd w:color="auto" w:fill="auto" w:val="clear"/>
            <w:tcMar>
              <w:left w:w="-5" w:type="dxa"/>
            </w:tcMar>
            <w:vAlign w:val="cente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2460" w:type="dxa"/>
            <w:gridSpan w:val="2"/>
            <w:vMerge w:val="continue"/>
            <w:tcBorders/>
            <w:shd w:color="auto" w:fill="auto" w:val="clear"/>
            <w:tcMar>
              <w:left w:w="-5" w:type="dxa"/>
              <w:right w:w="108" w:type="dxa"/>
            </w:tcMar>
            <w:vAlign w:val="center"/>
          </w:tcPr>
          <w:p>
            <w:pPr>
              <w:pStyle w:val="Normal"/>
              <w:widowControl/>
              <w:bidi w:val="0"/>
              <w:spacing w:lineRule="auto" w:line="240" w:before="57" w:after="57"/>
              <w:ind w:left="57" w:right="57" w:hanging="0"/>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9627" w:type="dxa"/>
            <w:gridSpan w:val="2"/>
            <w:vMerge w:val="continue"/>
            <w:tcBorders/>
            <w:shd w:color="auto" w:fill="auto" w:val="clear"/>
            <w:tcMar>
              <w:left w:w="-5" w:type="dxa"/>
              <w:right w:w="108" w:type="dxa"/>
            </w:tcMar>
            <w:vAlign w:val="cente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526" w:type="dxa"/>
            <w:tcBorders/>
            <w:shd w:color="auto" w:fill="auto" w:val="clear"/>
            <w:tcMar>
              <w:left w:w="-5" w:type="dxa"/>
              <w:right w:w="108" w:type="dxa"/>
            </w:tcMar>
            <w:vAlign w:val="cente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bCs/>
                <w:sz w:val="20"/>
                <w:szCs w:val="20"/>
                <w:lang w:val="ru-RU" w:eastAsia="ru-RU" w:bidi="ar-SA"/>
              </w:rPr>
              <w:t>Согласие с требованием/ указание характеристик</w:t>
            </w:r>
          </w:p>
        </w:tc>
        <w:tc>
          <w:tcPr>
            <w:tcW w:w="1837" w:type="dxa"/>
            <w:tcBorders/>
            <w:shd w:color="auto" w:fill="auto" w:val="clear"/>
            <w:tcMar>
              <w:left w:w="-5" w:type="dxa"/>
              <w:right w:w="108" w:type="dxa"/>
            </w:tcMar>
            <w:vAlign w:val="cente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bCs/>
                <w:sz w:val="20"/>
                <w:szCs w:val="20"/>
                <w:lang w:val="ru-RU" w:eastAsia="ru-RU" w:bidi="ar-SA"/>
              </w:rPr>
              <w:t>Предоставление подтверждающего документа или иной способ подтверждения</w:t>
            </w:r>
          </w:p>
        </w:tc>
      </w:tr>
      <w:tr>
        <w:trPr/>
        <w:tc>
          <w:tcPr>
            <w:tcW w:w="563" w:type="dxa"/>
            <w:tcBorders/>
            <w:shd w:color="auto" w:fill="auto" w:val="clear"/>
            <w:tcMar>
              <w:left w:w="-5" w:type="dxa"/>
            </w:tcMar>
            <w:vAlign w:val="cente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w:t>
            </w:r>
          </w:p>
        </w:tc>
        <w:tc>
          <w:tcPr>
            <w:tcW w:w="2460" w:type="dxa"/>
            <w:gridSpan w:val="2"/>
            <w:tcBorders/>
            <w:shd w:color="auto" w:fill="auto" w:val="clear"/>
            <w:tcMar>
              <w:left w:w="-5" w:type="dxa"/>
              <w:right w:w="108" w:type="dxa"/>
            </w:tcMar>
            <w:vAlign w:val="center"/>
          </w:tcPr>
          <w:p>
            <w:pPr>
              <w:pStyle w:val="Normal"/>
              <w:widowControl/>
              <w:bidi w:val="0"/>
              <w:spacing w:lineRule="auto" w:line="240" w:before="57" w:after="57"/>
              <w:ind w:left="57" w:right="57" w:hanging="0"/>
              <w:jc w:val="center"/>
              <w:rPr>
                <w:b/>
                <w:b/>
                <w:bCs/>
                <w:sz w:val="24"/>
                <w:szCs w:val="24"/>
              </w:rPr>
            </w:pPr>
            <w:r>
              <w:rPr>
                <w:rFonts w:eastAsia="Times New Roman" w:cs="Times New Roman" w:ascii="Times New Roman" w:hAnsi="Times New Roman"/>
                <w:b/>
                <w:bCs/>
                <w:sz w:val="24"/>
                <w:szCs w:val="24"/>
                <w:lang w:val="ru-RU" w:eastAsia="ru-RU" w:bidi="ar-SA"/>
              </w:rPr>
              <w:t>2</w:t>
            </w:r>
          </w:p>
        </w:tc>
        <w:tc>
          <w:tcPr>
            <w:tcW w:w="9627" w:type="dxa"/>
            <w:gridSpan w:val="2"/>
            <w:tcBorders/>
            <w:shd w:color="auto" w:fill="auto" w:val="clear"/>
            <w:tcMar>
              <w:left w:w="-5" w:type="dxa"/>
              <w:right w:w="108" w:type="dxa"/>
            </w:tcMar>
            <w:vAlign w:val="cente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3</w:t>
            </w:r>
          </w:p>
        </w:tc>
        <w:tc>
          <w:tcPr>
            <w:tcW w:w="1526" w:type="dxa"/>
            <w:tcBorders/>
            <w:shd w:color="auto" w:fill="auto" w:val="clear"/>
            <w:tcMar>
              <w:left w:w="-5" w:type="dxa"/>
              <w:right w:w="108" w:type="dxa"/>
            </w:tcMar>
            <w:vAlign w:val="cente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bCs/>
                <w:sz w:val="24"/>
                <w:szCs w:val="24"/>
                <w:lang w:val="ru-RU" w:eastAsia="ru-RU" w:bidi="ar-SA"/>
              </w:rPr>
              <w:t>4</w:t>
            </w:r>
          </w:p>
        </w:tc>
        <w:tc>
          <w:tcPr>
            <w:tcW w:w="1837" w:type="dxa"/>
            <w:tcBorders/>
            <w:shd w:color="auto" w:fill="auto" w:val="clear"/>
            <w:tcMar>
              <w:left w:w="-5" w:type="dxa"/>
              <w:right w:w="108" w:type="dxa"/>
            </w:tcMar>
            <w:vAlign w:val="cente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bCs/>
                <w:sz w:val="24"/>
                <w:szCs w:val="24"/>
                <w:lang w:val="ru-RU" w:eastAsia="ru-RU" w:bidi="ar-SA"/>
              </w:rPr>
              <w:t>5</w:t>
            </w:r>
          </w:p>
        </w:tc>
      </w:tr>
      <w:tr>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w:t>
            </w:r>
          </w:p>
        </w:tc>
        <w:tc>
          <w:tcPr>
            <w:tcW w:w="15450" w:type="dxa"/>
            <w:gridSpan w:val="6"/>
            <w:tcBorders/>
            <w:shd w:color="auto" w:fill="auto" w:val="clear"/>
            <w:tcMar>
              <w:left w:w="-5" w:type="dxa"/>
              <w:right w:w="108" w:type="dxa"/>
            </w:tcMar>
            <w:vAlign w:val="center"/>
          </w:tcPr>
          <w:p>
            <w:pPr>
              <w:pStyle w:val="Normal"/>
              <w:widowControl/>
              <w:bidi w:val="0"/>
              <w:spacing w:lineRule="auto" w:line="240" w:before="57" w:after="57"/>
              <w:ind w:left="57" w:right="57" w:hanging="0"/>
              <w:jc w:val="both"/>
              <w:rPr>
                <w:rFonts w:ascii="Times New Roman" w:hAnsi="Times New Roman"/>
              </w:rPr>
            </w:pPr>
            <w:r>
              <w:rPr>
                <w:rFonts w:eastAsia="Times New Roman" w:cs="Times New Roman" w:ascii="Times New Roman" w:hAnsi="Times New Roman"/>
                <w:b/>
                <w:bCs/>
                <w:sz w:val="24"/>
                <w:szCs w:val="24"/>
                <w:lang w:val="ru-RU" w:eastAsia="ru-RU" w:bidi="ar-SA"/>
              </w:rPr>
              <w:t>Требования к выполнению работ</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w:t>
            </w:r>
          </w:p>
        </w:tc>
        <w:tc>
          <w:tcPr>
            <w:tcW w:w="12087" w:type="dxa"/>
            <w:gridSpan w:val="4"/>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both"/>
              <w:rPr>
                <w:b/>
                <w:b/>
                <w:sz w:val="24"/>
                <w:szCs w:val="24"/>
              </w:rPr>
            </w:pPr>
            <w:r>
              <w:rPr>
                <w:rFonts w:eastAsia="Times New Roman" w:cs="Times New Roman" w:ascii="Times New Roman" w:hAnsi="Times New Roman"/>
                <w:b/>
                <w:sz w:val="24"/>
                <w:szCs w:val="24"/>
                <w:lang w:val="ru-RU" w:eastAsia="ru-RU" w:bidi="ar-SA"/>
              </w:rPr>
              <w:t>Общие требования выполнения работ</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1.1.1</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sz w:val="24"/>
                <w:szCs w:val="24"/>
              </w:rPr>
            </w:pPr>
            <w:r>
              <w:rPr>
                <w:rFonts w:eastAsia="Times New Roman" w:cs="Times New Roman" w:ascii="Times New Roman" w:hAnsi="Times New Roman"/>
                <w:i/>
                <w:sz w:val="24"/>
                <w:szCs w:val="24"/>
                <w:lang w:val="ru-RU" w:eastAsia="ru-RU" w:bidi="ar-SA"/>
              </w:rPr>
              <w:t>Соблюдение требований технических регламентов, иных нормативных правовых актов и (или) нормативных документов при выполнении кадастровых работ</w:t>
            </w:r>
          </w:p>
        </w:tc>
        <w:tc>
          <w:tcPr>
            <w:tcW w:w="9632" w:type="dxa"/>
            <w:gridSpan w:val="3"/>
            <w:tcBorders/>
            <w:shd w:color="auto" w:fill="auto" w:val="clear"/>
            <w:tcMar>
              <w:left w:w="-5" w:type="dxa"/>
              <w:right w:w="108" w:type="dxa"/>
            </w:tcMar>
          </w:tcPr>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При выполнении работ руководствоваться:</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 Земельным кодексом Российской Федерации;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2. Градостроительным кодексом РФ;</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3. Гражданским кодексом РФ;</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4. Лесным кодексом РФ;</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5. Федеральным законом от 13.07.2015 № 218-ФЗ «О государственной регистрации недвижимости»;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6. Федеральный закон от 24.07.2007 г. № 221-ФЗ «О кадастровой деятельности»;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7. Федеральным законом от 30.12.2015 N 431-ФЗ «О геодезии, картографии и пространственных данных и о внесении изменений в отдельные законодательные акты Российской Федерации»;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8. Приказом Росреестра от 20.10.2020 N П/0387 «Об утверждении Порядка установления местных систем координат».</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9. Приказом Росреестра от 19.04.2022 N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10.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11.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12. Приказом Минприроды 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13. Постановлением Правительства РФ от 24.11.2016 N 1240 «Об установлении государственных систем координат, государственной системы высот и государственной гравиметрической системы»;</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14. Постановлением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15. Нормами отвода земель, для электрических сетей напряжением 0,38-750 кВ № 14278тм-т1;</w:t>
            </w:r>
          </w:p>
          <w:p>
            <w:pPr>
              <w:pStyle w:val="ListParagraph"/>
              <w:widowControl w:val="false"/>
              <w:tabs>
                <w:tab w:val="left" w:pos="466" w:leader="none"/>
              </w:tabs>
              <w:bidi w:val="0"/>
              <w:spacing w:lineRule="auto" w:line="240" w:before="57" w:after="57"/>
              <w:ind w:left="57" w:right="57" w:firstLine="283"/>
              <w:jc w:val="both"/>
              <w:rPr>
                <w:sz w:val="24"/>
                <w:szCs w:val="24"/>
              </w:rPr>
            </w:pPr>
            <w:r>
              <w:rPr>
                <w:iCs/>
                <w:spacing w:val="-7"/>
                <w:sz w:val="24"/>
                <w:szCs w:val="24"/>
                <w:lang w:bidi="ar-SA"/>
              </w:rPr>
              <w:t>16. Постановлением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Приморского края».</w:t>
            </w:r>
          </w:p>
          <w:p>
            <w:pPr>
              <w:pStyle w:val="ListParagraph"/>
              <w:widowControl w:val="false"/>
              <w:tabs>
                <w:tab w:val="left" w:pos="466" w:leader="none"/>
              </w:tabs>
              <w:bidi w:val="0"/>
              <w:spacing w:lineRule="auto" w:line="240" w:before="57" w:after="57"/>
              <w:ind w:left="57" w:right="57" w:firstLine="283"/>
              <w:jc w:val="both"/>
              <w:rPr>
                <w:sz w:val="24"/>
                <w:szCs w:val="24"/>
              </w:rPr>
            </w:pPr>
            <w:r>
              <w:rPr>
                <w:iCs/>
                <w:spacing w:val="-7"/>
                <w:sz w:val="24"/>
                <w:szCs w:val="24"/>
                <w:lang w:bidi="ar-SA"/>
              </w:rPr>
              <w:t xml:space="preserve">17. </w:t>
            </w:r>
            <w:r>
              <w:rPr>
                <w:iCs/>
                <w:color w:val="C9211E"/>
                <w:spacing w:val="-7"/>
                <w:sz w:val="24"/>
                <w:szCs w:val="24"/>
                <w:lang w:bidi="ar-SA"/>
              </w:rPr>
              <w:t>Приказом Министерства природных ресурсов и экологии РФ от 23 мая 2023 г. № 320</w:t>
              <w:br/>
              <w:t>“Об утверждении Перечня объектов растительного мира, занесенных в Красную книгу Российской Федерации”.</w:t>
            </w:r>
          </w:p>
          <w:p>
            <w:pPr>
              <w:pStyle w:val="ListParagraph"/>
              <w:widowControl w:val="false"/>
              <w:tabs>
                <w:tab w:val="left" w:pos="466" w:leader="none"/>
              </w:tabs>
              <w:bidi w:val="0"/>
              <w:spacing w:lineRule="auto" w:line="240" w:before="57" w:after="57"/>
              <w:ind w:left="57" w:right="57" w:firstLine="283"/>
              <w:jc w:val="both"/>
              <w:rPr>
                <w:sz w:val="24"/>
                <w:szCs w:val="24"/>
              </w:rPr>
            </w:pPr>
            <w:r>
              <w:rPr>
                <w:iCs/>
                <w:color w:val="C9211E"/>
                <w:spacing w:val="-7"/>
                <w:sz w:val="24"/>
                <w:szCs w:val="24"/>
                <w:lang w:bidi="ar-SA"/>
              </w:rPr>
              <w:t xml:space="preserve">18. </w:t>
            </w:r>
            <w:r>
              <w:rPr>
                <w:rFonts w:cs="Times New Roman"/>
                <w:iCs/>
                <w:color w:val="C9211E"/>
                <w:spacing w:val="-7"/>
                <w:sz w:val="24"/>
                <w:szCs w:val="24"/>
                <w:lang w:eastAsia="ru-RU" w:bidi="ar-SA"/>
              </w:rPr>
              <w:t>В случае если какой-либо из указанных нормативных документов был отменен в связи с выпуском новой редакции стандарта, то необходимо применять нормативный документ, принятый в его развитие</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1.1.2</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sz w:val="24"/>
                <w:szCs w:val="24"/>
              </w:rPr>
            </w:pPr>
            <w:r>
              <w:rPr>
                <w:rFonts w:eastAsia="Times New Roman" w:cs="Times New Roman" w:ascii="Times New Roman" w:hAnsi="Times New Roman"/>
                <w:i/>
                <w:sz w:val="24"/>
                <w:szCs w:val="24"/>
                <w:lang w:val="ru-RU" w:eastAsia="ru-RU" w:bidi="ar-SA"/>
              </w:rPr>
              <w:t>Требования к оформлению ПУД</w:t>
            </w:r>
          </w:p>
        </w:tc>
        <w:tc>
          <w:tcPr>
            <w:tcW w:w="9632" w:type="dxa"/>
            <w:gridSpan w:val="3"/>
            <w:tcBorders/>
            <w:shd w:color="auto" w:fill="auto" w:val="clear"/>
            <w:tcMar>
              <w:left w:w="-5" w:type="dxa"/>
              <w:right w:w="108" w:type="dxa"/>
            </w:tcMar>
          </w:tcPr>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1. ПУД на ЗУ должны быть выданы уполномоченным органом власти и быть действующими, в период реализации объекта.</w:t>
            </w:r>
          </w:p>
          <w:p>
            <w:pPr>
              <w:pStyle w:val="Standard"/>
              <w:widowControl/>
              <w:shd w:val="clear" w:color="auto" w:fill="FFFFFF"/>
              <w:bidi w:val="0"/>
              <w:spacing w:lineRule="auto" w:line="240" w:before="57" w:after="57"/>
              <w:ind w:left="57" w:right="57" w:firstLine="283"/>
              <w:jc w:val="both"/>
              <w:rPr>
                <w:lang w:val="ru-RU" w:eastAsia="ru-RU" w:bidi="ar-SA"/>
              </w:rPr>
            </w:pPr>
            <w:r>
              <w:rPr>
                <w:rFonts w:ascii="Times New Roman" w:hAnsi="Times New Roman"/>
                <w:iCs/>
                <w:spacing w:val="-7"/>
                <w:sz w:val="24"/>
                <w:szCs w:val="24"/>
                <w:lang w:val="ru-RU" w:eastAsia="ru-RU" w:bidi="ar-SA"/>
              </w:rPr>
              <w:t>2. Сведения о границах сервитута, включающие графическое описание местоположения границ публичного сервитута, и перечень координат характерных точек этих границ изготовить в соответствии с приказом Минэкономразвития России от 13.01.2021 №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в электронном формате на CD диске в формате XML.</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3. Ходатайство об установлении публичного сервитута подготовить в соответствии с Приказом Росреестра от 19.04.2022 N П/0150 (ред. от 18.10.2022)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4. Графическое описание местоположения границ, соглашение об установлении сервитута на части лесного участка изготовить в количестве 2 (двух) экземплярах на бумажном носителе и в форме электронного документа в виде файлов в формате *pdf (графическая часть) и *.doc (текстовая часть).</w:t>
            </w:r>
          </w:p>
          <w:p>
            <w:pPr>
              <w:pStyle w:val="Normal"/>
              <w:widowControl w:val="false"/>
              <w:tabs>
                <w:tab w:val="left" w:pos="993" w:leader="none"/>
              </w:tabs>
              <w:suppressAutoHyphens w:val="true"/>
              <w:bidi w:val="0"/>
              <w:spacing w:lineRule="auto" w:line="240" w:before="57" w:after="57"/>
              <w:ind w:left="57" w:right="57" w:firstLine="283"/>
              <w:jc w:val="both"/>
              <w:rPr>
                <w:rFonts w:ascii="Liberation Serif" w:hAnsi="Liberation Serif"/>
                <w:b w:val="false"/>
                <w:b w:val="false"/>
                <w:bCs w:val="false"/>
                <w:color w:val="C9211E"/>
                <w:sz w:val="24"/>
                <w:szCs w:val="24"/>
              </w:rPr>
            </w:pPr>
            <w:r>
              <w:rPr>
                <w:rFonts w:ascii="Times New Roman" w:hAnsi="Times New Roman"/>
                <w:b w:val="false"/>
                <w:bCs w:val="false"/>
                <w:iCs/>
                <w:color w:val="C9211E"/>
                <w:spacing w:val="-7"/>
                <w:sz w:val="24"/>
                <w:szCs w:val="24"/>
              </w:rPr>
              <w:t>- при пересечении автомобильных дорог муниципального, регионального значения подготовить графический материал в соответствии с требованиями, предусмотренными статьей 19 Федерального закона от 8.11.2007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pPr>
              <w:pStyle w:val="Standard"/>
              <w:widowControl/>
              <w:shd w:val="clear" w:color="auto" w:fill="FFFFFF"/>
              <w:bidi w:val="0"/>
              <w:spacing w:lineRule="auto" w:line="240" w:before="57" w:after="57"/>
              <w:ind w:left="57" w:right="57" w:firstLine="283"/>
              <w:jc w:val="both"/>
              <w:rPr>
                <w:color w:val="C9211E"/>
                <w:lang w:val="ru-RU" w:eastAsia="ru-RU" w:bidi="ar-SA"/>
              </w:rPr>
            </w:pPr>
            <w:r>
              <w:rPr>
                <w:rFonts w:ascii="Times New Roman" w:hAnsi="Times New Roman"/>
                <w:b w:val="false"/>
                <w:bCs w:val="false"/>
                <w:iCs/>
                <w:color w:val="C9211E"/>
                <w:spacing w:val="-7"/>
                <w:sz w:val="24"/>
                <w:szCs w:val="24"/>
                <w:lang w:val="ru-RU" w:eastAsia="ru-RU" w:bidi="ar-SA"/>
              </w:rPr>
              <w:t xml:space="preserve">5. При прохождении трассы объекта строительства, планируемого к расположению на землях лесного фонда, находящегося в государственной собственности, в пользовании третьих лиц, подготовить и передать Заказчику: </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5.1. Проект освоения лесов в соответствии с Приказом Минприроды России от 16.11.2021 N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5.2. Лесная декларация в соответствии с Приказом Минприроды России от 29.04.2021 N 303 «Об утверждении формы лесной декларации, порядка ее заполнения и подачи, требований к формату лесной декларации в электронной форме», отчеты в установленной форме (1 ИЛ, 1 ОЛ, 1 ЗЛ, 1 ВЛ и др).</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xml:space="preserve">5.3. </w:t>
            </w:r>
            <w:r>
              <w:rPr>
                <w:rFonts w:ascii="Times New Roman" w:hAnsi="Times New Roman"/>
                <w:iCs/>
                <w:color w:val="C9211E"/>
                <w:spacing w:val="-7"/>
                <w:sz w:val="24"/>
                <w:szCs w:val="24"/>
                <w:lang w:val="ru-RU" w:eastAsia="ru-RU" w:bidi="ar-SA"/>
              </w:rPr>
              <w:t>О</w:t>
            </w:r>
            <w:r>
              <w:rPr>
                <w:rFonts w:ascii="Times New Roman" w:hAnsi="Times New Roman"/>
                <w:b w:val="false"/>
                <w:bCs w:val="false"/>
                <w:iCs/>
                <w:color w:val="C9211E"/>
                <w:spacing w:val="-7"/>
                <w:sz w:val="24"/>
                <w:szCs w:val="24"/>
                <w:lang w:val="ru-RU" w:eastAsia="ru-RU" w:bidi="ar-SA"/>
              </w:rPr>
              <w:t>тчеты в установленной форме (1 ИЛ, 1 ОЛ, 1 ЗЛ, 1 ВЛ и др)</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5.4. Проект лесовосстановления в соответствии с Приказом Минприроды России от 29.12.2021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6. Графическую информацию оформить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7. Координаты границ формируемых земельных участков определяются в системе   МСК-25.</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xml:space="preserve">8.  В случае получения Заказчиком отказа на выдачу разрешений на использование земель для размещения вышеуказанных объектов от органа местного самоуправления,  уполномоченного на предоставление земельных участков, находящихся в государственной или муниципальной собственности в связи с нарушениями требований при изготовлении схемы границ предполагаемых к использованию земель или части земельного участка на кадастровом плане территории, Подрядчик обязан откорректировать указанные документы в течение 3-х дней  с момента получения от Заказчика письменного уведомления о подготовке необходимой корректировки.  </w:t>
            </w:r>
          </w:p>
          <w:p>
            <w:pPr>
              <w:pStyle w:val="ListParagraph"/>
              <w:widowControl w:val="false"/>
              <w:tabs>
                <w:tab w:val="left" w:pos="1069" w:leader="none"/>
              </w:tabs>
              <w:bidi w:val="0"/>
              <w:spacing w:lineRule="auto" w:line="240" w:before="57" w:after="57"/>
              <w:ind w:left="57" w:right="57" w:firstLine="283"/>
              <w:jc w:val="both"/>
              <w:rPr>
                <w:iCs/>
                <w:spacing w:val="-7"/>
                <w:sz w:val="24"/>
                <w:szCs w:val="24"/>
              </w:rPr>
            </w:pPr>
            <w:r>
              <w:rPr>
                <w:iCs/>
                <w:spacing w:val="-7"/>
                <w:sz w:val="24"/>
                <w:szCs w:val="24"/>
                <w:lang w:bidi="ar-SA"/>
              </w:rPr>
              <w:t>9. Разрешения на использование земель или земельного участка должны быть подготовлены с учетом требований Постановления Администрации Приморского края от 09.09.2015 N 336-па "Об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Приморского края.</w:t>
            </w:r>
          </w:p>
          <w:p>
            <w:pPr>
              <w:pStyle w:val="ListParagraph"/>
              <w:widowControl w:val="false"/>
              <w:tabs>
                <w:tab w:val="left" w:pos="1069" w:leader="none"/>
              </w:tabs>
              <w:bidi w:val="0"/>
              <w:spacing w:lineRule="auto" w:line="240" w:before="57" w:after="57"/>
              <w:ind w:left="57" w:right="57" w:firstLine="283"/>
              <w:jc w:val="both"/>
              <w:rPr>
                <w:iCs/>
                <w:spacing w:val="-7"/>
                <w:sz w:val="24"/>
                <w:szCs w:val="24"/>
                <w:lang w:val="ru-RU"/>
              </w:rPr>
            </w:pPr>
            <w:r>
              <w:rPr>
                <w:iCs/>
                <w:spacing w:val="-7"/>
                <w:sz w:val="24"/>
                <w:szCs w:val="24"/>
                <w:lang w:val="ru-RU" w:bidi="ar-SA"/>
              </w:rPr>
              <w:t>10. В случае п. 1.7 таблицы № 2, обзорный план трассы с пояснительной запиской предоставляется по форме Приложения 4.</w:t>
            </w:r>
          </w:p>
          <w:p>
            <w:pPr>
              <w:pStyle w:val="ListParagraph"/>
              <w:widowControl w:val="false"/>
              <w:tabs>
                <w:tab w:val="left" w:pos="1069" w:leader="none"/>
              </w:tabs>
              <w:bidi w:val="0"/>
              <w:spacing w:lineRule="auto" w:line="240" w:before="57" w:after="57"/>
              <w:ind w:left="57" w:right="57" w:firstLine="283"/>
              <w:jc w:val="both"/>
              <w:rPr>
                <w:sz w:val="24"/>
                <w:szCs w:val="24"/>
                <w:lang w:eastAsia="ru-RU"/>
              </w:rPr>
            </w:pPr>
            <w:r>
              <w:rPr>
                <w:sz w:val="24"/>
                <w:szCs w:val="24"/>
                <w:lang w:val="ru-RU" w:eastAsia="ru-RU" w:bidi="ar-SA"/>
              </w:rPr>
              <w:t xml:space="preserve">11. </w:t>
            </w:r>
            <w:r>
              <w:rPr>
                <w:sz w:val="24"/>
                <w:szCs w:val="24"/>
                <w:lang w:eastAsia="ru-RU" w:bidi="ar-SA"/>
              </w:rPr>
              <w:t xml:space="preserve">Информация об объемах лесных насаждениях, подлежащих вырубке, оформляется по форме Приложения </w:t>
            </w:r>
            <w:r>
              <w:rPr>
                <w:sz w:val="24"/>
                <w:szCs w:val="24"/>
                <w:lang w:val="ru-RU" w:eastAsia="ru-RU" w:bidi="ar-SA"/>
              </w:rPr>
              <w:t>5</w:t>
            </w:r>
            <w:r>
              <w:rPr>
                <w:sz w:val="24"/>
                <w:szCs w:val="24"/>
                <w:lang w:eastAsia="ru-RU" w:bidi="ar-SA"/>
              </w:rPr>
              <w:t>.</w:t>
            </w:r>
          </w:p>
          <w:p>
            <w:pPr>
              <w:pStyle w:val="ListParagraph"/>
              <w:widowControl w:val="false"/>
              <w:tabs>
                <w:tab w:val="left" w:pos="1069" w:leader="none"/>
              </w:tabs>
              <w:bidi w:val="0"/>
              <w:spacing w:lineRule="auto" w:line="240" w:before="57" w:after="57"/>
              <w:ind w:left="57" w:right="57" w:firstLine="283"/>
              <w:jc w:val="both"/>
              <w:rPr>
                <w:lang w:bidi="ar-SA"/>
              </w:rPr>
            </w:pPr>
            <w:r>
              <w:rPr>
                <w:sz w:val="24"/>
                <w:szCs w:val="24"/>
                <w:lang w:val="ru-RU" w:eastAsia="ru-RU" w:bidi="ar-SA"/>
              </w:rPr>
              <w:t>12.</w:t>
            </w:r>
            <w:r>
              <w:rPr>
                <w:sz w:val="24"/>
                <w:szCs w:val="24"/>
                <w:lang w:eastAsia="ru-RU" w:bidi="ar-SA"/>
              </w:rPr>
              <w:t xml:space="preserve"> Информация о виде рекультивации земельного участка оформляется по форме Приложения </w:t>
            </w:r>
            <w:r>
              <w:rPr>
                <w:sz w:val="24"/>
                <w:szCs w:val="24"/>
                <w:lang w:val="ru-RU" w:eastAsia="ru-RU" w:bidi="ar-SA"/>
              </w:rPr>
              <w:t>6</w:t>
            </w:r>
            <w:r>
              <w:rPr>
                <w:sz w:val="24"/>
                <w:szCs w:val="24"/>
                <w:lang w:eastAsia="ru-RU" w:bidi="ar-SA"/>
              </w:rPr>
              <w:t>.</w:t>
            </w:r>
          </w:p>
          <w:p>
            <w:pPr>
              <w:pStyle w:val="ListParagraph"/>
              <w:widowControl w:val="false"/>
              <w:tabs>
                <w:tab w:val="left" w:pos="1069" w:leader="none"/>
              </w:tabs>
              <w:bidi w:val="0"/>
              <w:spacing w:lineRule="auto" w:line="240" w:before="57" w:after="57"/>
              <w:ind w:left="57" w:right="57" w:firstLine="283"/>
              <w:jc w:val="both"/>
              <w:rPr>
                <w:lang w:bidi="ar-SA"/>
              </w:rPr>
            </w:pPr>
            <w:r>
              <w:rPr>
                <w:iCs/>
                <w:spacing w:val="-7"/>
                <w:sz w:val="24"/>
                <w:szCs w:val="24"/>
                <w:lang w:eastAsia="ru-RU" w:bidi="ar-SA"/>
              </w:rPr>
              <w:t xml:space="preserve">13. </w:t>
            </w:r>
            <w:r>
              <w:rPr>
                <w:spacing w:val="-7"/>
                <w:sz w:val="24"/>
                <w:szCs w:val="24"/>
                <w:lang w:eastAsia="ru-RU" w:bidi="ar-SA"/>
              </w:rPr>
              <w:t xml:space="preserve"> </w:t>
            </w:r>
            <w:r>
              <w:rPr>
                <w:color w:val="333333"/>
                <w:spacing w:val="-7"/>
                <w:sz w:val="24"/>
                <w:szCs w:val="24"/>
                <w:lang w:eastAsia="ru-RU" w:bidi="ar-SA"/>
              </w:rPr>
              <w:t>Отчет об оценке рыночной стоимости в бумажном насителе в 3-х экземпляров .</w:t>
            </w:r>
          </w:p>
          <w:p>
            <w:pPr>
              <w:pStyle w:val="ListParagraph"/>
              <w:widowControl w:val="false"/>
              <w:shd w:val="clear" w:fill="FFFFFF"/>
              <w:tabs>
                <w:tab w:val="left" w:pos="165" w:leader="none"/>
                <w:tab w:val="left" w:pos="1069" w:leader="none"/>
              </w:tabs>
              <w:suppressAutoHyphens w:val="true"/>
              <w:bidi w:val="0"/>
              <w:spacing w:lineRule="auto" w:line="240" w:before="57" w:after="57"/>
              <w:ind w:left="57" w:right="57" w:firstLine="283"/>
              <w:jc w:val="both"/>
              <w:rPr>
                <w:rFonts w:ascii="Times New Roman" w:hAnsi="Times New Roman"/>
              </w:rPr>
            </w:pPr>
            <w:r>
              <w:rPr>
                <w:rFonts w:eastAsia="Times New Roman" w:cs="Times New Roman"/>
                <w:iCs/>
                <w:color w:val="C9211E"/>
                <w:spacing w:val="-7"/>
                <w:sz w:val="24"/>
                <w:szCs w:val="24"/>
                <w:shd w:fill="FFFFFF" w:val="clear"/>
                <w:lang w:eastAsia="ru-RU"/>
              </w:rPr>
              <w:t>14. Подеревная съемка и составление перечетной ведомости на землях, покрытым лесами.</w:t>
            </w:r>
          </w:p>
          <w:p>
            <w:pPr>
              <w:pStyle w:val="ListParagraph"/>
              <w:widowControl w:val="false"/>
              <w:shd w:val="clear" w:fill="FFFFFF"/>
              <w:tabs>
                <w:tab w:val="left" w:pos="165" w:leader="none"/>
                <w:tab w:val="left" w:pos="1069" w:leader="none"/>
              </w:tabs>
              <w:suppressAutoHyphens w:val="true"/>
              <w:bidi w:val="0"/>
              <w:spacing w:lineRule="auto" w:line="240" w:before="57" w:after="57"/>
              <w:ind w:left="57" w:right="57" w:firstLine="283"/>
              <w:jc w:val="both"/>
              <w:rPr>
                <w:rFonts w:ascii="Times New Roman" w:hAnsi="Times New Roman"/>
              </w:rPr>
            </w:pPr>
            <w:r>
              <w:rPr>
                <w:rFonts w:eastAsia="Times New Roman" w:cs="Times New Roman"/>
                <w:iCs/>
                <w:color w:val="C9211E"/>
                <w:spacing w:val="-7"/>
                <w:sz w:val="24"/>
                <w:szCs w:val="24"/>
                <w:shd w:fill="FFFFFF" w:val="clear"/>
                <w:lang w:eastAsia="ru-RU"/>
              </w:rPr>
              <w:t>15. Согласование объема объектов растительного мира занесенного в красную книгу (получение коммерческого предложения) с филиалом ФГБУ «ФЦАО» НИЦ «Красная книга».</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1.1.3</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sz w:val="24"/>
                <w:szCs w:val="24"/>
              </w:rPr>
            </w:pPr>
            <w:r>
              <w:rPr>
                <w:rFonts w:eastAsia="Times New Roman" w:cs="Times New Roman" w:ascii="Times New Roman" w:hAnsi="Times New Roman"/>
                <w:i/>
                <w:sz w:val="24"/>
                <w:szCs w:val="24"/>
                <w:lang w:val="ru-RU" w:eastAsia="ru-RU" w:bidi="ar-SA"/>
              </w:rPr>
              <w:t>Соблюдение требований технических регламентов, иных нормативных правовых актов и (или) нормативных документов при выполнении проектных работ</w:t>
            </w:r>
          </w:p>
        </w:tc>
        <w:tc>
          <w:tcPr>
            <w:tcW w:w="9632" w:type="dxa"/>
            <w:gridSpan w:val="3"/>
            <w:tcBorders/>
            <w:shd w:color="auto" w:fill="auto" w:val="clear"/>
            <w:tcMar>
              <w:left w:w="-5" w:type="dxa"/>
              <w:right w:w="108" w:type="dxa"/>
            </w:tcMar>
          </w:tcPr>
          <w:p>
            <w:pPr>
              <w:pStyle w:val="Standard"/>
              <w:widowControl w:val="false"/>
              <w:tabs>
                <w:tab w:val="left" w:pos="0" w:leader="none"/>
              </w:tabs>
              <w:bidi w:val="0"/>
              <w:spacing w:lineRule="auto" w:line="240" w:before="57" w:after="57"/>
              <w:ind w:left="57" w:right="57" w:firstLine="283"/>
              <w:jc w:val="both"/>
              <w:rPr>
                <w:lang w:val="ru-RU" w:eastAsia="ru-RU" w:bidi="ar-SA"/>
              </w:rPr>
            </w:pPr>
            <w:r>
              <w:rPr>
                <w:rFonts w:ascii="Times New Roman" w:hAnsi="Times New Roman"/>
                <w:sz w:val="24"/>
                <w:szCs w:val="24"/>
                <w:lang w:val="ru-RU" w:eastAsia="ru-RU" w:bidi="ar-SA"/>
              </w:rPr>
              <w:t>Основные нормативно-технические документы (НТД), определяющие требования к проектной и рабочей документации: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Градостроительный кодекс РФ;</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ФЗ «Об охране окружающей среды» от 10.01.2002 № 7-ФЗ (действующая редакция);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ФЗ от 22.07.2008 № 123-ФЗ «Технический регламент о требованиях пожарной безопасности» (действующая редакция);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ФЗ «Об электроэнергетике» от 26.03.2003 № 35-ФЗ (с изменениями);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Постановление Правительства Российской Федерации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Постановление Правительства РФ от 16.02.2008г. № 87 «О составе разделов проектной документации и требованиях к их содержанию»;</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Постановление Правительства РФ от 19 января 2006 г. N 20 «Об инженерных изысканиях для подготовки проектной документации, строительства, реконструкции объектов капитального строительства» (с изменениями);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Национальный стандарт Российской Федерации ГОСТ Р 21.101-2020 Система проектной документации для строительства. Основные требования к проектной и рабочей документации;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Национальный стандарт Российской Федерации ГОСТ Р 32144-2013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Национальный стандарт Российской Федерации ГОСТ Р 56302-2014 «Единая энергетическая система и изолированно работающие энергосистемы. Оперативно-диспетчерское управление. Диспетчерские наименования объектов электроэнергетики и оборудования объектов электроэнергетики. Общие требования»;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Национальный стандарт Российской Федерации ГОСТ Р 56303-2014 «Единая энергетическая система и изолированно работающие энергосистемы. Оперативно-диспетчерское управление. Нормальные схемы электрических соединений объектов электроэнергетики. Общие требования к графическому исполнению»;</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МДС 12-81.2007 Методические рекомендации по разработке и оформлению проекта организации строительства и проекта производства работ;</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Приказ Минстроя от 04.08.2020 N421/пр,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pPr>
              <w:pStyle w:val="Standard"/>
              <w:widowControl w:val="false"/>
              <w:tabs>
                <w:tab w:val="left" w:pos="0" w:leader="none"/>
              </w:tabs>
              <w:bidi w:val="0"/>
              <w:spacing w:lineRule="auto" w:line="240" w:before="57" w:after="57"/>
              <w:ind w:left="57" w:right="57" w:firstLine="283"/>
              <w:jc w:val="both"/>
              <w:rPr>
                <w:lang w:val="ru-RU" w:eastAsia="ru-RU" w:bidi="ar-SA"/>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Приказ Министерства энергетики РФ от 4.10.2022 № 1070 «Об утверждении правил технической эксплуатации электрических станций и сетей Российской Федерации» (с изменениями);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ПУЭ (действующее издание);</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ПТЭ (действующее издание);</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«Методические указания по устойчивости энергосистем», утвержденные приказом Минэнерго РФ от 03.08.2018 № 630;</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РД 153-34.0-20.409-99 «Руководящие указания об определении понятий и отнесении видов работ и мероприятий в электрических сетях отрасли «Электроэнергетика» к новому строительству, расширению, реконструкции и техническому перевооружению»;</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СП 48.13330.2019. Организация строительства (с изменениями);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СП 47.13330.2016. Свод правил. Инженерные изыскания для строительства. Основные положения;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СП 317.1325800.2017. Инженерно-геодезические изыскания для строительства. Общие правила производства работ;</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Техническая политика Группы РусГидро;</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Региональные карты климатического районирования (РККР) Приморского края, утвержденные Приказами АО «ДРСК» №163 от 15.04.2021 и №346 от 18.10.2021 считать приоритетными относительно других источников аналогичной информации (Правила устройства электроустановок; РККР, разработанные ГУ «Главная геофизическая обсерватория им. А.И. Воейкова» и др.)</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w:t>
            </w:r>
            <w:r>
              <w:rPr>
                <w:rFonts w:ascii="Times New Roman" w:hAnsi="Times New Roman"/>
                <w:bCs/>
                <w:sz w:val="24"/>
                <w:szCs w:val="24"/>
                <w:lang w:val="ru-RU" w:eastAsia="ru-RU" w:bidi="ar-SA"/>
              </w:rPr>
              <w:tab/>
              <w:t>Правила технологического функционирования электроэнергетических систем, утвержденные Постановление Правительства РФ от 13.08.2018 № 937;</w:t>
            </w:r>
          </w:p>
          <w:p>
            <w:pPr>
              <w:pStyle w:val="ListParagraph"/>
              <w:widowControl w:val="false"/>
              <w:tabs>
                <w:tab w:val="left" w:pos="785" w:leader="none"/>
              </w:tabs>
              <w:bidi w:val="0"/>
              <w:spacing w:lineRule="auto" w:line="240" w:before="57" w:after="57"/>
              <w:ind w:left="57" w:right="57" w:firstLine="283"/>
              <w:jc w:val="both"/>
              <w:rPr>
                <w:sz w:val="24"/>
                <w:szCs w:val="24"/>
                <w:lang w:eastAsia="ru-RU"/>
              </w:rPr>
            </w:pPr>
            <w:r>
              <w:rPr>
                <w:bCs/>
                <w:sz w:val="24"/>
                <w:szCs w:val="24"/>
                <w:lang w:bidi="ar-SA"/>
              </w:rPr>
              <w:t>Данный список НТД не является полным и окончательным. При проектировании необходимо руководствоваться последними редакциями нормативно-технических и законодательных документов РФ, необходимых и действующих на момент разработки проектной документации.</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1.1.4</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sz w:val="24"/>
                <w:szCs w:val="24"/>
              </w:rPr>
            </w:pPr>
            <w:r>
              <w:rPr>
                <w:rFonts w:eastAsia="Times New Roman" w:cs="Times New Roman" w:ascii="Times New Roman" w:hAnsi="Times New Roman"/>
                <w:i/>
                <w:iCs/>
                <w:spacing w:val="4"/>
                <w:sz w:val="24"/>
                <w:szCs w:val="24"/>
                <w:lang w:val="ru-RU" w:eastAsia="ru-RU" w:bidi="ar-SA"/>
              </w:rPr>
              <w:t>Требования к выполнению рабочей документации</w:t>
            </w:r>
          </w:p>
        </w:tc>
        <w:tc>
          <w:tcPr>
            <w:tcW w:w="9632" w:type="dxa"/>
            <w:gridSpan w:val="3"/>
            <w:tcBorders/>
            <w:shd w:color="auto" w:fill="auto" w:val="clear"/>
            <w:tcMar>
              <w:left w:w="-5" w:type="dxa"/>
              <w:right w:w="108" w:type="dxa"/>
            </w:tcMar>
          </w:tcPr>
          <w:p>
            <w:pPr>
              <w:pStyle w:val="Standard"/>
              <w:widowControl/>
              <w:tabs>
                <w:tab w:val="left" w:pos="993" w:leader="none"/>
              </w:tabs>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1. Р</w:t>
            </w:r>
            <w:r>
              <w:rPr>
                <w:rFonts w:ascii="Times New Roman" w:hAnsi="Times New Roman"/>
                <w:spacing w:val="-4"/>
                <w:sz w:val="24"/>
                <w:szCs w:val="24"/>
                <w:lang w:val="ru-RU" w:eastAsia="ru-RU" w:bidi="ar-SA"/>
              </w:rPr>
              <w:t xml:space="preserve">абочую документацию выполнить в соответствии с Техническими условиями </w:t>
            </w:r>
            <w:r>
              <w:rPr>
                <w:rFonts w:ascii="Times New Roman" w:hAnsi="Times New Roman"/>
                <w:i/>
                <w:iCs/>
                <w:spacing w:val="-4"/>
                <w:sz w:val="24"/>
                <w:szCs w:val="24"/>
                <w:lang w:val="ru-RU" w:eastAsia="ru-RU" w:bidi="ar-SA"/>
              </w:rPr>
              <w:t>(Приложение № 1).</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2. Подрядчику на этапе предварительного согласования трассы ЛЭП, получить от лица Заказчика все необходимые согласования и/или технические условия на пересечение, сближение и параллельное следование трассы ЛЭП с инженерными сетями, автодорогами и другими преградами сторонних организаций, попадающих в полосу отвода строительства ЛЭП.</w:t>
            </w:r>
          </w:p>
          <w:p>
            <w:pPr>
              <w:pStyle w:val="Standard"/>
              <w:widowControl w:val="false"/>
              <w:tabs>
                <w:tab w:val="left" w:pos="0" w:leader="none"/>
              </w:tabs>
              <w:bidi w:val="0"/>
              <w:spacing w:lineRule="auto" w:line="240" w:before="57" w:after="57"/>
              <w:ind w:left="57" w:right="57" w:firstLine="283"/>
              <w:jc w:val="both"/>
              <w:rPr>
                <w:rFonts w:ascii="Times New Roman" w:hAnsi="Times New Roman"/>
              </w:rPr>
            </w:pPr>
            <w:r>
              <w:rPr>
                <w:rFonts w:ascii="Times New Roman" w:hAnsi="Times New Roman"/>
                <w:bCs/>
                <w:sz w:val="24"/>
                <w:szCs w:val="24"/>
                <w:lang w:val="ru-RU" w:eastAsia="ru-RU" w:bidi="ar-SA"/>
              </w:rPr>
              <w:t xml:space="preserve">3. </w:t>
            </w:r>
            <w:r>
              <w:rPr>
                <w:rFonts w:ascii="Times New Roman" w:hAnsi="Times New Roman"/>
                <w:b/>
                <w:bCs/>
                <w:i/>
                <w:sz w:val="24"/>
                <w:szCs w:val="24"/>
                <w:lang w:val="ru-RU" w:eastAsia="ru-RU" w:bidi="ar-SA"/>
              </w:rPr>
              <w:t>Согласовать письменно с Заказчиком трассу ЛЭП до начала выполнения рабочей документации.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4.  Подрядчик должен оформить проектную документацию в объеме, необходимом для постановки объекта на кадастровый учет и рабочую документацию в объеме, необходимом для производства строительно-монтажных и пусконаладочных работ;</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5. Рабочую документацию согласовать со всеми сторонними организациями, чьи интересы затрагиваются в части пересечений, сближений и параллельные следования трассы ЛЭП с инженерными сетями, автодорогами и другими преградами сторонних организаций, попадающих в полосу отвода строительства ЛЭП, у которых получены технические условия и/или согласования.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6. Рабочая документация оформляется в трех экземплярах. Подрядчик должен согласовать разработанную рабочую документацию в соответствующем РЭС и СП (что подтверждается подписью и печатью начальника РЭС, и ответственного лица в СП на титульном листе проекта и на плане проектируемых электросетей) и передать по акту приемки-передачи в подразделения заказчика в соответствии с</w:t>
            </w:r>
            <w:r>
              <w:rPr>
                <w:rFonts w:ascii="Times New Roman" w:hAnsi="Times New Roman"/>
                <w:bCs/>
                <w:i/>
                <w:iCs/>
                <w:sz w:val="24"/>
                <w:szCs w:val="24"/>
                <w:lang w:val="ru-RU" w:eastAsia="ru-RU" w:bidi="ar-SA"/>
              </w:rPr>
              <w:t xml:space="preserve"> порядком п.2.3.2. настоящей таблицы.</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7. Состав РД:</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пояснительная записка с описанием трассы (климатические условия района, начальная точка трассы, конечная точка трассы, количество пересечений с инженерными сооружениями);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обзорная схема объекта;</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однолинейная схема объекта;</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сечение и марки провода/кабеля на основании длительно-допустимых и аварийно-допустимых значений токовой нагрузки с расчетами;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ведомость объемов работ;</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ведомость заземляющих устройств;</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ведомость пересечений;</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схема электрических сетей;</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спецификация материалов и оборудования;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расчёт контура заземления, расчёт потерь напряжения и выбор сечения ЛЭП, расчёт ЛЭП на отключение при КЗ;</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габаритные и установочные чертежи;</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 расчеты по выбору и проверке оборудования.</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8. В материалах  полосы отвода  картографический материал предоставить в масштабах 1:500 и 1:2000 на бумажном и электронном носителях, в объеме достаточном для определения местоположения границ земельного участка и красными сплошными линиями должны быть нанесены сами границы охранных зон в соответствии приказом Ростехнадзора от 17.01.2013 N 9 "Об утверждении Порядка согласования Федеральной службой по экологическому, технологическому и атомному надзору границ охранных зон в отношении объектов электросетевого хозяйства" с изменениями и дополнениями от 3 февраля 2016 г., 24 ноября 2017 г.</w:t>
            </w:r>
          </w:p>
          <w:p>
            <w:pPr>
              <w:pStyle w:val="ListParagraph"/>
              <w:widowControl w:val="false"/>
              <w:tabs>
                <w:tab w:val="left" w:pos="927" w:leader="none"/>
              </w:tabs>
              <w:bidi w:val="0"/>
              <w:spacing w:lineRule="auto" w:line="240" w:before="57" w:after="57"/>
              <w:ind w:left="57" w:right="57" w:firstLine="283"/>
              <w:jc w:val="both"/>
              <w:rPr>
                <w:sz w:val="24"/>
                <w:szCs w:val="24"/>
                <w:lang w:eastAsia="ru-RU"/>
              </w:rPr>
            </w:pPr>
            <w:r>
              <w:rPr>
                <w:bCs/>
                <w:spacing w:val="-1"/>
                <w:sz w:val="24"/>
                <w:szCs w:val="24"/>
                <w:lang w:bidi="ar-SA"/>
              </w:rPr>
              <w:t>9. При выявлении зеленых насаждений в полосе проектирования ЛЭП на муниципальных землях выполнить подеревную съемку, обеспечить получение в администрации МО порубочного талона, произвести оплату компенсационных выплат, вырубку зелёных насаждений, утилизацию порубочных остатков. Все затраты на компенсационные выплаты входят в общую стоимость объекта.</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1.1.5</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iCs/>
                <w:spacing w:val="4"/>
                <w:sz w:val="24"/>
                <w:szCs w:val="24"/>
              </w:rPr>
            </w:pPr>
            <w:r>
              <w:rPr>
                <w:rFonts w:eastAsia="Times New Roman" w:cs="Times New Roman" w:ascii="Times New Roman" w:hAnsi="Times New Roman"/>
                <w:i/>
                <w:iCs/>
                <w:color w:val="000000" w:themeColor="text1"/>
                <w:spacing w:val="4"/>
                <w:sz w:val="24"/>
                <w:szCs w:val="24"/>
                <w:lang w:val="ru-RU" w:eastAsia="ru-RU" w:bidi="ar-SA"/>
              </w:rPr>
              <w:t>Требования к организации коммерческого учета электроэнергии</w:t>
            </w:r>
          </w:p>
        </w:tc>
        <w:tc>
          <w:tcPr>
            <w:tcW w:w="9632" w:type="dxa"/>
            <w:gridSpan w:val="3"/>
            <w:tcBorders/>
            <w:shd w:color="auto" w:fill="auto" w:val="clear"/>
            <w:tcMar>
              <w:left w:w="-5" w:type="dxa"/>
              <w:right w:w="108" w:type="dxa"/>
            </w:tcMar>
          </w:tcPr>
          <w:p>
            <w:pPr>
              <w:pStyle w:val="Standard"/>
              <w:widowControl w:val="false"/>
              <w:tabs>
                <w:tab w:val="left" w:pos="90" w:leader="none"/>
              </w:tabs>
              <w:bidi w:val="0"/>
              <w:spacing w:lineRule="auto" w:line="240" w:before="57" w:after="57"/>
              <w:ind w:left="57" w:right="57" w:firstLine="283"/>
              <w:jc w:val="both"/>
              <w:rPr>
                <w:rFonts w:ascii="Times New Roman" w:hAnsi="Times New Roman"/>
                <w:bCs/>
                <w:sz w:val="24"/>
                <w:szCs w:val="24"/>
              </w:rPr>
            </w:pPr>
            <w:r>
              <w:rPr>
                <w:rFonts w:eastAsia="Times New Roman" w:cs="Times New Roman" w:ascii="Times New Roman" w:hAnsi="Times New Roman"/>
                <w:bCs/>
                <w:sz w:val="24"/>
                <w:szCs w:val="24"/>
                <w:lang w:val="ru-RU" w:eastAsia="ru-RU" w:bidi="ar-SA"/>
              </w:rPr>
              <w:t>В РД предусмотреть организацию коммерческого учета электроэнергии в соответствии с техническими условиями к договору об осуществлении технологического присоединения (Приложение 1) и соблюдением требований:</w:t>
            </w:r>
          </w:p>
          <w:p>
            <w:pPr>
              <w:pStyle w:val="Standard"/>
              <w:widowControl w:val="false"/>
              <w:tabs>
                <w:tab w:val="left" w:pos="90"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sz w:val="24"/>
                <w:szCs w:val="24"/>
                <w:lang w:val="ru-RU" w:eastAsia="ru-RU" w:bidi="ar-SA"/>
              </w:rPr>
              <w:t>1. При организации учёта электроэнергии использовать счётчики электроэнергии, отвечающие требованиям Постановления Правительства РФ от 19.06.2020 № 890 «О порядке предоставления доступа к минимальному набору функций интеллектуальных систем учета электрической энергии (мощности)»;</w:t>
            </w:r>
          </w:p>
          <w:p>
            <w:pPr>
              <w:pStyle w:val="Standard"/>
              <w:widowControl w:val="false"/>
              <w:tabs>
                <w:tab w:val="left" w:pos="90"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sz w:val="24"/>
                <w:szCs w:val="24"/>
                <w:lang w:val="ru-RU" w:eastAsia="ru-RU" w:bidi="ar-SA"/>
              </w:rPr>
              <w:t>2. Элементы измерительного комплекса (счетчики э/энергии, ТТ, УСПД) должны на момент установки иметь действующее свидетельство об утверждении типа, должны быть внесены в федеральный информационный фонд средств измерений, иметь первичную поверку;</w:t>
            </w:r>
          </w:p>
          <w:p>
            <w:pPr>
              <w:pStyle w:val="Standard"/>
              <w:widowControl w:val="false"/>
              <w:tabs>
                <w:tab w:val="left" w:pos="90"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sz w:val="24"/>
                <w:szCs w:val="24"/>
                <w:lang w:val="ru-RU" w:eastAsia="ru-RU" w:bidi="ar-SA"/>
              </w:rPr>
              <w:t>3. Предусмотреть интеграцию в АИИС КУЭ всех приборов учета электроэнергии;</w:t>
            </w:r>
          </w:p>
          <w:p>
            <w:pPr>
              <w:pStyle w:val="Standard"/>
              <w:widowControl w:val="false"/>
              <w:tabs>
                <w:tab w:val="left" w:pos="90"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spacing w:val="-1"/>
                <w:sz w:val="24"/>
                <w:szCs w:val="24"/>
                <w:lang w:val="ru-RU" w:eastAsia="ru-RU" w:bidi="ar-SA"/>
              </w:rPr>
              <w:t>4. Для защиты измерительных комплексов учета электроэнергии от несанкционированного доступа предусмотреть установку приборов учета, трансформаторов тока и оборудования АИИС КУЭ (УСПД и коммуникационное оборудование) в отдельных запираемых шкафах антивандального исполнения со степенью защиты IP-54, удовлетворяющих требованиям НТД. Шкафы смонтировать с учетом обеспечения удобства доступа, монтажа и эксплуатации.</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1.1.6</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iCs/>
                <w:spacing w:val="4"/>
                <w:sz w:val="24"/>
                <w:szCs w:val="24"/>
              </w:rPr>
            </w:pPr>
            <w:r>
              <w:rPr>
                <w:rFonts w:eastAsia="Times New Roman" w:cs="Times New Roman" w:ascii="Times New Roman" w:hAnsi="Times New Roman"/>
                <w:i/>
                <w:iCs/>
                <w:spacing w:val="4"/>
                <w:sz w:val="24"/>
                <w:szCs w:val="24"/>
                <w:lang w:val="ru-RU" w:eastAsia="ru-RU" w:bidi="ar-SA"/>
              </w:rPr>
              <w:t>Требования к выполнению строительно-монтажных работ</w:t>
            </w:r>
          </w:p>
        </w:tc>
        <w:tc>
          <w:tcPr>
            <w:tcW w:w="9632" w:type="dxa"/>
            <w:gridSpan w:val="3"/>
            <w:tcBorders/>
            <w:shd w:color="auto" w:fill="auto" w:val="clear"/>
            <w:tcMar>
              <w:left w:w="-5" w:type="dxa"/>
              <w:right w:w="108" w:type="dxa"/>
            </w:tcMar>
          </w:tcPr>
          <w:p>
            <w:pPr>
              <w:pStyle w:val="Standard"/>
              <w:widowControl w:val="false"/>
              <w:tabs>
                <w:tab w:val="left" w:pos="466" w:leader="none"/>
              </w:tabs>
              <w:bidi w:val="0"/>
              <w:spacing w:lineRule="auto" w:line="240" w:before="57" w:after="57"/>
              <w:ind w:left="57" w:right="57" w:firstLine="283"/>
              <w:jc w:val="both"/>
              <w:rPr>
                <w:rFonts w:ascii="Times New Roman" w:hAnsi="Times New Roman"/>
                <w:spacing w:val="-1"/>
                <w:sz w:val="24"/>
                <w:szCs w:val="24"/>
              </w:rPr>
            </w:pPr>
            <w:r>
              <w:rPr>
                <w:rFonts w:eastAsia="Times New Roman" w:ascii="Times New Roman" w:hAnsi="Times New Roman"/>
                <w:spacing w:val="-1"/>
                <w:sz w:val="24"/>
                <w:szCs w:val="24"/>
                <w:lang w:val="ru-RU" w:eastAsia="ru-RU" w:bidi="ar-SA"/>
              </w:rPr>
              <w:t>1. Работы по Объекту  подлежат выполнению в строгом соответствии с утвержденной Заказчиком рабочей документацией, указаниями представителей технического надзора требованиями технической и эксплуатационной документации заводов-изготовителей поставляемой продукции и требованиями Применимого права, разграниченного обязательными к исполнению нормативными правовыми актами органов государственной власти Российской Федерации и местного самоуправления, а также строительными нормами и правилами (СНиП), руководящими документами (РД), сводами правил по проектированию и строительству (СП), техническими регламентами, национальными стандартами (ГОСТ Р), а также другими действующими правилами и инструкциями, в том числе:</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ПУЭ (действующее издание);</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ПТЭ (действующее издание);</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СП 48.13330.2019 Организация строительства;</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СП 68.13330.2017 Приемка в эксплуатацию законченных строительством объектов. Основные положения;</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СП 76.13330.2016 Электротехнические устройства;</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СП 126.13330.2017 Геодезические работы в строительстве;</w:t>
              <w:tab/>
            </w:r>
          </w:p>
          <w:p>
            <w:pPr>
              <w:pStyle w:val="Standard"/>
              <w:widowControl w:val="false"/>
              <w:bidi w:val="0"/>
              <w:spacing w:lineRule="auto" w:line="240" w:before="57" w:after="57"/>
              <w:ind w:left="57" w:right="57" w:firstLine="283"/>
              <w:jc w:val="both"/>
              <w:rPr>
                <w:rFonts w:ascii="Times New Roman" w:hAnsi="Times New Roman"/>
              </w:rPr>
            </w:pPr>
            <w:r>
              <w:rPr>
                <w:rFonts w:eastAsia="Times New Roman" w:ascii="Times New Roman" w:hAnsi="Times New Roman"/>
                <w:sz w:val="24"/>
                <w:szCs w:val="24"/>
                <w:lang w:val="ru-RU" w:eastAsia="ru-RU" w:bidi="ar-SA"/>
              </w:rPr>
              <w:t>- 344 от 16.05.2023</w:t>
            </w:r>
            <w:r>
              <w:rPr>
                <w:rFonts w:eastAsia="Times New Roman" w:ascii="Times New Roman" w:hAnsi="Times New Roman"/>
                <w:color w:val="FF4000"/>
                <w:sz w:val="24"/>
                <w:szCs w:val="24"/>
                <w:shd w:fill="FFFFFF" w:val="clear"/>
                <w:lang w:val="ru-RU" w:eastAsia="ru-RU" w:bidi="ar-SA"/>
              </w:rPr>
              <w:t xml:space="preserve"> </w:t>
            </w:r>
            <w:r>
              <w:rPr>
                <w:rFonts w:eastAsia="Times New Roman" w:ascii="Times New Roman" w:hAnsi="Times New Roman"/>
                <w:sz w:val="24"/>
                <w:szCs w:val="24"/>
                <w:lang w:val="ru-RU" w:eastAsia="ru-RU" w:bidi="ar-SA"/>
              </w:rPr>
              <w:t xml:space="preserve"> «Требования к исполнительной документации»;</w:t>
            </w:r>
          </w:p>
          <w:p>
            <w:pPr>
              <w:pStyle w:val="Standard"/>
              <w:widowControl w:val="false"/>
              <w:bidi w:val="0"/>
              <w:spacing w:lineRule="auto" w:line="240" w:before="57" w:after="57"/>
              <w:ind w:left="57" w:right="57" w:firstLine="283"/>
              <w:jc w:val="both"/>
              <w:rPr>
                <w:rFonts w:ascii="Times New Roman" w:hAnsi="Times New Roman"/>
              </w:rPr>
            </w:pPr>
            <w:r>
              <w:rPr>
                <w:rFonts w:eastAsia="Times New Roman" w:ascii="Times New Roman" w:hAnsi="Times New Roman"/>
                <w:sz w:val="24"/>
                <w:szCs w:val="24"/>
                <w:lang w:val="ru-RU" w:eastAsia="ru-RU" w:bidi="ar-SA"/>
              </w:rPr>
              <w:t>- 1026/ПР от 02.12.2022 «Порядок ведения общего журнала работ»;</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softHyphen/>
              <w:t>- И 1.13-07 «Инструкция по оформлению приемо-сдаточной документации по электромонтажным работам»;</w:t>
            </w:r>
          </w:p>
          <w:p>
            <w:pPr>
              <w:pStyle w:val="Standard"/>
              <w:widowControl w:val="false"/>
              <w:bidi w:val="0"/>
              <w:spacing w:lineRule="auto" w:line="240" w:before="57" w:after="57"/>
              <w:ind w:left="57" w:right="57" w:firstLine="283"/>
              <w:jc w:val="both"/>
              <w:rPr>
                <w:rFonts w:ascii="Times New Roman" w:hAnsi="Times New Roman"/>
              </w:rPr>
            </w:pPr>
            <w:r>
              <w:rPr>
                <w:rFonts w:eastAsia="Times New Roman" w:ascii="Times New Roman" w:hAnsi="Times New Roman"/>
                <w:sz w:val="24"/>
                <w:szCs w:val="24"/>
                <w:lang w:val="ru-RU" w:eastAsia="ru-RU" w:bidi="ar-SA"/>
              </w:rPr>
              <w:t>- Постановление Правительства Российской Федерации от 21 июня 2010 г. № 468</w:t>
              <w:br/>
              <w: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xml:space="preserve">- СНиП 12-03-2001 «Безопасность труда в строительстве», часть 1 «Общие требования»;  </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СНиП 12-04-2002 «Безопасность труда в строительстве», часть 2 «Строительное производство»;</w:t>
            </w:r>
          </w:p>
          <w:p>
            <w:pPr>
              <w:pStyle w:val="Standard"/>
              <w:widowControl w:val="false"/>
              <w:bidi w:val="0"/>
              <w:spacing w:lineRule="auto" w:line="240" w:before="57" w:after="57"/>
              <w:ind w:left="57" w:right="57" w:firstLine="283"/>
              <w:jc w:val="both"/>
              <w:rPr>
                <w:rFonts w:ascii="Times New Roman" w:hAnsi="Times New Roman"/>
              </w:rPr>
            </w:pPr>
            <w:r>
              <w:rPr>
                <w:rFonts w:eastAsia="Times New Roman" w:ascii="Times New Roman" w:hAnsi="Times New Roman"/>
                <w:sz w:val="24"/>
                <w:szCs w:val="24"/>
                <w:lang w:val="ru-RU" w:eastAsia="ru-RU" w:bidi="ar-SA"/>
              </w:rPr>
              <w:t>- ГОСТ 12.3.032-84 ССБТ «Работы электромонтажные. Общие требования безопасности»;</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Правила безопасности при строительстве линий электропередачи и производства электромонтажных работ (РД 153-34.3-03.285-2002);</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Правила пожарной безопасности;</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Правила устройства и безопасной эксплуатации грузоподъемных кранов;</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 Правила по охране труда при эксплуатации электроустановок, утвержденных приказом Министерства труда и социальной защиты РФ от 15 декабря 2020 № 903 н;</w:t>
            </w:r>
          </w:p>
          <w:p>
            <w:pPr>
              <w:pStyle w:val="Standard"/>
              <w:widowControl w:val="false"/>
              <w:tabs>
                <w:tab w:val="left" w:pos="466" w:leader="none"/>
              </w:tabs>
              <w:bidi w:val="0"/>
              <w:spacing w:lineRule="auto" w:line="240" w:before="57" w:after="57"/>
              <w:ind w:left="57" w:right="57" w:firstLine="283"/>
              <w:jc w:val="both"/>
              <w:rPr>
                <w:rFonts w:ascii="Times New Roman" w:hAnsi="Times New Roman"/>
              </w:rPr>
            </w:pPr>
            <w:r>
              <w:rPr>
                <w:rFonts w:eastAsia="Times New Roman" w:ascii="Times New Roman" w:hAnsi="Times New Roman"/>
                <w:spacing w:val="-1"/>
                <w:sz w:val="24"/>
                <w:szCs w:val="24"/>
                <w:lang w:val="ru-RU" w:eastAsia="ru-RU" w:bidi="ar-SA"/>
              </w:rPr>
              <w:t>- Иные действующие законодательные и нормативно-технические документы в области строительства, регулирующие вопросы обеспечения безопасности и качества строительства, обязательные к применению на территории Российской Федерации и Приморского края 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pPr>
              <w:pStyle w:val="ListParagraph"/>
              <w:widowControl w:val="false"/>
              <w:tabs>
                <w:tab w:val="left" w:pos="502" w:leader="none"/>
              </w:tabs>
              <w:bidi w:val="0"/>
              <w:spacing w:lineRule="auto" w:line="240" w:before="57" w:after="57"/>
              <w:ind w:left="57" w:right="57" w:firstLine="283"/>
              <w:jc w:val="both"/>
              <w:rPr>
                <w:sz w:val="24"/>
                <w:szCs w:val="24"/>
                <w:lang w:eastAsia="ru-RU"/>
              </w:rPr>
            </w:pPr>
            <w:r>
              <w:rPr>
                <w:spacing w:val="-1"/>
                <w:sz w:val="24"/>
                <w:szCs w:val="24"/>
                <w:lang w:eastAsia="ru-RU" w:bidi="ar-SA"/>
              </w:rPr>
              <w:t xml:space="preserve">2. </w:t>
            </w:r>
            <w:r>
              <w:rPr>
                <w:spacing w:val="-1"/>
                <w:sz w:val="24"/>
                <w:szCs w:val="24"/>
                <w:lang w:bidi="ar-SA"/>
              </w:rPr>
              <w:t>К выполнению СМР приступить только после письменного согласования Заказчиком рабочей документации.</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1.1.7.</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iCs/>
                <w:spacing w:val="4"/>
                <w:sz w:val="24"/>
                <w:szCs w:val="24"/>
              </w:rPr>
            </w:pPr>
            <w:r>
              <w:rPr>
                <w:rFonts w:eastAsia="Times New Roman" w:cs="Times New Roman" w:ascii="Times New Roman" w:hAnsi="Times New Roman"/>
                <w:i/>
                <w:iCs/>
                <w:sz w:val="24"/>
                <w:szCs w:val="24"/>
                <w:lang w:val="ru-RU" w:eastAsia="ru-RU" w:bidi="ar-SA"/>
              </w:rPr>
              <w:t>Производство работ со смежными землепользователями</w:t>
            </w:r>
          </w:p>
        </w:tc>
        <w:tc>
          <w:tcPr>
            <w:tcW w:w="9632" w:type="dxa"/>
            <w:gridSpan w:val="3"/>
            <w:tcBorders/>
            <w:shd w:color="auto" w:fill="auto" w:val="clear"/>
            <w:tcMar>
              <w:left w:w="-5" w:type="dxa"/>
              <w:right w:w="108" w:type="dxa"/>
            </w:tcMar>
          </w:tcPr>
          <w:p>
            <w:pPr>
              <w:pStyle w:val="Standard"/>
              <w:widowControl w:val="false"/>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sz w:val="24"/>
                <w:szCs w:val="24"/>
                <w:lang w:val="ru-RU" w:eastAsia="ru-RU" w:bidi="ar-SA"/>
              </w:rPr>
              <w:t>1. Подрядчик самостоятельно согласовывает производство работ со смежными землепользователями, с заинтересованными организациями, физическими лицами и получает разрешение на производство работ (ордер на производство земляных работ), в установленном законом порядке;</w:t>
            </w:r>
          </w:p>
          <w:p>
            <w:pPr>
              <w:pStyle w:val="Standard"/>
              <w:widowControl w:val="false"/>
              <w:tabs>
                <w:tab w:val="left" w:pos="466" w:leader="none"/>
              </w:tabs>
              <w:bidi w:val="0"/>
              <w:spacing w:lineRule="auto" w:line="240" w:before="57" w:after="57"/>
              <w:ind w:left="57" w:right="57" w:firstLine="283"/>
              <w:jc w:val="both"/>
              <w:rPr>
                <w:rFonts w:ascii="Times New Roman" w:hAnsi="Times New Roman"/>
                <w:spacing w:val="-1"/>
                <w:sz w:val="24"/>
                <w:szCs w:val="24"/>
              </w:rPr>
            </w:pPr>
            <w:r>
              <w:rPr>
                <w:rFonts w:eastAsia="Times New Roman" w:cs="Times New Roman" w:ascii="Times New Roman" w:hAnsi="Times New Roman"/>
                <w:sz w:val="24"/>
                <w:szCs w:val="24"/>
                <w:lang w:val="ru-RU" w:eastAsia="ru-RU" w:bidi="ar-SA"/>
              </w:rPr>
              <w:t>2. Подрядчик самостоятельно извещает заинтересованные организации и сетедержателей о начале выполнения работ в подконтрольной зоне их объектов;</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rHeight w:val="462"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1.1.8.</w:t>
            </w:r>
          </w:p>
        </w:tc>
        <w:tc>
          <w:tcPr>
            <w:tcW w:w="2455" w:type="dxa"/>
            <w:tcBorders/>
            <w:shd w:color="auto" w:fill="auto" w:val="clear"/>
            <w:tcMar>
              <w:left w:w="-5" w:type="dxa"/>
              <w:right w:w="108" w:type="dxa"/>
            </w:tcMar>
          </w:tcPr>
          <w:p>
            <w:pPr>
              <w:pStyle w:val="Normal"/>
              <w:widowControl w:val="false"/>
              <w:tabs>
                <w:tab w:val="left" w:pos="567" w:leader="none"/>
              </w:tabs>
              <w:suppressAutoHyphens w:val="true"/>
              <w:bidi w:val="0"/>
              <w:spacing w:lineRule="auto" w:line="240" w:before="57" w:after="57"/>
              <w:ind w:left="57" w:right="57" w:hanging="0"/>
              <w:jc w:val="center"/>
              <w:rPr>
                <w:i/>
                <w:i/>
                <w:iCs/>
                <w:spacing w:val="4"/>
                <w:sz w:val="24"/>
                <w:szCs w:val="24"/>
              </w:rPr>
            </w:pPr>
            <w:r>
              <w:rPr>
                <w:rFonts w:eastAsia="Times New Roman" w:cs="Times New Roman" w:ascii="Times New Roman" w:hAnsi="Times New Roman"/>
                <w:i/>
                <w:iCs/>
                <w:sz w:val="24"/>
                <w:szCs w:val="24"/>
                <w:lang w:val="ru-RU" w:eastAsia="ru-RU" w:bidi="ar-SA"/>
              </w:rPr>
              <w:t>Ведение и оформление исполнительной документации</w:t>
            </w:r>
          </w:p>
        </w:tc>
        <w:tc>
          <w:tcPr>
            <w:tcW w:w="9632" w:type="dxa"/>
            <w:gridSpan w:val="3"/>
            <w:tcBorders/>
            <w:shd w:color="auto" w:fill="auto" w:val="clear"/>
            <w:tcMar>
              <w:left w:w="-5" w:type="dxa"/>
              <w:right w:w="108" w:type="dxa"/>
            </w:tcMar>
          </w:tcPr>
          <w:p>
            <w:pPr>
              <w:pStyle w:val="Standard"/>
              <w:widowControl w:val="false"/>
              <w:tabs>
                <w:tab w:val="left" w:pos="643"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sz w:val="24"/>
                <w:szCs w:val="24"/>
                <w:lang w:val="ru-RU" w:eastAsia="ru-RU" w:bidi="ar-SA"/>
              </w:rPr>
              <w:t>1. Подрядчик ведет исполнительную документацию, где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tabs>
                <w:tab w:val="left" w:pos="466" w:leader="none"/>
              </w:tabs>
              <w:bidi w:val="0"/>
              <w:spacing w:lineRule="auto" w:line="240" w:before="57" w:after="57"/>
              <w:ind w:left="57" w:right="57" w:firstLine="283"/>
              <w:jc w:val="both"/>
              <w:rPr>
                <w:rFonts w:ascii="Times New Roman" w:hAnsi="Times New Roman"/>
                <w:spacing w:val="-1"/>
                <w:sz w:val="24"/>
                <w:szCs w:val="24"/>
              </w:rPr>
            </w:pPr>
            <w:r>
              <w:rPr>
                <w:rFonts w:eastAsia="Times New Roman" w:cs="Times New Roman" w:ascii="Times New Roman" w:hAnsi="Times New Roman"/>
                <w:sz w:val="24"/>
                <w:szCs w:val="24"/>
                <w:lang w:val="ru-RU" w:eastAsia="ru-RU" w:bidi="ar-SA"/>
              </w:rPr>
              <w:t xml:space="preserve">2. Подрядчик оформляет исполнительную документацию на участки прохождения ЛЭП в местах </w:t>
            </w:r>
            <w:r>
              <w:rPr>
                <w:rFonts w:eastAsia="Times New Roman" w:cs="Times New Roman" w:ascii="Times New Roman" w:hAnsi="Times New Roman"/>
                <w:bCs/>
                <w:sz w:val="24"/>
                <w:szCs w:val="24"/>
                <w:lang w:val="ru-RU" w:eastAsia="ru-RU" w:bidi="ar-SA"/>
              </w:rPr>
              <w:t>пересечений, сближений и параллельное следование трассы ЛЭП с инженерными сетями, автодорогами и другими преградами сторонних организаций, попадающих в полосу отвода строительства ЛЭП, на которые получены согласования и/или технические условия, с оформлением актов (справок) об их выполнении.</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1.2.</w:t>
            </w:r>
          </w:p>
        </w:tc>
        <w:tc>
          <w:tcPr>
            <w:tcW w:w="12087" w:type="dxa"/>
            <w:gridSpan w:val="4"/>
            <w:tcBorders/>
            <w:shd w:color="auto" w:fill="auto" w:val="clear"/>
            <w:tcMar>
              <w:left w:w="-5" w:type="dxa"/>
              <w:right w:w="108" w:type="dxa"/>
            </w:tcMar>
          </w:tcPr>
          <w:p>
            <w:pPr>
              <w:pStyle w:val="Normal"/>
              <w:widowControl/>
              <w:bidi w:val="0"/>
              <w:spacing w:lineRule="auto" w:line="240" w:before="57" w:after="57"/>
              <w:ind w:left="57" w:right="57" w:hanging="0"/>
              <w:jc w:val="left"/>
              <w:rPr>
                <w:b/>
                <w:b/>
                <w:sz w:val="24"/>
                <w:szCs w:val="24"/>
              </w:rPr>
            </w:pPr>
            <w:r>
              <w:rPr>
                <w:rFonts w:eastAsia="Times New Roman" w:cs="Times New Roman" w:ascii="Times New Roman" w:hAnsi="Times New Roman"/>
                <w:b/>
                <w:sz w:val="24"/>
                <w:szCs w:val="24"/>
                <w:lang w:val="ru-RU" w:eastAsia="ru-RU" w:bidi="ar-SA"/>
              </w:rPr>
              <w:t>Требования к организации работ и выполнению строительно-монтажных работ</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1985"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1.2.1.</w:t>
            </w:r>
          </w:p>
        </w:tc>
        <w:tc>
          <w:tcPr>
            <w:tcW w:w="2460" w:type="dxa"/>
            <w:gridSpan w:val="2"/>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Подготовительные работы производства СМР</w:t>
            </w:r>
          </w:p>
        </w:tc>
        <w:tc>
          <w:tcPr>
            <w:tcW w:w="9627" w:type="dxa"/>
            <w:gridSpan w:val="2"/>
            <w:tcBorders/>
            <w:shd w:color="auto" w:fill="auto" w:val="clear"/>
            <w:tcMar>
              <w:left w:w="-5" w:type="dxa"/>
              <w:right w:w="108" w:type="dxa"/>
            </w:tcMar>
          </w:tcPr>
          <w:p>
            <w:pPr>
              <w:pStyle w:val="Standard"/>
              <w:widowControl w:val="false"/>
              <w:tabs>
                <w:tab w:val="left" w:pos="567" w:leader="none"/>
              </w:tabs>
              <w:bidi w:val="0"/>
              <w:spacing w:lineRule="auto" w:line="240" w:before="57" w:after="57"/>
              <w:ind w:left="57" w:right="57" w:firstLine="283"/>
              <w:jc w:val="both"/>
              <w:rPr>
                <w:rFonts w:ascii="Times New Roman" w:hAnsi="Times New Roman"/>
                <w:bCs/>
                <w:sz w:val="24"/>
                <w:szCs w:val="24"/>
              </w:rPr>
            </w:pPr>
            <w:r>
              <w:rPr>
                <w:rFonts w:ascii="Times New Roman" w:hAnsi="Times New Roman"/>
                <w:bCs/>
                <w:sz w:val="24"/>
                <w:szCs w:val="24"/>
                <w:lang w:val="ru-RU" w:eastAsia="ru-RU" w:bidi="ar-SA"/>
              </w:rPr>
              <w:t>1. Перед началом производства строительно-монтажных работ необходимо выполнение организационно - технических мероприятий, обеспечивающих безопасное производство работ:</w:t>
            </w:r>
          </w:p>
          <w:p>
            <w:pPr>
              <w:pStyle w:val="ListParagraph"/>
              <w:widowControl w:val="false"/>
              <w:tabs>
                <w:tab w:val="left" w:pos="567" w:leader="none"/>
              </w:tabs>
              <w:bidi w:val="0"/>
              <w:spacing w:lineRule="auto" w:line="240" w:before="57" w:after="57"/>
              <w:ind w:left="57" w:right="57" w:firstLine="283"/>
              <w:jc w:val="both"/>
              <w:rPr>
                <w:sz w:val="24"/>
                <w:szCs w:val="24"/>
              </w:rPr>
            </w:pPr>
            <w:r>
              <w:rPr>
                <w:sz w:val="24"/>
                <w:szCs w:val="24"/>
                <w:lang w:bidi="ar-SA"/>
              </w:rPr>
              <w:t>- назначение приказом подрядчика ответственного лица на объекте реконструкции за соблюдением требований техники безопасности, пожарной безопасности и охраны окружающей среды;</w:t>
            </w:r>
          </w:p>
          <w:p>
            <w:pPr>
              <w:pStyle w:val="ListParagraph"/>
              <w:widowControl w:val="false"/>
              <w:tabs>
                <w:tab w:val="left" w:pos="567" w:leader="none"/>
              </w:tabs>
              <w:bidi w:val="0"/>
              <w:spacing w:lineRule="auto" w:line="240" w:before="57" w:after="57"/>
              <w:ind w:left="57" w:right="57" w:firstLine="283"/>
              <w:jc w:val="both"/>
              <w:rPr>
                <w:sz w:val="24"/>
                <w:szCs w:val="24"/>
              </w:rPr>
            </w:pPr>
            <w:r>
              <w:rPr>
                <w:sz w:val="24"/>
                <w:szCs w:val="24"/>
                <w:lang w:bidi="ar-SA"/>
              </w:rPr>
              <w:t>- разработка подрядчиком проекта производства работ (ППР) и получение всех необходимых согласований;</w:t>
            </w:r>
          </w:p>
          <w:p>
            <w:pPr>
              <w:pStyle w:val="ListParagraph"/>
              <w:widowControl w:val="false"/>
              <w:tabs>
                <w:tab w:val="left" w:pos="567" w:leader="none"/>
              </w:tabs>
              <w:bidi w:val="0"/>
              <w:spacing w:lineRule="auto" w:line="240" w:before="57" w:after="57"/>
              <w:ind w:left="57" w:right="57" w:firstLine="283"/>
              <w:jc w:val="both"/>
              <w:rPr>
                <w:rFonts w:ascii="Times New Roman" w:hAnsi="Times New Roman"/>
              </w:rPr>
            </w:pPr>
            <w:r>
              <w:rPr>
                <w:sz w:val="24"/>
                <w:szCs w:val="24"/>
                <w:lang w:bidi="ar-SA"/>
              </w:rPr>
              <w:t>- оформление допуска для производства работ в зоне действующей ЛЭП2.</w:t>
            </w:r>
          </w:p>
          <w:p>
            <w:pPr>
              <w:pStyle w:val="ListParagraph"/>
              <w:widowControl w:val="false"/>
              <w:tabs>
                <w:tab w:val="left" w:pos="567" w:leader="none"/>
              </w:tabs>
              <w:bidi w:val="0"/>
              <w:spacing w:lineRule="auto" w:line="240" w:before="57" w:after="57"/>
              <w:ind w:left="57" w:right="57" w:firstLine="283"/>
              <w:jc w:val="both"/>
              <w:rPr>
                <w:rFonts w:ascii="Times New Roman" w:hAnsi="Times New Roman"/>
              </w:rPr>
            </w:pPr>
            <w:r>
              <w:rPr>
                <w:sz w:val="24"/>
                <w:szCs w:val="24"/>
                <w:lang w:bidi="ar-SA"/>
              </w:rPr>
              <w:t>2. Согласование с заказчиком Календарного графика выполнения работ.</w:t>
            </w:r>
          </w:p>
          <w:p>
            <w:pPr>
              <w:pStyle w:val="ListParagraph"/>
              <w:widowControl w:val="false"/>
              <w:tabs>
                <w:tab w:val="left" w:pos="567" w:leader="none"/>
              </w:tabs>
              <w:bidi w:val="0"/>
              <w:spacing w:lineRule="auto" w:line="240" w:before="57" w:after="57"/>
              <w:ind w:left="57" w:right="57" w:firstLine="283"/>
              <w:jc w:val="both"/>
              <w:rPr>
                <w:bCs/>
                <w:sz w:val="24"/>
                <w:szCs w:val="24"/>
              </w:rPr>
            </w:pPr>
            <w:r>
              <w:rPr>
                <w:bCs/>
                <w:sz w:val="24"/>
                <w:szCs w:val="24"/>
                <w:lang w:bidi="ar-SA"/>
              </w:rPr>
              <w:t>3. Доставка строительной техники к месту производства работ.</w:t>
            </w:r>
          </w:p>
          <w:p>
            <w:pPr>
              <w:pStyle w:val="Normal"/>
              <w:widowControl/>
              <w:tabs>
                <w:tab w:val="left" w:pos="567" w:leader="none"/>
              </w:tabs>
              <w:bidi w:val="0"/>
              <w:spacing w:lineRule="auto" w:line="240" w:before="57" w:after="57"/>
              <w:ind w:left="57" w:right="57" w:firstLine="283"/>
              <w:jc w:val="both"/>
              <w:rPr>
                <w:sz w:val="24"/>
                <w:szCs w:val="24"/>
              </w:rPr>
            </w:pPr>
            <w:r>
              <w:rPr>
                <w:rFonts w:cs="" w:ascii="Times New Roman" w:hAnsi="Times New Roman"/>
                <w:bCs/>
                <w:sz w:val="24"/>
                <w:szCs w:val="24"/>
                <w:lang w:val="ru-RU" w:eastAsia="ru-RU" w:bidi="ar-SA"/>
              </w:rPr>
              <w:t>4. Доставка к месту работы необходимых материалов.</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rHeight w:val="1985"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1.2.2</w:t>
            </w:r>
            <w:r>
              <w:rPr>
                <w:rFonts w:eastAsia="Times New Roman" w:cs="Times New Roman" w:ascii="Times New Roman" w:hAnsi="Times New Roman"/>
                <w:sz w:val="24"/>
                <w:szCs w:val="24"/>
                <w:lang w:val="ru-RU" w:eastAsia="ru-RU" w:bidi="ar-SA"/>
              </w:rPr>
              <w:t>.</w:t>
            </w:r>
          </w:p>
        </w:tc>
        <w:tc>
          <w:tcPr>
            <w:tcW w:w="2460" w:type="dxa"/>
            <w:gridSpan w:val="2"/>
            <w:tcBorders/>
            <w:shd w:color="auto" w:fill="auto" w:val="clear"/>
            <w:tcMar>
              <w:left w:w="-5" w:type="dxa"/>
              <w:right w:w="108" w:type="dxa"/>
            </w:tcMar>
          </w:tcPr>
          <w:p>
            <w:pPr>
              <w:pStyle w:val="ListParagraph"/>
              <w:widowControl w:val="false"/>
              <w:tabs>
                <w:tab w:val="left" w:pos="567" w:leader="none"/>
              </w:tabs>
              <w:bidi w:val="0"/>
              <w:spacing w:lineRule="auto" w:line="240" w:before="57" w:after="57"/>
              <w:ind w:left="57" w:right="57" w:hanging="0"/>
              <w:jc w:val="center"/>
              <w:rPr>
                <w:bCs/>
                <w:i/>
                <w:i/>
                <w:sz w:val="24"/>
                <w:szCs w:val="24"/>
                <w:lang w:eastAsia="ru-RU"/>
              </w:rPr>
            </w:pPr>
            <w:r>
              <w:rPr>
                <w:bCs/>
                <w:i/>
                <w:sz w:val="24"/>
                <w:szCs w:val="24"/>
                <w:lang w:val="ru-RU" w:eastAsia="ru-RU" w:bidi="ar-SA"/>
              </w:rPr>
              <w:t>Требования к выполнению</w:t>
            </w:r>
          </w:p>
          <w:p>
            <w:pPr>
              <w:pStyle w:val="Normal"/>
              <w:widowControl/>
              <w:bidi w:val="0"/>
              <w:spacing w:lineRule="auto" w:line="240" w:before="57" w:after="57"/>
              <w:ind w:left="57" w:right="57" w:hanging="0"/>
              <w:jc w:val="center"/>
              <w:rPr>
                <w:bCs/>
                <w:i/>
                <w:i/>
                <w:sz w:val="24"/>
                <w:szCs w:val="24"/>
              </w:rPr>
            </w:pPr>
            <w:r>
              <w:rPr>
                <w:rFonts w:cs="" w:ascii="Times New Roman" w:hAnsi="Times New Roman"/>
                <w:bCs/>
                <w:i/>
                <w:sz w:val="24"/>
                <w:szCs w:val="24"/>
                <w:lang w:val="ru-RU" w:eastAsia="ru-RU" w:bidi="ar-SA"/>
              </w:rPr>
              <w:t xml:space="preserve"> </w:t>
            </w:r>
            <w:r>
              <w:rPr>
                <w:rFonts w:cs="" w:ascii="Times New Roman" w:hAnsi="Times New Roman"/>
                <w:bCs/>
                <w:i/>
                <w:sz w:val="24"/>
                <w:szCs w:val="24"/>
                <w:lang w:val="ru-RU" w:eastAsia="ru-RU" w:bidi="ar-SA"/>
              </w:rPr>
              <w:t>СМР и ПНР</w:t>
            </w:r>
          </w:p>
        </w:tc>
        <w:tc>
          <w:tcPr>
            <w:tcW w:w="9627" w:type="dxa"/>
            <w:gridSpan w:val="2"/>
            <w:tcBorders/>
            <w:shd w:color="auto" w:fill="auto" w:val="clear"/>
            <w:tcMar>
              <w:left w:w="-5" w:type="dxa"/>
              <w:right w:w="108" w:type="dxa"/>
            </w:tcMar>
          </w:tcPr>
          <w:p>
            <w:pPr>
              <w:pStyle w:val="Standard"/>
              <w:widowControl w:val="false"/>
              <w:tabs>
                <w:tab w:val="left" w:pos="540" w:leader="none"/>
                <w:tab w:val="left" w:pos="567"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sz w:val="24"/>
                <w:szCs w:val="24"/>
                <w:lang w:val="ru-RU" w:eastAsia="ru-RU" w:bidi="ar-SA"/>
              </w:rPr>
              <w:t>1. Строительно-монтажные и пусконаладочные работы выполняются согласно ППР (проекта производства работ) и графика производства работ.</w:t>
            </w:r>
          </w:p>
          <w:p>
            <w:pPr>
              <w:pStyle w:val="Standard"/>
              <w:widowControl w:val="false"/>
              <w:tabs>
                <w:tab w:val="left" w:pos="540" w:leader="none"/>
                <w:tab w:val="left" w:pos="567" w:leader="none"/>
              </w:tabs>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sz w:val="24"/>
                <w:szCs w:val="24"/>
                <w:lang w:val="ru-RU" w:eastAsia="ru-RU" w:bidi="ar-SA"/>
              </w:rPr>
              <w:t>2. ППР и график производства работ разрабатываются Подрядчиком и до предполагаемого начала работ предоставляются для согласования Заказчику.</w:t>
            </w:r>
          </w:p>
          <w:p>
            <w:pPr>
              <w:pStyle w:val="Standard"/>
              <w:widowControl w:val="false"/>
              <w:tabs>
                <w:tab w:val="left" w:pos="567" w:leader="none"/>
              </w:tabs>
              <w:bidi w:val="0"/>
              <w:spacing w:lineRule="auto" w:line="240" w:before="57" w:after="57"/>
              <w:ind w:left="57" w:right="57" w:firstLine="283"/>
              <w:jc w:val="both"/>
              <w:rPr>
                <w:rFonts w:ascii="Times New Roman" w:hAnsi="Times New Roman"/>
                <w:bCs/>
                <w:sz w:val="24"/>
                <w:szCs w:val="24"/>
              </w:rPr>
            </w:pPr>
            <w:r>
              <w:rPr>
                <w:rFonts w:eastAsia="Times New Roman" w:cs="Times New Roman" w:ascii="Times New Roman" w:hAnsi="Times New Roman"/>
                <w:sz w:val="24"/>
                <w:szCs w:val="24"/>
                <w:lang w:val="ru-RU" w:eastAsia="ru-RU" w:bidi="ar-SA"/>
              </w:rPr>
              <w:t>3. Режим выполнения работ – по согласованному с Заказчиком не менее чем за 10 дней до начала работ графику.</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rHeight w:val="1190" w:hRule="atLeast"/>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1.2.3</w:t>
            </w:r>
            <w:r>
              <w:rPr>
                <w:rFonts w:eastAsia="Times New Roman" w:cs="Times New Roman" w:ascii="Times New Roman" w:hAnsi="Times New Roman"/>
                <w:sz w:val="24"/>
                <w:szCs w:val="24"/>
                <w:lang w:val="ru-RU" w:eastAsia="ru-RU" w:bidi="ar-SA"/>
              </w:rPr>
              <w:t>.</w:t>
            </w:r>
          </w:p>
        </w:tc>
        <w:tc>
          <w:tcPr>
            <w:tcW w:w="2460" w:type="dxa"/>
            <w:gridSpan w:val="2"/>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Доставка строительной техники и материалов</w:t>
            </w:r>
          </w:p>
        </w:tc>
        <w:tc>
          <w:tcPr>
            <w:tcW w:w="9627" w:type="dxa"/>
            <w:gridSpan w:val="2"/>
            <w:tcBorders/>
            <w:shd w:color="auto" w:fill="auto" w:val="clear"/>
            <w:tcMar>
              <w:left w:w="-5" w:type="dxa"/>
              <w:right w:w="108" w:type="dxa"/>
            </w:tcMar>
          </w:tcPr>
          <w:p>
            <w:pPr>
              <w:pStyle w:val="Standard"/>
              <w:widowControl w:val="false"/>
              <w:tabs>
                <w:tab w:val="left" w:pos="567" w:leader="none"/>
              </w:tabs>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sz w:val="24"/>
                <w:szCs w:val="24"/>
                <w:lang w:val="ru-RU" w:eastAsia="ru-RU" w:bidi="ar-SA"/>
              </w:rPr>
              <w:t>Доставка строительной техники к месту производства работ,  необходимых материалов и оборудования для производства работ доставляются на место проведения работ Подрядчиком самостоятельно.</w:t>
            </w:r>
          </w:p>
        </w:tc>
        <w:tc>
          <w:tcPr>
            <w:tcW w:w="1526"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1.3.</w:t>
            </w:r>
          </w:p>
        </w:tc>
        <w:tc>
          <w:tcPr>
            <w:tcW w:w="12087" w:type="dxa"/>
            <w:gridSpan w:val="4"/>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применяемым при выполнении работ оборудованию, материалам, технологиям, программно-аппаратным средствам</w:t>
            </w:r>
          </w:p>
        </w:tc>
        <w:tc>
          <w:tcPr>
            <w:tcW w:w="1526" w:type="dx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c>
          <w:tcPr>
            <w:tcW w:w="563" w:type="dx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1.3.1</w:t>
            </w:r>
          </w:p>
        </w:tc>
        <w:tc>
          <w:tcPr>
            <w:tcW w:w="2460" w:type="dxa"/>
            <w:gridSpan w:val="2"/>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 xml:space="preserve">Требования к используемым материалам </w:t>
            </w:r>
            <w:r>
              <w:rPr>
                <w:rFonts w:eastAsia="Times New Roman" w:cs="Times New Roman" w:ascii="Times New Roman" w:hAnsi="Times New Roman"/>
                <w:sz w:val="24"/>
                <w:szCs w:val="24"/>
                <w:lang w:val="ru-RU" w:eastAsia="ru-RU" w:bidi="ar-SA"/>
              </w:rPr>
              <w:t xml:space="preserve"> </w:t>
            </w:r>
            <w:r>
              <w:rPr>
                <w:rFonts w:eastAsia="Times New Roman" w:cs="Times New Roman" w:ascii="Times New Roman" w:hAnsi="Times New Roman"/>
                <w:bCs/>
                <w:i/>
                <w:sz w:val="24"/>
                <w:szCs w:val="24"/>
                <w:lang w:val="ru-RU" w:eastAsia="ru-RU" w:bidi="ar-SA"/>
              </w:rPr>
              <w:t>и оборудованию</w:t>
            </w:r>
          </w:p>
        </w:tc>
        <w:tc>
          <w:tcPr>
            <w:tcW w:w="9627" w:type="dxa"/>
            <w:gridSpan w:val="2"/>
            <w:tcBorders/>
            <w:shd w:color="auto" w:fill="auto" w:val="clear"/>
            <w:tcMar>
              <w:left w:w="-5" w:type="dxa"/>
              <w:right w:w="108" w:type="dxa"/>
            </w:tcMar>
          </w:tcPr>
          <w:p>
            <w:pPr>
              <w:pStyle w:val="Normal"/>
              <w:widowControl/>
              <w:suppressAutoHyphens w:val="true"/>
              <w:bidi w:val="0"/>
              <w:spacing w:lineRule="auto" w:line="240" w:before="57" w:after="57"/>
              <w:ind w:left="57" w:right="57" w:firstLine="283"/>
              <w:jc w:val="both"/>
              <w:rPr/>
            </w:pPr>
            <w:r>
              <w:rPr>
                <w:rFonts w:eastAsia="Batang" w:cs="Times New Roman" w:ascii="Times New Roman" w:hAnsi="Times New Roman"/>
                <w:sz w:val="24"/>
                <w:szCs w:val="24"/>
                <w:lang w:val="ru-RU" w:eastAsia="ru-RU" w:bidi="ar-SA"/>
              </w:rPr>
              <w:t>1.</w:t>
            </w:r>
            <w:r>
              <w:rPr>
                <w:rFonts w:eastAsia="Batang" w:cs="Times New Roman" w:ascii="Times New Roman" w:hAnsi="Times New Roman"/>
                <w:b/>
                <w:sz w:val="24"/>
                <w:szCs w:val="24"/>
                <w:lang w:val="ru-RU" w:eastAsia="ru-RU" w:bidi="ar-SA"/>
              </w:rPr>
              <w:t xml:space="preserve"> </w:t>
            </w:r>
            <w:r>
              <w:rPr>
                <w:rFonts w:cs="" w:ascii="Times New Roman" w:hAnsi="Times New Roman"/>
                <w:sz w:val="24"/>
                <w:szCs w:val="24"/>
                <w:lang w:val="ru-RU" w:eastAsia="ru-RU" w:bidi="ar-SA"/>
              </w:rPr>
              <w:t>Поставка материалов и оборудования, за исключением оборудования поставки Заказчика, осуществляется Подрядчиком в соответствии с п. 1.3.1.3-7 настоящего ТТ.</w:t>
            </w:r>
          </w:p>
          <w:p>
            <w:pPr>
              <w:pStyle w:val="Normal"/>
              <w:widowControl/>
              <w:suppressAutoHyphens w:val="true"/>
              <w:bidi w:val="0"/>
              <w:spacing w:lineRule="auto" w:line="240" w:before="57" w:after="57"/>
              <w:ind w:left="57" w:right="57" w:firstLine="283"/>
              <w:jc w:val="both"/>
              <w:rPr/>
            </w:pPr>
            <w:r>
              <w:rPr>
                <w:rFonts w:cs="" w:ascii="Times New Roman" w:hAnsi="Times New Roman"/>
                <w:color w:val="000000"/>
                <w:sz w:val="24"/>
                <w:szCs w:val="24"/>
                <w:lang w:val="ru-RU" w:eastAsia="ru-RU" w:bidi="ar-SA"/>
              </w:rPr>
              <w:t>Заказчиком осуществляется поставка следующего оборудования :</w:t>
            </w:r>
          </w:p>
          <w:tbl>
            <w:tblPr>
              <w:tblW w:w="9508" w:type="dxa"/>
              <w:jc w:val="left"/>
              <w:tblInd w:w="0" w:type="dxa"/>
              <w:tblBorders>
                <w:top w:val="single" w:sz="2" w:space="0" w:color="000001"/>
                <w:left w:val="single" w:sz="2" w:space="0" w:color="000001"/>
                <w:bottom w:val="single" w:sz="2" w:space="0" w:color="000001"/>
                <w:insideH w:val="single" w:sz="2" w:space="0" w:color="000001"/>
              </w:tblBorders>
              <w:tblCellMar>
                <w:top w:w="55" w:type="dxa"/>
                <w:left w:w="27" w:type="dxa"/>
                <w:bottom w:w="55" w:type="dxa"/>
                <w:right w:w="55" w:type="dxa"/>
              </w:tblCellMar>
              <w:tblLook w:val="04a0" w:noVBand="1" w:noHBand="0" w:lastColumn="0" w:firstColumn="1" w:lastRow="0" w:firstRow="1"/>
            </w:tblPr>
            <w:tblGrid>
              <w:gridCol w:w="3169"/>
              <w:gridCol w:w="3169"/>
              <w:gridCol w:w="3170"/>
            </w:tblGrid>
            <w:tr>
              <w:trPr/>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tcPr>
                <w:p>
                  <w:pPr>
                    <w:pStyle w:val="Normal"/>
                    <w:keepNext w:val="true"/>
                    <w:keepLines/>
                    <w:widowControl w:val="false"/>
                    <w:suppressAutoHyphens w:val="false"/>
                    <w:bidi w:val="0"/>
                    <w:spacing w:lineRule="auto" w:line="240" w:before="57" w:after="57"/>
                    <w:ind w:left="57" w:right="57" w:hanging="0"/>
                    <w:jc w:val="center"/>
                    <w:rPr>
                      <w:rFonts w:ascii="Times New Roman" w:hAnsi="Times New Roman"/>
                    </w:rPr>
                  </w:pPr>
                  <w:r>
                    <w:rPr>
                      <w:rFonts w:ascii="Times New Roman" w:hAnsi="Times New Roman"/>
                      <w:color w:val="000000"/>
                      <w:sz w:val="24"/>
                      <w:szCs w:val="24"/>
                    </w:rPr>
                    <w:t>Наименование</w:t>
                  </w:r>
                </w:p>
              </w:tc>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tcPr>
                <w:p>
                  <w:pPr>
                    <w:pStyle w:val="Normal"/>
                    <w:keepNext w:val="true"/>
                    <w:keepLines/>
                    <w:widowControl w:val="false"/>
                    <w:suppressAutoHyphens w:val="false"/>
                    <w:bidi w:val="0"/>
                    <w:spacing w:lineRule="auto" w:line="240" w:before="57" w:after="57"/>
                    <w:ind w:left="57" w:right="57" w:hanging="0"/>
                    <w:jc w:val="center"/>
                    <w:rPr>
                      <w:rFonts w:ascii="Times New Roman" w:hAnsi="Times New Roman"/>
                    </w:rPr>
                  </w:pPr>
                  <w:r>
                    <w:rPr>
                      <w:rFonts w:ascii="Times New Roman" w:hAnsi="Times New Roman"/>
                      <w:color w:val="000000"/>
                      <w:sz w:val="24"/>
                      <w:szCs w:val="24"/>
                    </w:rPr>
                    <w:t>Тип/мощность/номинальное напряжение</w:t>
                  </w:r>
                </w:p>
              </w:tc>
              <w:tc>
                <w:tcPr>
                  <w:tcW w:w="317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7" w:type="dxa"/>
                  </w:tcMar>
                </w:tcPr>
                <w:p>
                  <w:pPr>
                    <w:pStyle w:val="Normal"/>
                    <w:keepNext w:val="true"/>
                    <w:keepLines/>
                    <w:widowControl w:val="false"/>
                    <w:suppressAutoHyphens w:val="false"/>
                    <w:bidi w:val="0"/>
                    <w:spacing w:lineRule="auto" w:line="240" w:before="57" w:after="57"/>
                    <w:ind w:left="57" w:right="57" w:hanging="0"/>
                    <w:jc w:val="center"/>
                    <w:rPr/>
                  </w:pPr>
                  <w:r>
                    <w:rPr>
                      <w:rFonts w:ascii="Times New Roman" w:hAnsi="Times New Roman"/>
                      <w:color w:val="000000"/>
                      <w:sz w:val="24"/>
                      <w:szCs w:val="24"/>
                    </w:rPr>
                    <w:t>Кол-во</w:t>
                  </w:r>
                </w:p>
              </w:tc>
            </w:tr>
            <w:tr>
              <w:trPr/>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firstLine="227"/>
                    <w:jc w:val="center"/>
                    <w:outlineLvl w:val="0"/>
                    <w:rPr/>
                  </w:pPr>
                  <w:r>
                    <w:rPr>
                      <w:rFonts w:eastAsia="Calibri" w:cs="" w:ascii="Times New Roman" w:hAnsi="Times New Roman"/>
                      <w:color w:val="00000A"/>
                      <w:sz w:val="24"/>
                      <w:szCs w:val="24"/>
                      <w:lang w:val="ru-RU" w:eastAsia="en-US" w:bidi="ar-SA"/>
                    </w:rPr>
                    <w:t>Разъединитель</w:t>
                  </w:r>
                </w:p>
              </w:tc>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firstLine="227"/>
                    <w:jc w:val="center"/>
                    <w:outlineLvl w:val="0"/>
                    <w:rPr/>
                  </w:pPr>
                  <w:r>
                    <w:rPr>
                      <w:rFonts w:eastAsia="Calibri" w:cs="" w:ascii="Times New Roman" w:hAnsi="Times New Roman"/>
                      <w:color w:val="00000A"/>
                      <w:sz w:val="24"/>
                      <w:szCs w:val="24"/>
                      <w:lang w:val="ru-RU" w:eastAsia="en-US" w:bidi="ar-SA"/>
                    </w:rPr>
                    <w:t>РЛК</w:t>
                  </w:r>
                </w:p>
              </w:tc>
              <w:tc>
                <w:tcPr>
                  <w:tcW w:w="317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firstLine="227"/>
                    <w:jc w:val="center"/>
                    <w:outlineLvl w:val="0"/>
                    <w:rPr/>
                  </w:pPr>
                  <w:r>
                    <w:rPr>
                      <w:rFonts w:eastAsia="Calibri" w:cs="" w:ascii="Times New Roman" w:hAnsi="Times New Roman"/>
                      <w:color w:val="00000A"/>
                      <w:sz w:val="24"/>
                      <w:szCs w:val="24"/>
                      <w:lang w:val="ru-RU" w:eastAsia="en-US" w:bidi="ar-SA"/>
                    </w:rPr>
                    <w:t>2 шт.</w:t>
                  </w:r>
                </w:p>
              </w:tc>
            </w:tr>
            <w:tr>
              <w:trPr/>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firstLine="227"/>
                    <w:jc w:val="center"/>
                    <w:outlineLvl w:val="0"/>
                    <w:rPr/>
                  </w:pPr>
                  <w:r>
                    <w:rPr>
                      <w:rFonts w:ascii="Times New Roman" w:hAnsi="Times New Roman"/>
                      <w:color w:val="00000A"/>
                      <w:sz w:val="24"/>
                      <w:szCs w:val="24"/>
                    </w:rPr>
                    <w:t xml:space="preserve">Коммерческий учет электрической энергии </w:t>
                  </w:r>
                </w:p>
              </w:tc>
              <w:tc>
                <w:tcPr>
                  <w:tcW w:w="3169" w:type="dxa"/>
                  <w:tcBorders>
                    <w:top w:val="single" w:sz="2" w:space="0" w:color="000001"/>
                    <w:left w:val="single" w:sz="2" w:space="0" w:color="000001"/>
                    <w:bottom w:val="single" w:sz="2" w:space="0" w:color="000001"/>
                    <w:insideH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hanging="0"/>
                    <w:jc w:val="center"/>
                    <w:outlineLvl w:val="0"/>
                    <w:rPr/>
                  </w:pPr>
                  <w:r>
                    <w:rPr>
                      <w:rFonts w:cs="Times New Roman" w:ascii="Times New Roman" w:hAnsi="Times New Roman"/>
                      <w:i w:val="false"/>
                      <w:iCs w:val="false"/>
                      <w:color w:val="00000A"/>
                      <w:sz w:val="24"/>
                      <w:szCs w:val="24"/>
                    </w:rPr>
                    <w:t>ПКУ 10 кВ</w:t>
                  </w:r>
                </w:p>
              </w:tc>
              <w:tc>
                <w:tcPr>
                  <w:tcW w:w="317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7" w:type="dxa"/>
                  </w:tcMar>
                  <w:vAlign w:val="center"/>
                </w:tcPr>
                <w:p>
                  <w:pPr>
                    <w:pStyle w:val="Normal"/>
                    <w:numPr>
                      <w:ilvl w:val="0"/>
                      <w:numId w:val="0"/>
                    </w:numPr>
                    <w:bidi w:val="0"/>
                    <w:spacing w:lineRule="auto" w:line="240" w:before="0" w:after="0"/>
                    <w:ind w:left="57" w:right="57" w:firstLine="227"/>
                    <w:jc w:val="center"/>
                    <w:outlineLvl w:val="0"/>
                    <w:rPr/>
                  </w:pPr>
                  <w:r>
                    <w:rPr>
                      <w:rFonts w:ascii="Times New Roman" w:hAnsi="Times New Roman"/>
                      <w:color w:val="00000A"/>
                      <w:sz w:val="24"/>
                      <w:szCs w:val="24"/>
                    </w:rPr>
                    <w:t>1 шт.</w:t>
                  </w:r>
                </w:p>
              </w:tc>
            </w:tr>
          </w:tbl>
          <w:p>
            <w:pPr>
              <w:pStyle w:val="Normal"/>
              <w:widowControl/>
              <w:shd w:val="clear" w:color="auto" w:fill="FFFFFF"/>
              <w:tabs>
                <w:tab w:val="left" w:pos="1418" w:leader="none"/>
              </w:tabs>
              <w:suppressAutoHyphens w:val="true"/>
              <w:bidi w:val="0"/>
              <w:spacing w:lineRule="auto" w:line="240" w:before="57" w:after="57"/>
              <w:ind w:left="57" w:right="57" w:firstLine="283"/>
              <w:jc w:val="both"/>
              <w:rPr/>
            </w:pPr>
            <w:r>
              <mc:AlternateContent>
                <mc:Choice Requires="wps">
                  <w:drawing>
                    <wp:anchor behindDoc="0" distT="0" distB="0" distL="113665" distR="114300" simplePos="0" locked="0" layoutInCell="1" allowOverlap="1" relativeHeight="2">
                      <wp:simplePos x="0" y="0"/>
                      <wp:positionH relativeFrom="margin">
                        <wp:posOffset>-40005</wp:posOffset>
                      </wp:positionH>
                      <wp:positionV relativeFrom="margin">
                        <wp:posOffset>-5562600</wp:posOffset>
                      </wp:positionV>
                      <wp:extent cx="6034405" cy="170180"/>
                      <wp:effectExtent l="0" t="0" r="0" b="0"/>
                      <wp:wrapSquare wrapText="bothSides"/>
                      <wp:docPr id="1" name="Врезка1"/>
                      <a:graphic xmlns:a="http://schemas.openxmlformats.org/drawingml/2006/main">
                        <a:graphicData uri="http://schemas.microsoft.com/office/word/2010/wordprocessingShape">
                          <wps:wsp>
                            <wps:cNvSpPr/>
                            <wps:spPr>
                              <a:xfrm>
                                <a:off x="0" y="0"/>
                                <a:ext cx="6033600" cy="169560"/>
                              </a:xfrm>
                              <a:prstGeom prst="rect">
                                <a:avLst/>
                              </a:prstGeom>
                              <a:noFill/>
                              <a:ln>
                                <a:noFill/>
                              </a:ln>
                            </wps:spPr>
                            <wps:style>
                              <a:lnRef idx="0"/>
                              <a:fillRef idx="0"/>
                              <a:effectRef idx="0"/>
                              <a:fontRef idx="minor"/>
                            </wps:style>
                            <wps:txbx>
                              <w:txbxContent>
                                <w:p>
                                  <w:pPr>
                                    <w:pStyle w:val="Style44"/>
                                    <w:widowControl w:val="false"/>
                                    <w:spacing w:before="0" w:after="200"/>
                                    <w:rPr>
                                      <w:color w:val="000000"/>
                                    </w:rPr>
                                  </w:pPr>
                                  <w:r>
                                    <w:rPr>
                                      <w:color w:val="000000"/>
                                    </w:rPr>
                                  </w:r>
                                </w:p>
                              </w:txbxContent>
                            </wps:txbx>
                            <wps:bodyPr lIns="0" rIns="0" tIns="0" bIns="0">
                              <a:spAutoFit/>
                            </wps:bodyPr>
                          </wps:wsp>
                        </a:graphicData>
                      </a:graphic>
                    </wp:anchor>
                  </w:drawing>
                </mc:Choice>
                <mc:Fallback>
                  <w:pict>
                    <v:rect id="shape_0" ID="Врезка1" stroked="f" style="position:absolute;margin-left:-3.15pt;margin-top:-438pt;width:475.05pt;height:13.3pt;mso-position-horizontal-relative:margin;mso-position-vertical-relative:margin">
                      <w10:wrap type="none"/>
                      <v:fill o:detectmouseclick="t" on="false"/>
                      <v:stroke color="#3465a4" joinstyle="round" endcap="flat"/>
                      <v:textbox>
                        <w:txbxContent>
                          <w:p>
                            <w:pPr>
                              <w:pStyle w:val="Style44"/>
                              <w:widowControl w:val="false"/>
                              <w:spacing w:before="0" w:after="200"/>
                              <w:rPr>
                                <w:color w:val="000000"/>
                              </w:rPr>
                            </w:pPr>
                            <w:r>
                              <w:rPr>
                                <w:color w:val="000000"/>
                              </w:rPr>
                            </w:r>
                          </w:p>
                        </w:txbxContent>
                      </v:textbox>
                    </v:rect>
                  </w:pict>
                </mc:Fallback>
              </mc:AlternateContent>
            </w:r>
            <w:r>
              <w:rPr>
                <w:rFonts w:cs="" w:ascii="Times New Roman" w:hAnsi="Times New Roman"/>
                <w:sz w:val="24"/>
                <w:szCs w:val="24"/>
                <w:lang w:val="ru-RU" w:eastAsia="ru-RU" w:bidi="ar-SA"/>
              </w:rPr>
              <w:t>2. Оборудование, закупаемое Заказчиком, передается Подрядчику после визуального осмотра на складе с составлением акта (при необходимости с последующим вскрытием упаковки) по актам передачи оборудования в монтаж ОС-15. Доставка на объект оборудования поставки Заказчика со склада осуществляется подрядчиком.</w:t>
            </w:r>
          </w:p>
          <w:p>
            <w:pPr>
              <w:pStyle w:val="Standard"/>
              <w:widowControl/>
              <w:bidi w:val="0"/>
              <w:spacing w:lineRule="auto" w:line="240" w:before="57" w:after="57"/>
              <w:ind w:left="57" w:right="57" w:firstLine="283"/>
              <w:jc w:val="both"/>
              <w:rPr>
                <w:lang w:val="ru-RU" w:eastAsia="ru-RU" w:bidi="ar-SA"/>
              </w:rPr>
            </w:pPr>
            <w:r>
              <w:rPr>
                <w:rFonts w:cs="Times New Roman" w:ascii="Times New Roman" w:hAnsi="Times New Roman"/>
                <w:sz w:val="24"/>
                <w:szCs w:val="24"/>
                <w:lang w:val="ru-RU" w:eastAsia="ru-RU" w:bidi="ar-SA"/>
              </w:rPr>
              <w:t xml:space="preserve">3. </w:t>
            </w:r>
            <w:r>
              <w:rPr>
                <w:rFonts w:eastAsia="Batang" w:cs="Times New Roman" w:ascii="Times New Roman" w:hAnsi="Times New Roman"/>
                <w:sz w:val="24"/>
                <w:szCs w:val="24"/>
                <w:lang w:val="ru-RU" w:eastAsia="ru-RU" w:bidi="ar-SA"/>
              </w:rPr>
              <w:t>Подрядчик в обязательном порядке письменно согласовывает с Заказчиком поставщика (производителя) оборудования и материалов.</w:t>
            </w:r>
          </w:p>
          <w:p>
            <w:pPr>
              <w:pStyle w:val="Standard"/>
              <w:widowControl/>
              <w:bidi w:val="0"/>
              <w:spacing w:lineRule="auto" w:line="240" w:before="57" w:after="57"/>
              <w:ind w:left="57" w:right="57" w:firstLine="283"/>
              <w:jc w:val="both"/>
              <w:rPr>
                <w:lang w:val="ru-RU" w:eastAsia="ru-RU" w:bidi="ar-SA"/>
              </w:rPr>
            </w:pPr>
            <w:r>
              <w:rPr>
                <w:rFonts w:eastAsia="Batang" w:cs="Times New Roman" w:ascii="Times New Roman" w:hAnsi="Times New Roman"/>
                <w:sz w:val="24"/>
                <w:szCs w:val="24"/>
                <w:lang w:val="ru-RU" w:eastAsia="ru-RU" w:bidi="ar-SA"/>
              </w:rPr>
              <w:t xml:space="preserve">4. </w:t>
            </w:r>
            <w:r>
              <w:rPr>
                <w:rFonts w:cs="Times New Roman" w:ascii="Times New Roman" w:hAnsi="Times New Roman"/>
                <w:sz w:val="24"/>
                <w:szCs w:val="24"/>
                <w:lang w:val="ru-RU" w:eastAsia="ru-RU" w:bidi="ar-SA"/>
              </w:rPr>
              <w:t>Тип и состав оборудования, закупаемого Подрядчиком, может быть изменен только в случае предварительного согласования с Заказчиком;</w:t>
            </w:r>
          </w:p>
          <w:p>
            <w:pPr>
              <w:pStyle w:val="Standard"/>
              <w:widowControl/>
              <w:shd w:val="clear" w:color="auto" w:fill="FFFFFF"/>
              <w:bidi w:val="0"/>
              <w:spacing w:lineRule="auto" w:line="240" w:before="57" w:after="57"/>
              <w:ind w:left="57" w:right="57" w:firstLine="283"/>
              <w:jc w:val="both"/>
              <w:rPr>
                <w:lang w:val="ru-RU" w:eastAsia="ru-RU" w:bidi="ar-SA"/>
              </w:rPr>
            </w:pPr>
            <w:r>
              <w:rPr>
                <w:rFonts w:cs="Times New Roman" w:ascii="Times New Roman" w:hAnsi="Times New Roman"/>
                <w:sz w:val="24"/>
                <w:szCs w:val="24"/>
                <w:lang w:val="ru-RU" w:eastAsia="ru-RU" w:bidi="ar-SA"/>
              </w:rPr>
              <w:t>5. Поставку материалов и оборудования на объект, разгрузку и хранение материалов и конструкций осуществляет Подрядчик:</w:t>
            </w:r>
          </w:p>
          <w:p>
            <w:pPr>
              <w:pStyle w:val="ListParagraph"/>
              <w:widowControl w:val="false"/>
              <w:tabs>
                <w:tab w:val="left" w:pos="607" w:leader="none"/>
              </w:tabs>
              <w:bidi w:val="0"/>
              <w:spacing w:lineRule="auto" w:line="240" w:before="57" w:after="57"/>
              <w:ind w:left="57" w:right="57" w:firstLine="283"/>
              <w:jc w:val="both"/>
              <w:rPr>
                <w:lang w:bidi="ar-SA"/>
              </w:rPr>
            </w:pPr>
            <w:r>
              <w:rPr>
                <w:sz w:val="24"/>
                <w:szCs w:val="24"/>
                <w:lang w:val="ru-RU" w:bidi="ar-SA"/>
              </w:rPr>
              <w:t>6</w:t>
            </w:r>
            <w:r>
              <w:rPr>
                <w:sz w:val="24"/>
                <w:szCs w:val="24"/>
                <w:lang w:bidi="ar-SA"/>
              </w:rPr>
              <w:t>. Продукция должна быть новой и ранее не использованной. Все оборудование и материалы должны приобретаться непосредственно у производителей или официальных дилеров, имеющих подтвержденные полномочия;</w:t>
            </w:r>
          </w:p>
          <w:p>
            <w:pPr>
              <w:pStyle w:val="ListParagraph"/>
              <w:widowControl w:val="false"/>
              <w:tabs>
                <w:tab w:val="left" w:pos="607" w:leader="none"/>
              </w:tabs>
              <w:bidi w:val="0"/>
              <w:spacing w:lineRule="auto" w:line="240" w:before="57" w:after="57"/>
              <w:ind w:left="57" w:right="57" w:firstLine="283"/>
              <w:jc w:val="both"/>
              <w:rPr>
                <w:lang w:bidi="ar-SA"/>
              </w:rPr>
            </w:pPr>
            <w:r>
              <w:rPr>
                <w:color w:val="000000"/>
                <w:sz w:val="24"/>
                <w:szCs w:val="24"/>
                <w:lang w:val="ru-RU" w:bidi="ar-SA"/>
              </w:rPr>
              <w:t xml:space="preserve">7. </w:t>
            </w:r>
            <w:r>
              <w:rPr>
                <w:color w:val="000000"/>
                <w:sz w:val="24"/>
                <w:szCs w:val="24"/>
                <w:lang w:bidi="ar-SA"/>
              </w:rPr>
              <w:t xml:space="preserve">Поставка оборудования и материалов осуществляется Подрядчиком в соответствии с опросными листами и заказными спецификациями, разработанными в составе </w:t>
            </w:r>
            <w:r>
              <w:rPr>
                <w:color w:val="000000"/>
                <w:sz w:val="24"/>
                <w:szCs w:val="24"/>
                <w:lang w:val="ru-RU" w:bidi="ar-SA"/>
              </w:rPr>
              <w:t>проектной</w:t>
            </w:r>
            <w:r>
              <w:rPr>
                <w:color w:val="000000"/>
                <w:sz w:val="24"/>
                <w:szCs w:val="24"/>
                <w:lang w:bidi="ar-SA"/>
              </w:rPr>
              <w:t xml:space="preserve"> документации,</w:t>
            </w:r>
            <w:r>
              <w:rPr>
                <w:sz w:val="24"/>
                <w:szCs w:val="24"/>
                <w:lang w:bidi="ar-SA"/>
              </w:rPr>
              <w:t xml:space="preserve"> включая указания производителя продукции.</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1.3.2</w:t>
            </w:r>
            <w:r>
              <w:rPr>
                <w:rFonts w:eastAsia="Times New Roman" w:cs="Times New Roman" w:ascii="Times New Roman" w:hAnsi="Times New Roman"/>
                <w:sz w:val="24"/>
                <w:szCs w:val="24"/>
                <w:lang w:val="ru-RU" w:eastAsia="ru-RU" w:bidi="ar-SA"/>
              </w:rPr>
              <w:t>.</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i/>
                <w:iCs/>
                <w:sz w:val="24"/>
                <w:szCs w:val="24"/>
                <w:lang w:val="ru-RU" w:eastAsia="ru-RU" w:bidi="ar-SA"/>
              </w:rPr>
              <w:t>Требования к сертификации поставляемой продукции</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shd w:val="clear" w:color="auto" w:fill="FFFFFF"/>
              <w:bidi w:val="0"/>
              <w:spacing w:lineRule="auto" w:line="240" w:before="57" w:after="57"/>
              <w:ind w:left="57" w:right="57" w:firstLine="283"/>
              <w:jc w:val="both"/>
              <w:rPr>
                <w:bCs/>
                <w:sz w:val="24"/>
                <w:szCs w:val="24"/>
              </w:rPr>
            </w:pPr>
            <w:r>
              <w:rPr>
                <w:bCs/>
                <w:sz w:val="24"/>
                <w:szCs w:val="24"/>
                <w:lang w:bidi="ar-SA"/>
              </w:rPr>
              <w:t xml:space="preserve"> </w:t>
            </w:r>
            <w:r>
              <w:rPr>
                <w:bCs/>
                <w:sz w:val="24"/>
                <w:szCs w:val="24"/>
                <w:lang w:bidi="ar-SA"/>
              </w:rPr>
              <w:t>Поставляемая продукция должна соответствовать требованиям действующих на территории Российской федерации стандартов, ГОСТов и ТУ.</w:t>
            </w:r>
          </w:p>
          <w:p>
            <w:pPr>
              <w:pStyle w:val="ListParagraph"/>
              <w:widowControl w:val="false"/>
              <w:shd w:val="clear" w:color="auto" w:fill="FFFFFF"/>
              <w:bidi w:val="0"/>
              <w:spacing w:lineRule="auto" w:line="240" w:before="57" w:after="57"/>
              <w:ind w:left="57" w:right="57" w:firstLine="283"/>
              <w:jc w:val="both"/>
              <w:rPr>
                <w:rFonts w:ascii="Times New Roman" w:hAnsi="Times New Roman"/>
              </w:rPr>
            </w:pPr>
            <w:r>
              <w:rPr>
                <w:sz w:val="24"/>
                <w:szCs w:val="24"/>
                <w:lang w:bidi="ar-SA"/>
              </w:rPr>
              <w:t>- Для оборудования российских производителей требуется выполнение ТУ или иных документов, подтверждающих соответствие техническим требованиям;</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 Для оборудования импортного производства требуются сертификаты соответствия функциональных и технических показателей оборудования условиям эксплуатации и действующим отраслевым требованиям. Сертификация должна быть проведена в соответствии с Правилами обязательного подтверждения соответствия продукции, указанной в абзаце первом пункта 3 статьи Федерального закона «О техническом регулировании», утвержденными постановлением Правительства Российской Федерации от 24.07.2021 №1265(с изменениями);</w:t>
            </w:r>
          </w:p>
          <w:p>
            <w:pPr>
              <w:pStyle w:val="ListParagraph"/>
              <w:widowControl w:val="false"/>
              <w:tabs>
                <w:tab w:val="left" w:pos="607" w:leader="none"/>
              </w:tabs>
              <w:bidi w:val="0"/>
              <w:spacing w:lineRule="auto" w:line="240" w:before="57" w:after="57"/>
              <w:ind w:left="57" w:right="57" w:firstLine="283"/>
              <w:jc w:val="both"/>
              <w:rPr>
                <w:bCs/>
                <w:sz w:val="24"/>
                <w:szCs w:val="24"/>
                <w:lang w:eastAsia="ru-RU"/>
              </w:rPr>
            </w:pPr>
            <w:r>
              <w:rPr>
                <w:sz w:val="24"/>
                <w:szCs w:val="24"/>
                <w:lang w:bidi="ar-SA"/>
              </w:rPr>
              <w:t xml:space="preserve">- При комплектации оборудования, кабельной продукции и материалов импортного производства, вся техническая документации должна быть представлена на русском языке и языке страны завода-изготовителя (инструкции по монтажу и </w:t>
            </w:r>
            <w:r>
              <w:rPr>
                <w:spacing w:val="-1"/>
                <w:sz w:val="24"/>
                <w:szCs w:val="24"/>
                <w:lang w:bidi="ar-SA"/>
              </w:rPr>
              <w:t>эксплуатации).</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1.3.3.</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i/>
                <w:i/>
                <w:iCs/>
                <w:sz w:val="24"/>
                <w:szCs w:val="24"/>
              </w:rPr>
            </w:pPr>
            <w:r>
              <w:rPr>
                <w:rFonts w:eastAsia="Times New Roman" w:cs="Times New Roman" w:ascii="Times New Roman" w:hAnsi="Times New Roman"/>
                <w:i/>
                <w:iCs/>
                <w:sz w:val="24"/>
                <w:szCs w:val="24"/>
                <w:lang w:val="ru-RU" w:eastAsia="ru-RU" w:bidi="ar-SA"/>
              </w:rPr>
              <w:t>Требования к материалам после демонтажа в случае необходимости</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shd w:val="clear" w:color="auto" w:fill="FFFFFF"/>
              <w:bidi w:val="0"/>
              <w:spacing w:lineRule="auto" w:line="240" w:before="57" w:after="57"/>
              <w:ind w:left="57" w:right="57" w:firstLine="283"/>
              <w:jc w:val="both"/>
              <w:rPr>
                <w:rFonts w:ascii="Times New Roman" w:hAnsi="Times New Roman"/>
              </w:rPr>
            </w:pPr>
            <w:r>
              <w:rPr>
                <w:bCs/>
                <w:sz w:val="24"/>
                <w:szCs w:val="24"/>
                <w:lang w:eastAsia="ru-RU" w:bidi="ar-SA"/>
              </w:rPr>
              <w:t>Материалы и оборудование, высвободившиеся после демонтажа (при наличии), вывозятся Подрядчиком на склад базы структурного подразделения филиала АО «ДРСК» «Приморские ЭС», в чьем ведомстве находится реконструируемый объект, и передаются Подрядчиком Заказчику, с оформлением Акта об оприходовании материальных ценностей, полученных при разборке и демонтаже основных средств подрядными организациями (приложение № 1-6/31 к Приказу «Об учетной политике АО «ДРСК» - запросить у Заказчика при исполнении договора).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1.4.</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контролю качества работ и материалов</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1.4.1.</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Контроль качества работ</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tabs>
                <w:tab w:val="left" w:pos="0" w:leader="none"/>
                <w:tab w:val="left" w:pos="1134" w:leader="none"/>
                <w:tab w:val="left" w:pos="1276" w:leader="none"/>
              </w:tabs>
              <w:bidi w:val="0"/>
              <w:spacing w:lineRule="auto" w:line="240" w:before="57" w:after="57"/>
              <w:ind w:left="57" w:right="57" w:firstLine="283"/>
              <w:jc w:val="both"/>
              <w:rPr>
                <w:sz w:val="24"/>
                <w:szCs w:val="24"/>
              </w:rPr>
            </w:pPr>
            <w:r>
              <w:rPr>
                <w:sz w:val="24"/>
                <w:szCs w:val="24"/>
                <w:lang w:eastAsia="ru-RU" w:bidi="ar-SA"/>
              </w:rPr>
              <w:t xml:space="preserve">1. Подрядчик организовывает контроль качества выполнения работ в соответствии с требованиями, изложенными в Постановлении Правительства Российской Федерации </w:t>
              <w:br/>
              <w:t>от 21 июня 2010 г.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pPr>
              <w:pStyle w:val="ListParagraph"/>
              <w:widowControl w:val="false"/>
              <w:tabs>
                <w:tab w:val="left" w:pos="0" w:leader="none"/>
                <w:tab w:val="left" w:pos="1134" w:leader="none"/>
                <w:tab w:val="left" w:pos="1276" w:leader="none"/>
              </w:tabs>
              <w:bidi w:val="0"/>
              <w:spacing w:lineRule="auto" w:line="240" w:before="57" w:after="57"/>
              <w:ind w:left="57" w:right="57" w:firstLine="283"/>
              <w:jc w:val="both"/>
              <w:rPr>
                <w:sz w:val="24"/>
                <w:szCs w:val="24"/>
              </w:rPr>
            </w:pPr>
            <w:r>
              <w:rPr>
                <w:sz w:val="24"/>
                <w:szCs w:val="24"/>
                <w:lang w:eastAsia="ru-RU" w:bidi="ar-SA"/>
              </w:rPr>
              <w:t>2. Контроль выполнения работ производится представителями Заказчика и/или лицом, осуществляющим технический надзор на строительной площадке, назначенными приказом по филиалу АО «ДРСК». Контролируются: сроки выполнения работ, качество, объёмы, технология и номенклатура работ, обеспечение безопасных условий труда, сохранности оборудования, сооружений и устройств.</w:t>
            </w:r>
          </w:p>
          <w:p>
            <w:pPr>
              <w:pStyle w:val="ListParagraph"/>
              <w:widowControl w:val="false"/>
              <w:tabs>
                <w:tab w:val="left" w:pos="0" w:leader="none"/>
                <w:tab w:val="left" w:pos="1134" w:leader="none"/>
                <w:tab w:val="left" w:pos="1276" w:leader="none"/>
              </w:tabs>
              <w:bidi w:val="0"/>
              <w:spacing w:lineRule="auto" w:line="240" w:before="57" w:after="57"/>
              <w:ind w:left="57" w:right="57" w:firstLine="283"/>
              <w:jc w:val="both"/>
              <w:rPr>
                <w:sz w:val="24"/>
                <w:szCs w:val="24"/>
              </w:rPr>
            </w:pPr>
            <w:r>
              <w:rPr>
                <w:sz w:val="24"/>
                <w:szCs w:val="24"/>
                <w:lang w:eastAsia="ru-RU" w:bidi="ar-SA"/>
              </w:rPr>
              <w:t>3. Представителям Заказчика должен быть обеспечен беспрепятственный доступ на строительную площадку в течение всего периода производства работ. Указания технического надзора Заказчика являются обязательными и подлежат беспрекословному выполнению.</w:t>
            </w:r>
          </w:p>
          <w:p>
            <w:pPr>
              <w:pStyle w:val="ListParagraph"/>
              <w:widowControl w:val="false"/>
              <w:bidi w:val="0"/>
              <w:spacing w:lineRule="auto" w:line="240" w:before="57" w:after="57"/>
              <w:ind w:left="57" w:right="57" w:firstLine="283"/>
              <w:jc w:val="both"/>
              <w:rPr>
                <w:b/>
                <w:b/>
                <w:bCs/>
                <w:sz w:val="24"/>
                <w:szCs w:val="24"/>
                <w:lang w:eastAsia="ru-RU"/>
              </w:rPr>
            </w:pPr>
            <w:r>
              <w:rPr>
                <w:sz w:val="24"/>
                <w:szCs w:val="24"/>
                <w:lang w:eastAsia="ru-RU" w:bidi="ar-SA"/>
              </w:rPr>
              <w:t xml:space="preserve">4. При нарушении технологии производства работ, отступлений от ППР, требований ТУ, применении материалов, не соответствующих ГОСТам и ТУ, работы прекращаются по указанию лица, осуществляющего технический надзор, и устанавливается срок устранения нарушения.  </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1.4.2</w:t>
            </w:r>
            <w:r>
              <w:rPr>
                <w:rFonts w:eastAsia="Times New Roman" w:cs="Times New Roman" w:ascii="Times New Roman" w:hAnsi="Times New Roman"/>
                <w:sz w:val="24"/>
                <w:szCs w:val="24"/>
                <w:lang w:val="ru-RU" w:eastAsia="ru-RU" w:bidi="ar-SA"/>
              </w:rPr>
              <w:t>.</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i/>
                <w:iCs/>
                <w:sz w:val="24"/>
                <w:szCs w:val="24"/>
                <w:lang w:val="ru-RU" w:eastAsia="ru-RU" w:bidi="ar-SA"/>
              </w:rPr>
              <w:t>Освидетельствование скрытых работ</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tabs>
                <w:tab w:val="left" w:pos="0" w:leader="none"/>
                <w:tab w:val="left" w:pos="1134" w:leader="none"/>
                <w:tab w:val="left" w:pos="1276" w:leader="none"/>
              </w:tabs>
              <w:bidi w:val="0"/>
              <w:spacing w:lineRule="auto" w:line="240" w:before="57" w:after="57"/>
              <w:ind w:left="57" w:right="57" w:firstLine="283"/>
              <w:jc w:val="both"/>
              <w:rPr>
                <w:rFonts w:ascii="Times New Roman" w:hAnsi="Times New Roman"/>
              </w:rPr>
            </w:pPr>
            <w:r>
              <w:rPr>
                <w:sz w:val="24"/>
                <w:szCs w:val="24"/>
                <w:lang w:eastAsia="ru-RU" w:bidi="ar-SA"/>
              </w:rPr>
              <w:t xml:space="preserve">Подрядчик при необходимости письменно уведомляет Заказчика о необходимости проведения освидетельствования и / или приемки Скрытых работ. </w:t>
            </w:r>
            <w:r>
              <w:rPr>
                <w:rFonts w:eastAsia="Calibri"/>
                <w:spacing w:val="-1"/>
                <w:sz w:val="24"/>
                <w:szCs w:val="24"/>
                <w:lang w:eastAsia="ru-RU" w:bidi="ar-SA"/>
              </w:rPr>
              <w:t>Указанное уведомление должно быть получено Заказчиком заблаговременно, но не позднее, чем за 5 (пять)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1.4.3.</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Контроль качества используемых материалов и оборудования</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bidi w:val="0"/>
              <w:spacing w:lineRule="auto" w:line="240" w:before="57" w:after="57"/>
              <w:ind w:left="57" w:right="57" w:firstLine="283"/>
              <w:jc w:val="both"/>
              <w:rPr>
                <w:rFonts w:ascii="Times New Roman" w:hAnsi="Times New Roman"/>
              </w:rPr>
            </w:pPr>
            <w:r>
              <w:rPr>
                <w:rFonts w:eastAsia="Calibri"/>
                <w:sz w:val="24"/>
                <w:szCs w:val="24"/>
                <w:lang w:val="ru-RU" w:eastAsia="ru-RU" w:bidi="ar-SA"/>
              </w:rPr>
              <w:t xml:space="preserve">1. Поставляемая Подрядчиком продукция должна сопровождаться технической документацией (технический паспорт завода–изготовителя, руководство по эксплуатации, инструкция по эксплуатации и монтажу, протоколы испытаний, свидетельства о поверке и т.п.) на русском языке, подготовленной в соответствии с ГОСТ Р 59853-2021, </w:t>
              <w:br/>
              <w:t>ГОСТ 34.201-2020, ГОСТ 8733-74, ГОСТ Р 2.601-2019, и подтверждаться сертификатами качества, сертификатами соответствия, сертификатами безопасности, пожарными сертификатами, гарантийными свидетельствами заводов-изготовителей.</w:t>
            </w:r>
          </w:p>
          <w:p>
            <w:pPr>
              <w:pStyle w:val="Normal"/>
              <w:widowControl/>
              <w:bidi w:val="0"/>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sz w:val="24"/>
                <w:szCs w:val="24"/>
                <w:lang w:val="ru-RU" w:eastAsia="ru-RU" w:bidi="ar-SA"/>
              </w:rPr>
              <w:t>2. Надлежащим образом заверенные копии сертификатов, технических паспортов и результатов испытаний должны быть предоставлены Заказчику.</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1.5.</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персоналу подрядчика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1.5.1.</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Квалификация персонала подрядчика, привлекаемого к выполнению работ</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bCs/>
                <w:sz w:val="24"/>
                <w:szCs w:val="24"/>
                <w:lang w:val="ru-RU" w:eastAsia="ru-RU" w:bidi="ar-SA"/>
              </w:rPr>
              <w:t>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разряде и группе по электробезопасности с приложением копий удостоверений на производство специальных видов работ (огневых, грузоподъемных, работ с электро - и пневмоинструментом) (возможно совмещение специальностей).</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1.6.</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vAlign w:val="cente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 xml:space="preserve"> </w:t>
            </w:r>
            <w:r>
              <w:rPr>
                <w:rFonts w:eastAsia="Times New Roman" w:cs="Times New Roman" w:ascii="Times New Roman" w:hAnsi="Times New Roman"/>
                <w:b/>
                <w:bCs/>
                <w:sz w:val="24"/>
                <w:szCs w:val="24"/>
                <w:lang w:val="ru-RU" w:eastAsia="ru-RU" w:bidi="ar-SA"/>
              </w:rPr>
              <w:t>Требования к безопасности работ и охране труда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268"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1.6.1.</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color w:val="000000" w:themeColor="text1"/>
                <w:sz w:val="24"/>
                <w:szCs w:val="24"/>
                <w:lang w:val="ru-RU" w:eastAsia="ru-RU" w:bidi="ar-SA"/>
              </w:rPr>
              <w:t>Работы, производимые в действующих электроустановках, необходимо проводить с согласованными действиями и мероприятиями по охране труда согласно требованиям главы XLVI "</w:t>
            </w:r>
            <w:r>
              <w:rPr>
                <w:rFonts w:eastAsia="Times New Roman" w:cs="Times New Roman" w:ascii="Times New Roman" w:hAnsi="Times New Roman"/>
                <w:sz w:val="24"/>
                <w:szCs w:val="24"/>
                <w:lang w:val="ru-RU" w:eastAsia="ru-RU" w:bidi="ar-SA"/>
              </w:rPr>
              <w:t>Охрана труда при организации работ командированного персонала», Правила по охране труда при эксплуатации электроустановок, утвержденных приказом Министерства труда и социальной защиты РФ от 15 декабря 2020 г. № 903н (ред. от 29.04.2022).</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1.6.2.</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vAlign w:val="center"/>
          </w:tcPr>
          <w:p>
            <w:pPr>
              <w:pStyle w:val="Normal"/>
              <w:widowControl w:val="false"/>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sz w:val="24"/>
                <w:szCs w:val="24"/>
                <w:lang w:val="ru-RU" w:eastAsia="ru-RU" w:bidi="ar-SA"/>
              </w:rPr>
              <w:t xml:space="preserve">В процессе проведения строительных работ и после их завершения, собственными силами и в счет договорной цены Подрядчик обеспечивает соблюдение требований ГОСТ Р 59053-2020. «Национальный стандарт Российской Федерации. Охрана окружающей среды. Охрана и рациональное использование вод», </w:t>
            </w:r>
            <w:r>
              <w:rPr>
                <w:rFonts w:eastAsia="Times New Roman" w:cs="Times New Roman" w:ascii="Times New Roman" w:hAnsi="Times New Roman"/>
                <w:color w:val="000080"/>
                <w:sz w:val="24"/>
                <w:szCs w:val="24"/>
                <w:u w:val="none"/>
                <w:lang w:val="ru-RU" w:eastAsia="ru-RU" w:bidi="ar-SA"/>
              </w:rPr>
              <w:t xml:space="preserve">ГОСТ Р 59061-2020 </w:t>
            </w:r>
            <w:r>
              <w:rPr>
                <w:rFonts w:eastAsia="Times New Roman" w:cs="Times New Roman" w:ascii="Times New Roman" w:hAnsi="Times New Roman"/>
                <w:color w:val="000080"/>
                <w:sz w:val="24"/>
                <w:szCs w:val="24"/>
                <w:lang w:val="ru-RU" w:eastAsia="ru-RU" w:bidi="ar-SA"/>
              </w:rPr>
              <w:t>«Охрана окружающей среды. Загрязнение атмосферного воздуха. Термины и определения» (Приказ Росстандарта от 30.09.2020 N 713-ст, ИУС 12-2020).</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1.6.</w:t>
            </w:r>
            <w:r>
              <w:rPr>
                <w:rFonts w:eastAsia="Times New Roman" w:cs="Times New Roman" w:ascii="Times New Roman" w:hAnsi="Times New Roman"/>
                <w:b/>
                <w:bCs/>
                <w:sz w:val="24"/>
                <w:szCs w:val="24"/>
                <w:lang w:val="en-US" w:eastAsia="ru-RU" w:bidi="ar-SA"/>
              </w:rPr>
              <w:t>3</w:t>
            </w:r>
            <w:r>
              <w:rPr>
                <w:rFonts w:eastAsia="Times New Roman" w:cs="Times New Roman" w:ascii="Times New Roman" w:hAnsi="Times New Roman"/>
                <w:b/>
                <w:bCs/>
                <w:sz w:val="24"/>
                <w:szCs w:val="24"/>
                <w:lang w:val="ru-RU" w:eastAsia="ru-RU" w:bidi="ar-SA"/>
              </w:rPr>
              <w:t>.</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vAlign w:val="center"/>
          </w:tcPr>
          <w:p>
            <w:pPr>
              <w:pStyle w:val="Normal"/>
              <w:widowControl/>
              <w:bidi w:val="0"/>
              <w:spacing w:lineRule="auto" w:line="240" w:before="57" w:after="57"/>
              <w:ind w:left="57" w:right="57" w:firstLine="283"/>
              <w:jc w:val="both"/>
              <w:rPr>
                <w:sz w:val="24"/>
                <w:szCs w:val="24"/>
              </w:rPr>
            </w:pPr>
            <w:r>
              <w:rPr>
                <w:rFonts w:eastAsia="Times New Roman" w:cs="Times New Roman" w:ascii="Times New Roman" w:hAnsi="Times New Roman"/>
                <w:sz w:val="24"/>
                <w:szCs w:val="24"/>
                <w:lang w:val="ru-RU" w:eastAsia="ru-RU" w:bidi="ar-SA"/>
              </w:rPr>
              <w:t>Подрядчик (Исполнитель по договору подряда) до начала производства работ (оказания услуг)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w:t>
            </w:r>
          </w:p>
        </w:tc>
        <w:tc>
          <w:tcPr>
            <w:tcW w:w="15450"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vAlign w:val="center"/>
          </w:tcPr>
          <w:p>
            <w:pPr>
              <w:pStyle w:val="Normal"/>
              <w:widowControl/>
              <w:bidi w:val="0"/>
              <w:spacing w:lineRule="auto" w:line="240" w:before="57" w:after="57"/>
              <w:ind w:left="57" w:right="57" w:hanging="0"/>
              <w:jc w:val="both"/>
              <w:rPr>
                <w:rFonts w:ascii="Times New Roman" w:hAnsi="Times New Roman"/>
              </w:rPr>
            </w:pPr>
            <w:r>
              <w:rPr>
                <w:rFonts w:eastAsia="Times New Roman" w:cs="Times New Roman" w:ascii="Times New Roman" w:hAnsi="Times New Roman"/>
                <w:b/>
                <w:bCs/>
                <w:sz w:val="24"/>
                <w:szCs w:val="24"/>
                <w:lang w:val="ru-RU" w:eastAsia="ru-RU" w:bidi="ar-SA"/>
              </w:rPr>
              <w:t>Требования к результатам работ</w:t>
            </w:r>
          </w:p>
        </w:tc>
      </w:tr>
      <w:tr>
        <w:trPr>
          <w:trHeight w:val="24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2.1.</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Общие требования к результатам работ</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46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2.1.1.</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Результат работ</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firstLine="283"/>
              <w:jc w:val="both"/>
              <w:rPr>
                <w:b/>
                <w:b/>
                <w:bCs/>
                <w:sz w:val="24"/>
                <w:szCs w:val="24"/>
              </w:rPr>
            </w:pPr>
            <w:r>
              <w:rPr>
                <w:rFonts w:eastAsia="Times New Roman" w:cs="Times New Roman" w:ascii="Times New Roman" w:hAnsi="Times New Roman"/>
                <w:bCs/>
                <w:sz w:val="24"/>
                <w:szCs w:val="24"/>
                <w:lang w:val="ru-RU" w:eastAsia="ru-RU" w:bidi="ar-SA"/>
              </w:rPr>
              <w:t>Работы должны быть выполнены в полном объеме в соответствии с разработанной и согласованной Заказчиком рабочей документацией.</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ind w:left="123" w:hanging="0"/>
              <w:jc w:val="left"/>
              <w:rPr>
                <w:b/>
                <w:b/>
                <w:bCs/>
                <w:sz w:val="24"/>
                <w:szCs w:val="24"/>
              </w:rPr>
            </w:pPr>
            <w:r>
              <w:rPr>
                <w:rFonts w:eastAsia="Times New Roman" w:cs="Times New Roman" w:ascii="Times New Roman" w:hAnsi="Times New Roman"/>
                <w:b/>
                <w:bCs/>
                <w:sz w:val="24"/>
                <w:szCs w:val="24"/>
                <w:lang w:val="ru-RU" w:eastAsia="ru-RU" w:bidi="ar-SA"/>
              </w:rPr>
              <w:t>2.2.</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порядку приемки результатов работ</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581"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2.2.1.</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bCs/>
                <w:sz w:val="24"/>
                <w:szCs w:val="24"/>
                <w:lang w:val="ru-RU" w:eastAsia="ru-RU" w:bidi="ar-SA"/>
              </w:rPr>
              <w:t>Приемка выполненных работ осуществляется Заказчиком в соответствии с условиями заключенного договора подряда.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2.3.</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оформлению документации при приемке работ</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55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2.3.1.</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Требования к передаваемой документации при приемке кадастровых работ, составу передаваемых ПУД на использование ЗУ.</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1.</w:t>
            </w:r>
            <w:r>
              <w:rPr>
                <w:rFonts w:ascii="Times New Roman" w:hAnsi="Times New Roman"/>
                <w:b/>
                <w:iCs/>
                <w:spacing w:val="-7"/>
                <w:sz w:val="24"/>
                <w:szCs w:val="24"/>
                <w:lang w:val="ru-RU" w:eastAsia="ru-RU" w:bidi="ar-SA"/>
              </w:rPr>
              <w:t xml:space="preserve"> </w:t>
            </w:r>
            <w:r>
              <w:rPr>
                <w:rFonts w:ascii="Times New Roman" w:hAnsi="Times New Roman"/>
                <w:iCs/>
                <w:spacing w:val="-7"/>
                <w:sz w:val="24"/>
                <w:szCs w:val="24"/>
                <w:lang w:val="ru-RU" w:eastAsia="ru-RU" w:bidi="ar-SA"/>
              </w:rPr>
              <w:t>Акты выполненных работ по форме З-1 оформить по каждому объекту строительства таблицы 1, с указанием наименований объектов и заявителя.</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 xml:space="preserve">2. Вместе с актами выполненных работ Подрядчик передает документы, оформленные в соответствии </w:t>
            </w:r>
            <w:r>
              <w:rPr>
                <w:rFonts w:ascii="Times New Roman" w:hAnsi="Times New Roman"/>
                <w:i/>
                <w:iCs/>
                <w:spacing w:val="-7"/>
                <w:sz w:val="24"/>
                <w:szCs w:val="24"/>
                <w:lang w:val="ru-RU" w:eastAsia="ru-RU" w:bidi="ar-SA"/>
              </w:rPr>
              <w:t xml:space="preserve">с требованиями п.1.1.2. настоящей таблицы, </w:t>
            </w:r>
            <w:r>
              <w:rPr>
                <w:rFonts w:ascii="Times New Roman" w:hAnsi="Times New Roman"/>
                <w:iCs/>
                <w:spacing w:val="-7"/>
                <w:sz w:val="24"/>
                <w:szCs w:val="24"/>
                <w:lang w:val="ru-RU" w:eastAsia="ru-RU" w:bidi="ar-SA"/>
              </w:rPr>
              <w:t>в том числе:</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 выписка из ЕГРН сведения о характеристиках объекта недвижимости;</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принятое уполномоченным органом власти на установление публичного сервитута, в установленном порядке Решение об установлении публичного сервитута в 1 оригинальном экземпляре на бумажном носителе, в электронном виде, в формате* pdf;</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Описание границ публичного сервитута, оформленное в соответствии с требованиями, установленными Приказом Росреестра от 13.01.2021 N П/0004 в 2 экземплярах на бумажном носителе и в электронном формате *XML, созданного с использованием XML-схем на оптических носителях (компакт-дисках, в 2 экземплярах), на каждое решение об установлении сервитута, принятое уполномоченным органом власти, отдельно;</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Разрешения на использование земель или земельного участка, части (частей) земельного участка для размещения объектов, выдаваемого органом, уполномоченным на распоряжение земельными участками, находящимися в государственной или муниципальной собственности, в 1 экземпляре на бумажном носителе, электронном виде, в формате* pdf;</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Схема границ предполагаемых к использованию земель или части земельного участка на кадастровом плане территории, в количестве 4 (четырех) экземпляров на бумажном носителе и в форме электронного документа в виде файлов в формате *.dwg (графическая часть) и *.doc (текстовая часть);</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Акт закрепления границ земельного(ых) участка(ов) и(или) земель на местности (вынос в натуру) Заказчику в 2 оригинальных экземплярах на бумажном носителе.</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color w:val="7030A0"/>
                <w:spacing w:val="-7"/>
                <w:sz w:val="24"/>
                <w:szCs w:val="24"/>
                <w:lang w:val="ru-RU" w:eastAsia="ru-RU" w:bidi="ar-SA"/>
              </w:rPr>
              <w:t xml:space="preserve">- </w:t>
            </w:r>
            <w:r>
              <w:rPr>
                <w:rFonts w:ascii="Times New Roman" w:hAnsi="Times New Roman"/>
                <w:iCs/>
                <w:spacing w:val="-7"/>
                <w:sz w:val="24"/>
                <w:szCs w:val="24"/>
                <w:lang w:val="ru-RU" w:eastAsia="ru-RU" w:bidi="ar-SA"/>
              </w:rPr>
              <w:t>Проект освоения лесов;</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 Лесная декларация;</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iCs/>
                <w:spacing w:val="-7"/>
                <w:sz w:val="24"/>
                <w:szCs w:val="24"/>
                <w:lang w:val="ru-RU" w:eastAsia="ru-RU" w:bidi="ar-SA"/>
              </w:rPr>
              <w:t>- Соглашение об установлении сервитута на части лесного участка;</w:t>
            </w:r>
          </w:p>
          <w:p>
            <w:pPr>
              <w:pStyle w:val="Standard"/>
              <w:widowControl/>
              <w:shd w:val="clear" w:color="auto" w:fill="FFFFFF"/>
              <w:bidi w:val="0"/>
              <w:spacing w:lineRule="auto" w:line="240" w:before="57" w:after="57"/>
              <w:ind w:left="57" w:right="57" w:firstLine="283"/>
              <w:jc w:val="both"/>
              <w:rPr>
                <w:rFonts w:ascii="Times New Roman" w:hAnsi="Times New Roman"/>
                <w:iCs/>
                <w:spacing w:val="-7"/>
                <w:sz w:val="24"/>
                <w:szCs w:val="24"/>
              </w:rPr>
            </w:pPr>
            <w:r>
              <w:rPr>
                <w:rFonts w:ascii="Times New Roman" w:hAnsi="Times New Roman"/>
                <w:iCs/>
                <w:spacing w:val="-7"/>
                <w:sz w:val="24"/>
                <w:szCs w:val="24"/>
                <w:lang w:val="ru-RU" w:eastAsia="ru-RU" w:bidi="ar-SA"/>
              </w:rPr>
              <w:t xml:space="preserve">- </w:t>
            </w:r>
            <w:r>
              <w:rPr>
                <w:rFonts w:ascii="Times New Roman" w:hAnsi="Times New Roman"/>
                <w:iCs/>
                <w:color w:val="C9211E"/>
                <w:spacing w:val="-7"/>
                <w:sz w:val="24"/>
                <w:szCs w:val="24"/>
                <w:lang w:val="ru-RU" w:eastAsia="ru-RU" w:bidi="ar-SA"/>
              </w:rPr>
              <w:t>О</w:t>
            </w:r>
            <w:r>
              <w:rPr>
                <w:rFonts w:ascii="Times New Roman" w:hAnsi="Times New Roman"/>
                <w:b w:val="false"/>
                <w:bCs w:val="false"/>
                <w:iCs/>
                <w:color w:val="C9211E"/>
                <w:spacing w:val="-7"/>
                <w:sz w:val="24"/>
                <w:szCs w:val="24"/>
                <w:lang w:val="ru-RU" w:eastAsia="ru-RU" w:bidi="ar-SA"/>
              </w:rPr>
              <w:t>тчеты в установленной форме (1 ИЛ, 1 ОЛ, 1 ЗЛ, 1 ВЛ и др)</w:t>
            </w:r>
          </w:p>
          <w:p>
            <w:pPr>
              <w:pStyle w:val="ListParagraph"/>
              <w:widowControl w:val="false"/>
              <w:tabs>
                <w:tab w:val="left" w:pos="607" w:leader="none"/>
                <w:tab w:val="left" w:pos="993" w:leader="none"/>
                <w:tab w:val="left" w:pos="2167" w:leader="none"/>
              </w:tabs>
              <w:bidi w:val="0"/>
              <w:spacing w:lineRule="auto" w:line="240" w:before="57" w:after="57"/>
              <w:ind w:left="57" w:right="57" w:firstLine="283"/>
              <w:jc w:val="both"/>
              <w:rPr>
                <w:rFonts w:ascii="Times New Roman" w:hAnsi="Times New Roman"/>
              </w:rPr>
            </w:pPr>
            <w:r>
              <w:rPr>
                <w:bCs/>
                <w:iCs/>
                <w:spacing w:val="-7"/>
                <w:sz w:val="24"/>
                <w:szCs w:val="24"/>
                <w:lang w:bidi="ar-SA"/>
              </w:rPr>
              <w:t>- Проект лесовосстановления.</w:t>
            </w:r>
          </w:p>
          <w:p>
            <w:pPr>
              <w:pStyle w:val="ListParagraph"/>
              <w:widowControl w:val="false"/>
              <w:tabs>
                <w:tab w:val="left" w:pos="607" w:leader="none"/>
                <w:tab w:val="left" w:pos="993" w:leader="none"/>
                <w:tab w:val="left" w:pos="2167" w:leader="none"/>
              </w:tabs>
              <w:bidi w:val="0"/>
              <w:spacing w:lineRule="auto" w:line="240" w:before="57" w:after="57"/>
              <w:ind w:left="57" w:right="57" w:firstLine="283"/>
              <w:jc w:val="both"/>
              <w:rPr>
                <w:sz w:val="24"/>
                <w:szCs w:val="24"/>
                <w:lang w:eastAsia="ru-RU"/>
              </w:rPr>
            </w:pPr>
            <w:r>
              <w:rPr>
                <w:bCs/>
                <w:iCs/>
                <w:spacing w:val="-7"/>
                <w:sz w:val="24"/>
                <w:szCs w:val="24"/>
                <w:lang w:eastAsia="ru-RU" w:bidi="ar-SA"/>
              </w:rPr>
              <w:t xml:space="preserve">- </w:t>
            </w:r>
            <w:r>
              <w:rPr>
                <w:rFonts w:eastAsia="Calibri" w:cs="Tahoma"/>
                <w:b w:val="false"/>
                <w:bCs w:val="false"/>
                <w:iCs/>
                <w:color w:val="FF4000"/>
                <w:spacing w:val="-7"/>
                <w:sz w:val="24"/>
                <w:szCs w:val="24"/>
                <w:lang w:val="ru-RU" w:eastAsia="ru-RU" w:bidi="ar-SA"/>
              </w:rPr>
              <w:t>Схему подеревной съемки и Перечетную ведомость с характеристикой зеленых насаждений и расчетом компенсационной стоимости включая отчет</w:t>
            </w:r>
          </w:p>
          <w:p>
            <w:pPr>
              <w:pStyle w:val="ListParagraph"/>
              <w:widowControl w:val="false"/>
              <w:tabs>
                <w:tab w:val="left" w:pos="607" w:leader="none"/>
                <w:tab w:val="left" w:pos="993" w:leader="none"/>
                <w:tab w:val="left" w:pos="2167" w:leader="none"/>
              </w:tabs>
              <w:bidi w:val="0"/>
              <w:spacing w:lineRule="auto" w:line="240" w:before="57" w:after="57"/>
              <w:ind w:left="57" w:right="57" w:firstLine="283"/>
              <w:jc w:val="both"/>
              <w:rPr>
                <w:sz w:val="24"/>
                <w:szCs w:val="24"/>
                <w:lang w:eastAsia="ru-RU"/>
              </w:rPr>
            </w:pPr>
            <w:r>
              <w:rPr>
                <w:rFonts w:eastAsia="Calibri" w:cs="Tahoma"/>
                <w:b w:val="false"/>
                <w:bCs w:val="false"/>
                <w:iCs/>
                <w:color w:val="FF4000"/>
                <w:spacing w:val="-7"/>
                <w:sz w:val="24"/>
                <w:szCs w:val="24"/>
                <w:lang w:val="ru-RU" w:eastAsia="ru-RU" w:bidi="ar-SA"/>
              </w:rPr>
              <w:t>- Согласованные объемы объектов растительного мира занесенного в красную книгу (получение коммерческого предложения) с филиалом ФГБУ «ФЦАО» НИЦ «Красная книга».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55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2.3.2.</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Требования к передаваемой документации при приемке проектных работ</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shd w:val="clear" w:color="auto" w:fill="FFFFFF"/>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sz w:val="24"/>
                <w:szCs w:val="24"/>
                <w:lang w:val="ru-RU" w:eastAsia="ru-RU" w:bidi="ar-SA"/>
              </w:rPr>
              <w:t xml:space="preserve">1. Подрядчик в день завершения работ по оформлению рабочей документации, направляет в филиал АО «ДРСК» «ПЭС» Акт сдачи-приемки выполненных работ, оформленный по форме ПР-2, с указанием сумм </w:t>
            </w:r>
            <w:r>
              <w:rPr>
                <w:rFonts w:eastAsia="Times New Roman" w:cs="Times New Roman" w:ascii="Times New Roman" w:hAnsi="Times New Roman"/>
                <w:iCs/>
                <w:spacing w:val="-7"/>
                <w:sz w:val="24"/>
                <w:szCs w:val="24"/>
                <w:lang w:val="ru-RU" w:eastAsia="ru-RU" w:bidi="ar-SA"/>
              </w:rPr>
              <w:t>по каждому объекту таблицы 1, с указанием наименований объектов и заявителя.</w:t>
            </w:r>
          </w:p>
          <w:p>
            <w:pPr>
              <w:pStyle w:val="Standard"/>
              <w:widowControl w:val="false"/>
              <w:shd w:val="clear" w:color="auto" w:fill="FFFFFF"/>
              <w:tabs>
                <w:tab w:val="left" w:pos="607" w:leader="none"/>
                <w:tab w:val="left" w:pos="851" w:leader="none"/>
                <w:tab w:val="left" w:pos="993" w:leader="none"/>
                <w:tab w:val="left" w:pos="2167"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iCs/>
                <w:spacing w:val="-7"/>
                <w:sz w:val="24"/>
                <w:szCs w:val="24"/>
                <w:lang w:val="ru-RU" w:eastAsia="ru-RU" w:bidi="ar-SA"/>
              </w:rPr>
              <w:t xml:space="preserve">2. Вместе с актами выполненных работ Подрядчик передает </w:t>
            </w:r>
            <w:r>
              <w:rPr>
                <w:rFonts w:eastAsia="Times New Roman" w:cs="Times New Roman" w:ascii="Times New Roman" w:hAnsi="Times New Roman"/>
                <w:bCs/>
                <w:iCs/>
                <w:spacing w:val="-7"/>
                <w:sz w:val="24"/>
                <w:szCs w:val="24"/>
                <w:lang w:val="ru-RU" w:eastAsia="ru-RU" w:bidi="ar-SA"/>
              </w:rPr>
              <w:t xml:space="preserve">по акту приемки-передачи </w:t>
            </w:r>
            <w:r>
              <w:rPr>
                <w:rFonts w:eastAsia="Times New Roman" w:cs="Times New Roman" w:ascii="Times New Roman" w:hAnsi="Times New Roman"/>
                <w:iCs/>
                <w:spacing w:val="-7"/>
                <w:sz w:val="24"/>
                <w:szCs w:val="24"/>
                <w:lang w:val="ru-RU" w:eastAsia="ru-RU" w:bidi="ar-SA"/>
              </w:rPr>
              <w:t xml:space="preserve">проектную (рабочую) документацию и сметную документацию на выполнение СМР в бумажном и электронном виде </w:t>
            </w:r>
            <w:r>
              <w:rPr>
                <w:rFonts w:eastAsia="Times New Roman" w:cs="Times New Roman" w:ascii="Times New Roman" w:hAnsi="Times New Roman"/>
                <w:bCs/>
                <w:sz w:val="24"/>
                <w:szCs w:val="24"/>
                <w:lang w:val="ru-RU" w:eastAsia="ru-RU" w:bidi="ar-SA"/>
              </w:rPr>
              <w:t>в следующие подразделения филиала АО «ДРСК» «ПЭС» и в следующем порядке:</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eastAsia="Times New Roman" w:cs="Times New Roman" w:ascii="Times New Roman" w:hAnsi="Times New Roman"/>
                <w:bCs/>
                <w:sz w:val="24"/>
                <w:szCs w:val="24"/>
                <w:lang w:val="ru-RU" w:eastAsia="ru-RU" w:bidi="ar-SA"/>
              </w:rPr>
              <w:t>- в РЭС - 1 бумажный экземпляр ПД (РД);</w:t>
            </w:r>
          </w:p>
          <w:p>
            <w:pPr>
              <w:pStyle w:val="Standard"/>
              <w:widowControl w:val="false"/>
              <w:tabs>
                <w:tab w:val="left" w:pos="0" w:leader="none"/>
              </w:tabs>
              <w:bidi w:val="0"/>
              <w:spacing w:lineRule="auto" w:line="240" w:before="57" w:after="57"/>
              <w:ind w:left="57" w:right="57" w:firstLine="283"/>
              <w:jc w:val="both"/>
              <w:rPr>
                <w:rFonts w:ascii="Times New Roman" w:hAnsi="Times New Roman"/>
                <w:bCs/>
                <w:sz w:val="24"/>
                <w:szCs w:val="24"/>
              </w:rPr>
            </w:pPr>
            <w:r>
              <w:rPr>
                <w:rFonts w:eastAsia="Times New Roman" w:cs="Times New Roman" w:ascii="Times New Roman" w:hAnsi="Times New Roman"/>
                <w:bCs/>
                <w:sz w:val="24"/>
                <w:szCs w:val="24"/>
                <w:lang w:val="ru-RU" w:eastAsia="ru-RU" w:bidi="ar-SA"/>
              </w:rPr>
              <w:t>- в СП - 1 бумажный экземпляр ПД (РД);</w:t>
            </w:r>
          </w:p>
          <w:p>
            <w:pPr>
              <w:pStyle w:val="Standard"/>
              <w:widowControl w:val="false"/>
              <w:shd w:val="clear" w:color="auto" w:fill="FFFFFF"/>
              <w:tabs>
                <w:tab w:val="left" w:pos="0" w:leader="none"/>
              </w:tabs>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iCs/>
                <w:color w:val="000000"/>
                <w:spacing w:val="-7"/>
                <w:sz w:val="24"/>
                <w:szCs w:val="24"/>
                <w:lang w:val="ru-RU" w:eastAsia="ru-RU" w:bidi="ar-SA"/>
              </w:rPr>
              <w:t xml:space="preserve">- в Отдел капитального строительства и инвестиций филиала ПЭС сопроводительным письмом (1 бумажный экземпляр проектной (рабочей) документации, оформленный в соответствии с п.1.1.4 настоящей таблицы, и сметной документации на выполнение СМР и 1 экземпляр ПСД в электронном виде (на </w:t>
            </w:r>
            <w:r>
              <w:rPr>
                <w:rFonts w:eastAsia="Times New Roman" w:cs="Times New Roman" w:ascii="Times New Roman" w:hAnsi="Times New Roman"/>
                <w:bCs/>
                <w:iCs/>
                <w:color w:val="000000"/>
                <w:spacing w:val="-7"/>
                <w:sz w:val="24"/>
                <w:szCs w:val="24"/>
                <w:lang w:val="en-US" w:eastAsia="ru-RU" w:bidi="ar-SA"/>
              </w:rPr>
              <w:t>CD</w:t>
            </w:r>
            <w:r>
              <w:rPr>
                <w:rFonts w:eastAsia="Times New Roman" w:cs="Times New Roman" w:ascii="Times New Roman" w:hAnsi="Times New Roman"/>
                <w:bCs/>
                <w:iCs/>
                <w:color w:val="000000"/>
                <w:spacing w:val="-7"/>
                <w:sz w:val="24"/>
                <w:szCs w:val="24"/>
                <w:lang w:val="ru-RU" w:eastAsia="ru-RU" w:bidi="ar-SA"/>
              </w:rPr>
              <w:t xml:space="preserve">) </w:t>
            </w:r>
            <w:r>
              <w:rPr>
                <w:rFonts w:eastAsia="Times New Roman" w:cs="Times New Roman" w:ascii="Times New Roman" w:hAnsi="Times New Roman"/>
                <w:iCs/>
                <w:color w:val="000000"/>
                <w:spacing w:val="-7"/>
                <w:sz w:val="24"/>
                <w:szCs w:val="24"/>
                <w:lang w:val="ru-RU" w:eastAsia="ru-RU" w:bidi="ar-SA"/>
              </w:rPr>
              <w:t>в форматах:</w:t>
            </w:r>
          </w:p>
          <w:tbl>
            <w:tblPr>
              <w:tblW w:w="9065" w:type="dxa"/>
              <w:jc w:val="left"/>
              <w:tblInd w:w="3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3" w:type="dxa"/>
              </w:tblCellMar>
              <w:tblLook w:val="04a0" w:noVBand="1" w:noHBand="0" w:lastColumn="0" w:firstColumn="1" w:lastRow="0" w:firstRow="1"/>
            </w:tblPr>
            <w:tblGrid>
              <w:gridCol w:w="3112"/>
              <w:gridCol w:w="4935"/>
              <w:gridCol w:w="1018"/>
            </w:tblGrid>
            <w:tr>
              <w:trPr>
                <w:trHeight w:val="522" w:hRule="atLeast"/>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b/>
                      <w:sz w:val="22"/>
                      <w:szCs w:val="22"/>
                      <w:lang w:eastAsia="ru-RU"/>
                    </w:rPr>
                    <w:t>Вид документа</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b/>
                      <w:b/>
                      <w:sz w:val="24"/>
                      <w:szCs w:val="24"/>
                    </w:rPr>
                  </w:pPr>
                  <w:r>
                    <w:rPr>
                      <w:rFonts w:eastAsia="Times New Roman" w:cs="Times New Roman" w:ascii="Times New Roman" w:hAnsi="Times New Roman"/>
                      <w:b/>
                      <w:sz w:val="22"/>
                      <w:szCs w:val="22"/>
                      <w:lang w:eastAsia="ru-RU"/>
                    </w:rPr>
                    <w:t>Используемое приложение</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b/>
                      <w:b/>
                      <w:sz w:val="24"/>
                      <w:szCs w:val="24"/>
                    </w:rPr>
                  </w:pPr>
                  <w:r>
                    <w:rPr>
                      <w:rFonts w:eastAsia="Times New Roman" w:cs="Times New Roman" w:ascii="Times New Roman" w:hAnsi="Times New Roman"/>
                      <w:b/>
                      <w:sz w:val="22"/>
                      <w:szCs w:val="22"/>
                      <w:lang w:eastAsia="ru-RU"/>
                    </w:rPr>
                    <w:t>Формат</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Текстовая часть, описания</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 xml:space="preserve">MS Word </w:t>
                  </w:r>
                  <w:r>
                    <w:rPr>
                      <w:rFonts w:eastAsia="Times New Roman" w:cs="Times New Roman" w:ascii="Times New Roman" w:hAnsi="Times New Roman"/>
                      <w:sz w:val="22"/>
                      <w:szCs w:val="22"/>
                      <w:lang w:eastAsia="ru-RU"/>
                    </w:rPr>
                    <w:t>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Adobe Acrobat</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.doc</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Таблицы</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 xml:space="preserve">MS Excel </w:t>
                  </w:r>
                  <w:r>
                    <w:rPr>
                      <w:rFonts w:eastAsia="Times New Roman" w:cs="Times New Roman" w:ascii="Times New Roman" w:hAnsi="Times New Roman"/>
                      <w:sz w:val="22"/>
                      <w:szCs w:val="22"/>
                      <w:lang w:eastAsia="ru-RU"/>
                    </w:rPr>
                    <w:t>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Adobe Acrobat</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.xls</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Базы данных</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 xml:space="preserve">MS Excel </w:t>
                  </w:r>
                  <w:r>
                    <w:rPr>
                      <w:rFonts w:eastAsia="Times New Roman" w:cs="Times New Roman" w:ascii="Times New Roman" w:hAnsi="Times New Roman"/>
                      <w:sz w:val="22"/>
                      <w:szCs w:val="22"/>
                      <w:lang w:eastAsia="ru-RU"/>
                    </w:rPr>
                    <w:t>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Adobe Acrobat</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.xls</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Планы, графики</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 xml:space="preserve">MS Project </w:t>
                  </w:r>
                  <w:r>
                    <w:rPr>
                      <w:rFonts w:eastAsia="Times New Roman" w:cs="Times New Roman" w:ascii="Times New Roman" w:hAnsi="Times New Roman"/>
                      <w:sz w:val="22"/>
                      <w:szCs w:val="22"/>
                      <w:lang w:eastAsia="ru-RU"/>
                    </w:rPr>
                    <w:t>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MS Excel</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.mpp</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.xls</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Чертежи</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AutoCAD</w:t>
                  </w:r>
                  <w:r>
                    <w:rPr>
                      <w:rFonts w:eastAsia="Times New Roman" w:cs="Times New Roman" w:ascii="Times New Roman" w:hAnsi="Times New Roman"/>
                      <w:sz w:val="22"/>
                      <w:szCs w:val="22"/>
                      <w:lang w:eastAsia="ru-RU"/>
                    </w:rPr>
                    <w:t xml:space="preserve"> 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Adobe Acrobat</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.dwg</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.pdf</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Графический материал</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2"/>
                      <w:szCs w:val="22"/>
                    </w:rPr>
                  </w:pPr>
                  <w:r>
                    <w:rPr>
                      <w:rFonts w:eastAsia="Times New Roman" w:cs="Times New Roman" w:ascii="Times New Roman" w:hAnsi="Times New Roman"/>
                      <w:sz w:val="22"/>
                      <w:szCs w:val="22"/>
                      <w:lang w:val="en-US" w:eastAsia="ru-RU"/>
                    </w:rPr>
                    <w:t xml:space="preserve">MS Photo Editor </w:t>
                  </w:r>
                  <w:r>
                    <w:rPr>
                      <w:rFonts w:eastAsia="Times New Roman" w:cs="Times New Roman" w:ascii="Times New Roman" w:hAnsi="Times New Roman"/>
                      <w:sz w:val="22"/>
                      <w:szCs w:val="22"/>
                      <w:lang w:eastAsia="ru-RU"/>
                    </w:rPr>
                    <w:t>и</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Adobe Acrobat</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.jpg</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.pdf</w:t>
                  </w:r>
                </w:p>
              </w:tc>
            </w:tr>
            <w:tr>
              <w:trPr>
                <w:trHeight w:val="479" w:hRule="atLeast"/>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Электронный архив</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lang w:val="en-US"/>
                    </w:rPr>
                  </w:pPr>
                  <w:r>
                    <w:rPr>
                      <w:rFonts w:eastAsia="Times New Roman" w:cs="Times New Roman" w:ascii="Times New Roman" w:hAnsi="Times New Roman"/>
                      <w:sz w:val="22"/>
                      <w:szCs w:val="22"/>
                      <w:lang w:val="en-US" w:eastAsia="ru-RU"/>
                    </w:rPr>
                    <w:t>WinRar</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val="en-US" w:eastAsia="ru-RU"/>
                    </w:rPr>
                    <w:t xml:space="preserve">.rar </w:t>
                  </w:r>
                  <w:r>
                    <w:rPr>
                      <w:rFonts w:eastAsia="Times New Roman" w:cs="Times New Roman" w:ascii="Times New Roman" w:hAnsi="Times New Roman"/>
                      <w:sz w:val="22"/>
                      <w:szCs w:val="22"/>
                      <w:lang w:eastAsia="ru-RU"/>
                    </w:rPr>
                    <w:t>*</w:t>
                  </w:r>
                </w:p>
              </w:tc>
            </w:tr>
            <w:tr>
              <w:trPr/>
              <w:tc>
                <w:tcPr>
                  <w:tcW w:w="3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Сметная документация</w:t>
                  </w:r>
                </w:p>
              </w:tc>
              <w:tc>
                <w:tcPr>
                  <w:tcW w:w="49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val="en-US" w:eastAsia="ru-RU"/>
                    </w:rPr>
                    <w:t>MS</w:t>
                  </w:r>
                  <w:r>
                    <w:rPr>
                      <w:rFonts w:eastAsia="Times New Roman" w:cs="Times New Roman" w:ascii="Times New Roman" w:hAnsi="Times New Roman"/>
                      <w:sz w:val="22"/>
                      <w:szCs w:val="22"/>
                      <w:lang w:eastAsia="ru-RU"/>
                    </w:rPr>
                    <w:t xml:space="preserve"> </w:t>
                  </w:r>
                  <w:r>
                    <w:rPr>
                      <w:rFonts w:eastAsia="Times New Roman" w:cs="Times New Roman" w:ascii="Times New Roman" w:hAnsi="Times New Roman"/>
                      <w:sz w:val="22"/>
                      <w:szCs w:val="22"/>
                      <w:lang w:val="en-US" w:eastAsia="ru-RU"/>
                    </w:rPr>
                    <w:t>Excel</w:t>
                  </w:r>
                  <w:r>
                    <w:rPr>
                      <w:rFonts w:eastAsia="Times New Roman" w:cs="Times New Roman" w:ascii="Times New Roman" w:hAnsi="Times New Roman"/>
                      <w:sz w:val="22"/>
                      <w:szCs w:val="22"/>
                      <w:lang w:eastAsia="ru-RU"/>
                    </w:rPr>
                    <w:t xml:space="preserve"> и в формате программы «ГРАНД </w:t>
                    <w:br/>
                    <w:t xml:space="preserve">СМЕТА», позволяющем вести накопительные </w:t>
                    <w:br/>
                    <w:t>ведомости по локальным сметам.</w:t>
                  </w:r>
                </w:p>
              </w:tc>
              <w:tc>
                <w:tcPr>
                  <w:tcW w:w="10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w:t>
                  </w:r>
                  <w:r>
                    <w:rPr>
                      <w:rFonts w:eastAsia="Times New Roman" w:cs="Times New Roman" w:ascii="Times New Roman" w:hAnsi="Times New Roman"/>
                      <w:sz w:val="22"/>
                      <w:szCs w:val="22"/>
                      <w:lang w:val="en-US" w:eastAsia="ru-RU"/>
                    </w:rPr>
                    <w:t>xls</w:t>
                  </w:r>
                </w:p>
                <w:p>
                  <w:pPr>
                    <w:pStyle w:val="Standard"/>
                    <w:widowControl w:val="false"/>
                    <w:suppressAutoHyphens w:val="false"/>
                    <w:bidi w:val="0"/>
                    <w:spacing w:lineRule="auto" w:line="240" w:before="57" w:after="57"/>
                    <w:ind w:left="57" w:right="57" w:hanging="0"/>
                    <w:jc w:val="left"/>
                    <w:rPr>
                      <w:rFonts w:ascii="Times New Roman" w:hAnsi="Times New Roman"/>
                      <w:sz w:val="24"/>
                      <w:szCs w:val="24"/>
                    </w:rPr>
                  </w:pPr>
                  <w:r>
                    <w:rPr>
                      <w:rFonts w:eastAsia="Times New Roman" w:cs="Times New Roman" w:ascii="Times New Roman" w:hAnsi="Times New Roman"/>
                      <w:sz w:val="22"/>
                      <w:szCs w:val="22"/>
                      <w:lang w:eastAsia="ru-RU"/>
                    </w:rPr>
                    <w:t>.</w:t>
                  </w:r>
                  <w:r>
                    <w:rPr>
                      <w:rFonts w:eastAsia="Times New Roman" w:cs="Times New Roman" w:ascii="Times New Roman" w:hAnsi="Times New Roman"/>
                      <w:sz w:val="22"/>
                      <w:szCs w:val="22"/>
                      <w:lang w:val="en-US" w:eastAsia="ru-RU"/>
                    </w:rPr>
                    <w:t>gsf</w:t>
                  </w:r>
                </w:p>
              </w:tc>
            </w:tr>
          </w:tbl>
          <w:p>
            <w:pPr>
              <w:pStyle w:val="Standard"/>
              <w:widowControl/>
              <w:bidi w:val="0"/>
              <w:spacing w:lineRule="auto" w:line="240" w:before="57" w:after="57"/>
              <w:ind w:left="57" w:right="57" w:firstLine="283"/>
              <w:jc w:val="both"/>
              <w:rPr>
                <w:rFonts w:ascii="Times New Roman" w:hAnsi="Times New Roman"/>
                <w:bCs/>
                <w:sz w:val="24"/>
                <w:szCs w:val="24"/>
              </w:rPr>
            </w:pPr>
            <w:r>
              <w:rPr>
                <w:rFonts w:eastAsia="Times New Roman" w:cs="Times New Roman" w:ascii="Times New Roman" w:hAnsi="Times New Roman"/>
                <w:bCs/>
                <w:iCs/>
                <w:color w:val="000000"/>
                <w:spacing w:val="-7"/>
                <w:sz w:val="24"/>
                <w:szCs w:val="24"/>
                <w:lang w:val="ru-RU" w:eastAsia="ru-RU" w:bidi="ar-SA"/>
              </w:rPr>
              <w:t xml:space="preserve"> </w:t>
            </w:r>
            <w:r>
              <w:rPr>
                <w:rFonts w:eastAsia="Times New Roman" w:cs="Times New Roman" w:ascii="Times New Roman" w:hAnsi="Times New Roman"/>
                <w:bCs/>
                <w:iCs/>
                <w:color w:val="000000"/>
                <w:spacing w:val="-7"/>
                <w:sz w:val="24"/>
                <w:szCs w:val="24"/>
                <w:lang w:val="ru-RU" w:eastAsia="ru-RU" w:bidi="ar-SA"/>
              </w:rPr>
              <w:t>*- материалы каждого тома проекта компоновать в одном файле</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55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2.3.3.</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Требования к передаваемой документации при приемке СМР</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 xml:space="preserve">1. Акты выполненных работ КС-2 оформлять </w:t>
            </w:r>
            <w:r>
              <w:rPr>
                <w:rFonts w:ascii="Times New Roman" w:hAnsi="Times New Roman"/>
                <w:i/>
                <w:iCs/>
                <w:sz w:val="24"/>
                <w:szCs w:val="24"/>
                <w:lang w:val="ru-RU" w:eastAsia="ru-RU" w:bidi="ar-SA"/>
              </w:rPr>
              <w:t xml:space="preserve">по каждому объекту таблицы 1, </w:t>
              <w:br/>
              <w:t>с указанием наименования объекта в соответствии с таблицей 1.</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2.</w:t>
            </w:r>
            <w:r>
              <w:rPr>
                <w:rFonts w:ascii="Times New Roman" w:hAnsi="Times New Roman"/>
                <w:b/>
                <w:sz w:val="24"/>
                <w:szCs w:val="24"/>
                <w:lang w:val="ru-RU" w:eastAsia="ru-RU" w:bidi="ar-SA"/>
              </w:rPr>
              <w:t xml:space="preserve"> </w:t>
            </w:r>
            <w:r>
              <w:rPr>
                <w:rFonts w:ascii="Times New Roman" w:hAnsi="Times New Roman"/>
                <w:sz w:val="24"/>
                <w:szCs w:val="24"/>
                <w:lang w:val="ru-RU" w:eastAsia="ru-RU" w:bidi="ar-SA"/>
              </w:rPr>
              <w:t>Вместе с актами выполненных работ Заказчик передает исполнительную документацию в следующем кратком объеме:</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Акт приемки законченного строительства;</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Акт технической готовности электромонтажных работ;</w:t>
              <w:tab/>
              <w:tab/>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 xml:space="preserve">Акт освидетельствования скрытых работ по монтажу заземляющего устройства </w:t>
              <w:br/>
              <w:t>с исполнительной схемой;</w:t>
              <w:tab/>
              <w:tab/>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Акт освидетельствования скрытых работ на устройство основания под опоры;</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Акт замеров в натуре габаритов от проводов ВЛ до пересекаемого объекта (при наличии пересечений);</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Исполнительная схема ЛЭП;</w:t>
              <w:tab/>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Паспорта и сертификаты на примененные материалы, изделия, оборудование;</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Справка об устранении выявленных замечаний (при наличии);</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 xml:space="preserve">Акт (справка) о выполнении технических условий на </w:t>
            </w:r>
            <w:r>
              <w:rPr>
                <w:rFonts w:ascii="Times New Roman" w:hAnsi="Times New Roman"/>
                <w:bCs/>
                <w:sz w:val="24"/>
                <w:szCs w:val="24"/>
                <w:lang w:val="ru-RU" w:eastAsia="ru-RU" w:bidi="ar-SA"/>
              </w:rPr>
              <w:t>пересечение, сближение и параллельное следование трассы ЛЭП с инженерными сетями, автодорогами и другими преградами сторонних организаций.</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Ордер на производство работ.</w:t>
              <w:tab/>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журнал производства работ (форма КС-6),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журнал учёта выполненных работ (форма КС-6А), в котором отражаются работы по каждому объекту строительства на основании замеров выполненных работ и единых норм и расценок по каждому конструктивному элементу или виду работ.</w:t>
            </w:r>
          </w:p>
          <w:p>
            <w:pPr>
              <w:pStyle w:val="Standard"/>
              <w:widowControl w:val="false"/>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w:t>
            </w:r>
            <w:r>
              <w:rPr>
                <w:rFonts w:ascii="Times New Roman" w:hAnsi="Times New Roman"/>
                <w:sz w:val="24"/>
                <w:szCs w:val="24"/>
                <w:lang w:val="ru-RU" w:eastAsia="ru-RU" w:bidi="ar-SA"/>
              </w:rPr>
              <w:tab/>
              <w:t xml:space="preserve">Формы журналов должны соответствовать типовым межотраслевым формам № КС-6 и № КС-6А, утверждённым постановлением Госкомстата России от 11 ноября 1999 г. </w:t>
              <w:br/>
              <w:t>№ 100, и согласовываться Заказчиком и Подрядчиком в части, учитывающей особенности производства работ по договору подряда.</w:t>
            </w:r>
          </w:p>
          <w:p>
            <w:pPr>
              <w:pStyle w:val="Standard"/>
              <w:widowControl w:val="false"/>
              <w:numPr>
                <w:ilvl w:val="0"/>
                <w:numId w:val="2"/>
              </w:numPr>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Р</w:t>
            </w:r>
            <w:r>
              <w:rPr>
                <w:rFonts w:eastAsia="Times New Roman" w:cs="Times New Roman" w:ascii="Times New Roman" w:hAnsi="Times New Roman"/>
                <w:sz w:val="24"/>
                <w:szCs w:val="24"/>
                <w:lang w:val="ru-RU" w:eastAsia="ru-RU" w:bidi="ar-SA"/>
              </w:rPr>
              <w:t>езультаты протоколов профиспытаний оборудования электротехнической лабораторией.</w:t>
            </w:r>
          </w:p>
          <w:p>
            <w:pPr>
              <w:pStyle w:val="Standard"/>
              <w:widowControl w:val="false"/>
              <w:numPr>
                <w:ilvl w:val="0"/>
                <w:numId w:val="2"/>
              </w:numPr>
              <w:bidi w:val="0"/>
              <w:spacing w:lineRule="auto" w:line="240" w:before="57" w:after="57"/>
              <w:ind w:left="57" w:right="57" w:firstLine="283"/>
              <w:jc w:val="both"/>
              <w:rPr>
                <w:rFonts w:ascii="Times New Roman" w:hAnsi="Times New Roman"/>
                <w:sz w:val="24"/>
                <w:szCs w:val="24"/>
              </w:rPr>
            </w:pPr>
            <w:r>
              <w:rPr>
                <w:rFonts w:eastAsia="Times New Roman" w:cs="Times New Roman" w:ascii="Times New Roman" w:hAnsi="Times New Roman"/>
                <w:bCs/>
                <w:sz w:val="24"/>
                <w:szCs w:val="24"/>
                <w:lang w:val="ru-RU" w:eastAsia="ru-RU" w:bidi="ar-SA"/>
              </w:rPr>
              <w:t>Заверенные копии сертификатов и технических паспортов на используемые материалы и оборудование.</w:t>
            </w:r>
          </w:p>
          <w:p>
            <w:pPr>
              <w:pStyle w:val="Standard"/>
              <w:widowControl/>
              <w:shd w:val="clear" w:color="auto" w:fill="FFFFFF"/>
              <w:bidi w:val="0"/>
              <w:spacing w:lineRule="auto" w:line="240" w:before="57" w:after="57"/>
              <w:ind w:left="57" w:right="57" w:firstLine="283"/>
              <w:jc w:val="both"/>
              <w:rPr>
                <w:rFonts w:ascii="Times New Roman" w:hAnsi="Times New Roman"/>
                <w:spacing w:val="-1"/>
                <w:sz w:val="24"/>
                <w:szCs w:val="24"/>
              </w:rPr>
            </w:pPr>
            <w:r>
              <w:rPr>
                <w:rFonts w:ascii="Times New Roman" w:hAnsi="Times New Roman"/>
                <w:spacing w:val="-1"/>
                <w:sz w:val="24"/>
                <w:szCs w:val="24"/>
                <w:lang w:val="ru-RU" w:eastAsia="ru-RU" w:bidi="ar-SA"/>
              </w:rPr>
              <w:t>3. Исполнительная документация оформляется в 3 экземплярах:</w:t>
            </w:r>
          </w:p>
          <w:p>
            <w:pPr>
              <w:pStyle w:val="Standard"/>
              <w:widowControl/>
              <w:shd w:val="clear" w:color="auto" w:fill="FFFFFF"/>
              <w:bidi w:val="0"/>
              <w:spacing w:lineRule="auto" w:line="240" w:before="57" w:after="57"/>
              <w:ind w:left="57" w:right="57" w:firstLine="283"/>
              <w:jc w:val="left"/>
              <w:rPr>
                <w:rFonts w:ascii="Times New Roman" w:hAnsi="Times New Roman"/>
              </w:rPr>
            </w:pPr>
            <w:r>
              <w:rPr>
                <w:rFonts w:ascii="Times New Roman" w:hAnsi="Times New Roman"/>
                <w:spacing w:val="-1"/>
                <w:sz w:val="24"/>
                <w:szCs w:val="24"/>
                <w:lang w:val="ru-RU" w:eastAsia="ru-RU" w:bidi="ar-SA"/>
              </w:rPr>
              <w:t>- 1 экземпляр передается в РЭС;</w:t>
            </w:r>
          </w:p>
          <w:p>
            <w:pPr>
              <w:pStyle w:val="Standard"/>
              <w:widowControl/>
              <w:shd w:val="clear" w:color="auto" w:fill="FFFFFF"/>
              <w:bidi w:val="0"/>
              <w:spacing w:lineRule="auto" w:line="240" w:before="57" w:after="57"/>
              <w:ind w:left="57" w:right="57" w:firstLine="283"/>
              <w:jc w:val="left"/>
              <w:rPr>
                <w:rFonts w:ascii="Times New Roman" w:hAnsi="Times New Roman"/>
                <w:spacing w:val="-1"/>
                <w:sz w:val="24"/>
                <w:szCs w:val="24"/>
              </w:rPr>
            </w:pPr>
            <w:r>
              <w:rPr>
                <w:rFonts w:ascii="Times New Roman" w:hAnsi="Times New Roman"/>
                <w:spacing w:val="-1"/>
                <w:sz w:val="24"/>
                <w:szCs w:val="24"/>
                <w:lang w:val="ru-RU" w:eastAsia="ru-RU" w:bidi="ar-SA"/>
              </w:rPr>
              <w:t>- 1 экземпляр в соответствующее структурное подразделение филиала «Приморские электрические сети» по акту приемки-передачи;</w:t>
            </w:r>
          </w:p>
          <w:p>
            <w:pPr>
              <w:pStyle w:val="Standard"/>
              <w:widowControl/>
              <w:shd w:val="clear" w:color="auto" w:fill="FFFFFF"/>
              <w:bidi w:val="0"/>
              <w:spacing w:lineRule="auto" w:line="240" w:before="57" w:after="57"/>
              <w:ind w:left="57" w:right="57" w:firstLine="283"/>
              <w:jc w:val="both"/>
              <w:rPr>
                <w:rFonts w:ascii="Times New Roman" w:hAnsi="Times New Roman"/>
                <w:bCs/>
                <w:iCs/>
                <w:color w:val="000000"/>
                <w:spacing w:val="-1"/>
                <w:sz w:val="24"/>
                <w:szCs w:val="24"/>
                <w:lang w:eastAsia="ru-RU"/>
              </w:rPr>
            </w:pPr>
            <w:r>
              <w:rPr>
                <w:rFonts w:ascii="Times New Roman" w:hAnsi="Times New Roman"/>
                <w:bCs/>
                <w:iCs/>
                <w:color w:val="000000"/>
                <w:spacing w:val="-1"/>
                <w:sz w:val="24"/>
                <w:szCs w:val="24"/>
                <w:lang w:val="ru-RU" w:eastAsia="ru-RU" w:bidi="ar-SA"/>
              </w:rPr>
              <w:t>- 1 экземпляр в отдел капитального строительства и инвестиций филиала АО «ДРСК» «ПЭС» с подтверждающим документом, отражающим факт приемки исполнительной документации СП и РЭС в бумажном виде и полный скан-комплект в электронном виде в формате pdf.</w:t>
            </w:r>
          </w:p>
          <w:p>
            <w:pPr>
              <w:pStyle w:val="Standard"/>
              <w:widowControl/>
              <w:shd w:val="clear" w:color="auto" w:fill="FFFFFF"/>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4. Подрядчик должен указывать заводские номера оборудования (КТПН, трансформаторы и т.п.) в актах выполненных работ КС-2 в разделе «Материалы заказчика».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ind w:left="123" w:hanging="0"/>
              <w:jc w:val="center"/>
              <w:rPr>
                <w:b/>
                <w:b/>
                <w:bCs/>
                <w:sz w:val="24"/>
                <w:szCs w:val="24"/>
              </w:rPr>
            </w:pPr>
            <w:r>
              <w:rPr>
                <w:rFonts w:eastAsia="Times New Roman" w:cs="Times New Roman" w:ascii="Times New Roman" w:hAnsi="Times New Roman"/>
                <w:b/>
                <w:bCs/>
                <w:sz w:val="24"/>
                <w:szCs w:val="24"/>
                <w:lang w:val="ru-RU" w:eastAsia="ru-RU" w:bidi="ar-SA"/>
              </w:rPr>
              <w:t>3.</w:t>
            </w:r>
          </w:p>
        </w:tc>
        <w:tc>
          <w:tcPr>
            <w:tcW w:w="12087"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vAlign w:val="center"/>
          </w:tcPr>
          <w:p>
            <w:pPr>
              <w:pStyle w:val="Normal"/>
              <w:widowControl/>
              <w:bidi w:val="0"/>
              <w:spacing w:lineRule="auto" w:line="240" w:before="57" w:after="57"/>
              <w:ind w:left="57" w:right="57" w:hanging="0"/>
              <w:jc w:val="both"/>
              <w:rPr>
                <w:b/>
                <w:b/>
                <w:bCs/>
                <w:sz w:val="24"/>
                <w:szCs w:val="24"/>
              </w:rPr>
            </w:pPr>
            <w:r>
              <w:rPr>
                <w:rFonts w:eastAsia="Times New Roman" w:cs="Times New Roman" w:ascii="Times New Roman" w:hAnsi="Times New Roman"/>
                <w:b/>
                <w:bCs/>
                <w:sz w:val="24"/>
                <w:szCs w:val="24"/>
                <w:lang w:val="ru-RU" w:eastAsia="ru-RU" w:bidi="ar-SA"/>
              </w:rPr>
              <w:t>Требования к ответственности и гарантиям подрядчика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both"/>
              <w:rPr>
                <w:rFonts w:ascii="Times New Roman" w:hAnsi="Times New Roman" w:eastAsia="Times New Roman" w:cs="Times New Roman"/>
                <w:b/>
                <w:b/>
                <w:bCs/>
                <w:sz w:val="20"/>
                <w:szCs w:val="20"/>
                <w:lang w:eastAsia="ru-RU"/>
              </w:rPr>
            </w:pPr>
            <w:r>
              <w:rPr>
                <w:rFonts w:eastAsia="Times New Roman" w:cs="Times New Roman" w:ascii="Times New Roman" w:hAnsi="Times New Roman"/>
                <w:b/>
                <w:bCs/>
                <w:sz w:val="20"/>
                <w:szCs w:val="20"/>
                <w:lang w:eastAsia="ru-RU"/>
              </w:rPr>
            </w:r>
          </w:p>
        </w:tc>
      </w:tr>
      <w:tr>
        <w:trPr>
          <w:trHeight w:val="439"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3.1.1.</w:t>
            </w:r>
          </w:p>
        </w:tc>
        <w:tc>
          <w:tcPr>
            <w:tcW w:w="249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val="false"/>
              <w:tabs>
                <w:tab w:val="left" w:pos="0" w:leader="none"/>
                <w:tab w:val="left" w:pos="993" w:leader="none"/>
                <w:tab w:val="left" w:pos="1418" w:leader="none"/>
              </w:tabs>
              <w:bidi w:val="0"/>
              <w:spacing w:lineRule="auto" w:line="240" w:before="57" w:after="57"/>
              <w:ind w:left="57" w:right="57" w:hanging="0"/>
              <w:jc w:val="center"/>
              <w:rPr>
                <w:sz w:val="24"/>
                <w:szCs w:val="24"/>
              </w:rPr>
            </w:pPr>
            <w:r>
              <w:rPr>
                <w:rFonts w:eastAsia="Times New Roman" w:cs="Times New Roman" w:ascii="Times New Roman" w:hAnsi="Times New Roman"/>
                <w:bCs/>
                <w:i/>
                <w:sz w:val="24"/>
                <w:szCs w:val="24"/>
                <w:lang w:val="ru-RU" w:eastAsia="ru-RU" w:bidi="ar-SA"/>
              </w:rPr>
              <w:t>Требования к гарантиям подрядчика</w:t>
            </w:r>
          </w:p>
        </w:tc>
        <w:tc>
          <w:tcPr>
            <w:tcW w:w="9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val="false"/>
              <w:tabs>
                <w:tab w:val="left" w:pos="0" w:leader="none"/>
                <w:tab w:val="left" w:pos="993" w:leader="none"/>
                <w:tab w:val="left" w:pos="1418" w:leader="none"/>
              </w:tabs>
              <w:bidi w:val="0"/>
              <w:spacing w:lineRule="auto" w:line="240" w:before="57" w:after="57"/>
              <w:ind w:left="57" w:right="57" w:firstLine="283"/>
              <w:jc w:val="both"/>
              <w:rPr>
                <w:rFonts w:ascii="Times New Roman" w:hAnsi="Times New Roman"/>
              </w:rPr>
            </w:pPr>
            <w:r>
              <w:rPr>
                <w:rFonts w:eastAsia="Times New Roman" w:cs="Times New Roman" w:ascii="Times New Roman" w:hAnsi="Times New Roman"/>
                <w:sz w:val="24"/>
                <w:szCs w:val="24"/>
                <w:lang w:val="ru-RU" w:eastAsia="ru-RU" w:bidi="ar-SA"/>
              </w:rPr>
              <w:t>Требования к гарантиям определены проектом договора подряда.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39"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3.1.2.</w:t>
            </w:r>
          </w:p>
        </w:tc>
        <w:tc>
          <w:tcPr>
            <w:tcW w:w="2490"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val="false"/>
              <w:tabs>
                <w:tab w:val="left" w:pos="0" w:leader="none"/>
                <w:tab w:val="left" w:pos="993" w:leader="none"/>
                <w:tab w:val="left" w:pos="1418" w:leader="none"/>
              </w:tabs>
              <w:bidi w:val="0"/>
              <w:spacing w:lineRule="auto" w:line="240" w:before="57" w:after="57"/>
              <w:ind w:left="57" w:right="57" w:hanging="0"/>
              <w:jc w:val="center"/>
              <w:rPr>
                <w:sz w:val="24"/>
                <w:szCs w:val="24"/>
              </w:rPr>
            </w:pPr>
            <w:r>
              <w:rPr>
                <w:rFonts w:eastAsia="Times New Roman" w:cs="Times New Roman" w:ascii="Times New Roman" w:hAnsi="Times New Roman"/>
                <w:bCs/>
                <w:i/>
                <w:sz w:val="24"/>
                <w:szCs w:val="24"/>
                <w:lang w:val="ru-RU" w:eastAsia="ru-RU" w:bidi="ar-SA"/>
              </w:rPr>
              <w:t xml:space="preserve">Требования к </w:t>
            </w:r>
            <w:r>
              <w:rPr>
                <w:rFonts w:eastAsia="Times New Roman" w:cs="Times New Roman" w:ascii="Times New Roman" w:hAnsi="Times New Roman"/>
                <w:szCs w:val="20"/>
                <w:lang w:val="ru-RU" w:eastAsia="ru-RU" w:bidi="ar-SA"/>
              </w:rPr>
              <w:t xml:space="preserve"> </w:t>
            </w:r>
            <w:r>
              <w:rPr>
                <w:rFonts w:eastAsia="Times New Roman" w:cs="Times New Roman" w:ascii="Times New Roman" w:hAnsi="Times New Roman"/>
                <w:bCs/>
                <w:i/>
                <w:sz w:val="24"/>
                <w:szCs w:val="24"/>
                <w:lang w:val="ru-RU" w:eastAsia="ru-RU" w:bidi="ar-SA"/>
              </w:rPr>
              <w:t>ответственности подрядчика</w:t>
            </w:r>
          </w:p>
        </w:tc>
        <w:tc>
          <w:tcPr>
            <w:tcW w:w="95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val="false"/>
              <w:tabs>
                <w:tab w:val="left" w:pos="0" w:leader="none"/>
                <w:tab w:val="left" w:pos="993" w:leader="none"/>
                <w:tab w:val="left" w:pos="1418" w:leader="none"/>
              </w:tabs>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При выполнении работ подрядчик принимает и несет ответственность за выполнение следующих обязательств</w:t>
            </w:r>
            <w:r>
              <w:rPr>
                <w:rFonts w:eastAsia="Times New Roman" w:ascii="Times New Roman" w:hAnsi="Times New Roman"/>
                <w:spacing w:val="-1"/>
                <w:sz w:val="24"/>
                <w:szCs w:val="24"/>
                <w:lang w:val="ru-RU" w:eastAsia="ru-RU" w:bidi="ar-SA"/>
              </w:rPr>
              <w:t>:</w:t>
            </w:r>
          </w:p>
          <w:p>
            <w:pPr>
              <w:pStyle w:val="Standard"/>
              <w:widowControl/>
              <w:shd w:val="clear" w:color="auto" w:fill="FFFFFF"/>
              <w:bidi w:val="0"/>
              <w:spacing w:lineRule="auto" w:line="240" w:before="57" w:after="57"/>
              <w:ind w:left="57" w:right="57" w:firstLine="283"/>
              <w:jc w:val="both"/>
              <w:rPr>
                <w:rFonts w:ascii="Times New Roman" w:hAnsi="Times New Roman"/>
                <w:spacing w:val="-1"/>
                <w:sz w:val="24"/>
                <w:szCs w:val="24"/>
              </w:rPr>
            </w:pPr>
            <w:r>
              <w:rPr>
                <w:rFonts w:eastAsia="Times New Roman" w:ascii="Times New Roman" w:hAnsi="Times New Roman"/>
                <w:spacing w:val="-1"/>
                <w:sz w:val="24"/>
                <w:szCs w:val="24"/>
                <w:lang w:val="ru-RU" w:eastAsia="ru-RU" w:bidi="ar-SA"/>
              </w:rPr>
              <w:t>1. Использовать полученные от Заказчика исходные данные, а также другую документацию и информацию только для достижения целей, предусмотренных договорами, заключенными по итогам закрытых запросов цен, не разглашать и не передавать их третьим лицам без письменного согласия Заказчика;</w:t>
            </w:r>
          </w:p>
          <w:p>
            <w:pPr>
              <w:pStyle w:val="Standard"/>
              <w:widowControl/>
              <w:shd w:val="clear" w:color="auto" w:fill="FFFFFF"/>
              <w:bidi w:val="0"/>
              <w:spacing w:lineRule="auto" w:line="240" w:before="57" w:after="57"/>
              <w:ind w:left="57" w:right="57" w:firstLine="283"/>
              <w:jc w:val="both"/>
              <w:rPr>
                <w:rFonts w:ascii="Times New Roman" w:hAnsi="Times New Roman"/>
                <w:spacing w:val="-1"/>
                <w:sz w:val="24"/>
                <w:szCs w:val="24"/>
              </w:rPr>
            </w:pPr>
            <w:r>
              <w:rPr>
                <w:rFonts w:eastAsia="Times New Roman" w:ascii="Times New Roman" w:hAnsi="Times New Roman"/>
                <w:spacing w:val="-1"/>
                <w:sz w:val="24"/>
                <w:szCs w:val="24"/>
                <w:lang w:val="ru-RU" w:eastAsia="ru-RU" w:bidi="ar-SA"/>
              </w:rPr>
              <w:t>2. Безвозмездно откорректировать документацию по замечаниям Заказчика и предоставить корректировку в течение 3 (трех) рабочих дней;</w:t>
            </w:r>
          </w:p>
          <w:p>
            <w:pPr>
              <w:pStyle w:val="Standard"/>
              <w:widowControl/>
              <w:shd w:val="clear" w:color="auto" w:fill="FFFFFF"/>
              <w:bidi w:val="0"/>
              <w:spacing w:lineRule="auto" w:line="240" w:before="57" w:after="57"/>
              <w:ind w:left="57" w:right="57" w:firstLine="283"/>
              <w:jc w:val="both"/>
              <w:rPr>
                <w:rFonts w:ascii="Times New Roman" w:hAnsi="Times New Roman"/>
                <w:spacing w:val="-1"/>
                <w:sz w:val="24"/>
                <w:szCs w:val="24"/>
              </w:rPr>
            </w:pPr>
            <w:r>
              <w:rPr>
                <w:rFonts w:eastAsia="Times New Roman" w:ascii="Times New Roman" w:hAnsi="Times New Roman"/>
                <w:spacing w:val="-1"/>
                <w:sz w:val="24"/>
                <w:szCs w:val="24"/>
                <w:lang w:val="ru-RU" w:eastAsia="ru-RU" w:bidi="ar-SA"/>
              </w:rPr>
              <w:t>3. При обнаружении недостатков в документации по требованию Заказчика безвозмездно доработать техническую документацию в течение 5 (пяти) рабочих дней и возместить убытки, связанные с допущенными недостатками;</w:t>
            </w:r>
          </w:p>
          <w:p>
            <w:pPr>
              <w:pStyle w:val="Standard"/>
              <w:widowControl w:val="false"/>
              <w:tabs>
                <w:tab w:val="left" w:pos="1300" w:leader="none"/>
              </w:tabs>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4. В случае выявления, на этапе выполнения строительно-монтажных и пуско-наладочных работ, ошибок проектирования подрядная организация обеспечивает безвозмездную корректировку проектных решений с устранением несоответствий. Доработка проектных решений не должна приводить к переносу срока ввода объекта;</w:t>
            </w:r>
          </w:p>
          <w:p>
            <w:pPr>
              <w:pStyle w:val="Standard"/>
              <w:widowControl w:val="false"/>
              <w:tabs>
                <w:tab w:val="left" w:pos="812" w:leader="none"/>
              </w:tabs>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5. При выполнении рабочей документации необходимо применять оборудование и материалы, соответствующие Российским стандартам, сертифицированные в установленном порядке;</w:t>
            </w:r>
          </w:p>
          <w:p>
            <w:pPr>
              <w:pStyle w:val="Standard"/>
              <w:widowControl w:val="false"/>
              <w:tabs>
                <w:tab w:val="left" w:pos="812" w:leader="none"/>
              </w:tabs>
              <w:bidi w:val="0"/>
              <w:spacing w:lineRule="auto" w:line="240" w:before="57" w:after="57"/>
              <w:ind w:left="57" w:right="57" w:firstLine="283"/>
              <w:jc w:val="both"/>
              <w:rPr>
                <w:rFonts w:ascii="Times New Roman" w:hAnsi="Times New Roman"/>
                <w:sz w:val="24"/>
                <w:szCs w:val="24"/>
              </w:rPr>
            </w:pPr>
            <w:r>
              <w:rPr>
                <w:rFonts w:eastAsia="Times New Roman" w:ascii="Times New Roman" w:hAnsi="Times New Roman"/>
                <w:sz w:val="24"/>
                <w:szCs w:val="24"/>
                <w:lang w:val="ru-RU" w:eastAsia="ru-RU" w:bidi="ar-SA"/>
              </w:rPr>
              <w:t>6. Любые отклонения от выбранного коридора проектируемого участка выноски ЛЭП должны иметь технико-экономические обоснования;</w:t>
            </w:r>
          </w:p>
          <w:p>
            <w:pPr>
              <w:pStyle w:val="Normal"/>
              <w:widowControl w:val="false"/>
              <w:tabs>
                <w:tab w:val="left" w:pos="0" w:leader="none"/>
                <w:tab w:val="left" w:pos="993" w:leader="none"/>
                <w:tab w:val="left" w:pos="1418" w:leader="none"/>
              </w:tabs>
              <w:bidi w:val="0"/>
              <w:spacing w:lineRule="auto" w:line="240" w:before="57" w:after="57"/>
              <w:ind w:left="57" w:right="57" w:firstLine="283"/>
              <w:jc w:val="both"/>
              <w:rPr>
                <w:rFonts w:ascii="Times New Roman" w:hAnsi="Times New Roman" w:cs="Times New Roman"/>
                <w:sz w:val="24"/>
                <w:szCs w:val="24"/>
              </w:rPr>
            </w:pPr>
            <w:r>
              <w:rPr>
                <w:rFonts w:eastAsia="Times New Roman" w:cs="Times New Roman" w:ascii="Times New Roman" w:hAnsi="Times New Roman"/>
                <w:i/>
                <w:iCs/>
                <w:sz w:val="24"/>
                <w:szCs w:val="24"/>
                <w:lang w:val="ru-RU" w:eastAsia="ru-RU" w:bidi="ar-SA"/>
              </w:rPr>
              <w:t>7. Разработанная рабочая документация является собственностью Заказчика и передача её третьим лицам без его согласия запрещается;</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4.</w:t>
            </w:r>
          </w:p>
        </w:tc>
        <w:tc>
          <w:tcPr>
            <w:tcW w:w="15450"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rFonts w:ascii="Times New Roman" w:hAnsi="Times New Roman"/>
              </w:rPr>
            </w:pPr>
            <w:r>
              <w:rPr>
                <w:rFonts w:eastAsia="Times New Roman" w:cs="Times New Roman" w:ascii="Times New Roman" w:hAnsi="Times New Roman"/>
                <w:b/>
                <w:bCs/>
                <w:sz w:val="24"/>
                <w:szCs w:val="24"/>
                <w:lang w:val="ru-RU" w:eastAsia="ru-RU" w:bidi="ar-SA"/>
              </w:rPr>
              <w:t>Требования к подрядчику (и субподрядчикам) и его обязательствам, влияющим на исполнение договора</w:t>
            </w:r>
          </w:p>
        </w:tc>
      </w:tr>
      <w:tr>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4.1.1.</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 xml:space="preserve">Требования к объему и виду работ, которые могут быть выполнены в рамках договоров субподряда  </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ListParagraph"/>
              <w:widowControl w:val="false"/>
              <w:numPr>
                <w:ilvl w:val="0"/>
                <w:numId w:val="3"/>
              </w:numPr>
              <w:tabs>
                <w:tab w:val="left" w:pos="457" w:leader="none"/>
              </w:tabs>
              <w:bidi w:val="0"/>
              <w:spacing w:lineRule="auto" w:line="240" w:before="57" w:after="57"/>
              <w:ind w:left="57" w:right="57" w:firstLine="283"/>
              <w:jc w:val="both"/>
              <w:textAlignment w:val="baseline"/>
              <w:rPr>
                <w:highlight w:val="yellow"/>
              </w:rPr>
            </w:pPr>
            <w:r>
              <w:rPr>
                <w:bCs/>
                <w:sz w:val="24"/>
                <w:szCs w:val="24"/>
                <w:lang w:bidi="ar-SA"/>
              </w:rPr>
              <w:t>Порядок согласования субподрядных организаций определен разделом 3, п.3.4.3 проекта договора подряда.</w:t>
            </w:r>
          </w:p>
          <w:p>
            <w:pPr>
              <w:pStyle w:val="Normal"/>
              <w:widowControl/>
              <w:tabs>
                <w:tab w:val="left" w:pos="598" w:leader="none"/>
              </w:tabs>
              <w:bidi w:val="0"/>
              <w:spacing w:lineRule="auto" w:line="240" w:before="57" w:after="57"/>
              <w:ind w:left="57" w:right="57" w:firstLine="283"/>
              <w:jc w:val="both"/>
              <w:rPr>
                <w:rFonts w:ascii="Times New Roman" w:hAnsi="Times New Roman" w:cs="Times New Roman"/>
                <w:bCs/>
                <w:sz w:val="24"/>
                <w:szCs w:val="24"/>
              </w:rPr>
            </w:pPr>
            <w:r>
              <w:rPr>
                <w:rFonts w:cs="Times New Roman" w:ascii="Times New Roman" w:hAnsi="Times New Roman"/>
                <w:bCs/>
                <w:sz w:val="24"/>
                <w:szCs w:val="24"/>
                <w:lang w:val="ru-RU" w:eastAsia="ru-RU" w:bidi="ar-SA"/>
              </w:rPr>
              <w:t>Подрядчик несет при этом ответственность за действия Субподрядчиков, как за свои собственные.</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63"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ru-RU" w:eastAsia="ru-RU" w:bidi="ar-SA"/>
              </w:rPr>
              <w:t>5.</w:t>
            </w:r>
          </w:p>
        </w:tc>
        <w:tc>
          <w:tcPr>
            <w:tcW w:w="15450"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both"/>
              <w:rPr>
                <w:rFonts w:ascii="Times New Roman" w:hAnsi="Times New Roman"/>
              </w:rPr>
            </w:pPr>
            <w:r>
              <w:rPr>
                <w:rFonts w:eastAsia="Times New Roman" w:cs="Times New Roman" w:ascii="Times New Roman" w:hAnsi="Times New Roman"/>
                <w:b/>
                <w:bCs/>
                <w:sz w:val="24"/>
                <w:szCs w:val="24"/>
                <w:lang w:val="ru-RU" w:eastAsia="ru-RU" w:bidi="ar-SA"/>
              </w:rPr>
              <w:t>Прочие требования к выполняемым работам</w:t>
            </w:r>
          </w:p>
        </w:tc>
      </w:tr>
      <w:tr>
        <w:trPr>
          <w:trHeight w:val="412"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rPr>
            </w:pPr>
            <w:r>
              <w:rPr>
                <w:rFonts w:eastAsia="Times New Roman" w:cs="Times New Roman" w:ascii="Times New Roman" w:hAnsi="Times New Roman"/>
                <w:b/>
                <w:bCs/>
                <w:sz w:val="24"/>
                <w:szCs w:val="24"/>
                <w:lang w:val="en-US" w:eastAsia="ru-RU" w:bidi="ar-SA"/>
              </w:rPr>
              <w:t>5.1</w:t>
            </w:r>
            <w:r>
              <w:rPr>
                <w:rFonts w:eastAsia="Times New Roman" w:cs="Times New Roman" w:ascii="Times New Roman" w:hAnsi="Times New Roman"/>
                <w:b/>
                <w:bCs/>
                <w:sz w:val="24"/>
                <w:szCs w:val="24"/>
                <w:lang w:val="ru-RU" w:eastAsia="ru-RU" w:bidi="ar-SA"/>
              </w:rPr>
              <w:t>.</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bCs/>
                <w:i/>
                <w:sz w:val="24"/>
                <w:szCs w:val="24"/>
                <w:lang w:val="ru-RU" w:eastAsia="ru-RU" w:bidi="ar-SA"/>
              </w:rPr>
              <w:t>Особые условия</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tabs>
                <w:tab w:val="left" w:pos="993" w:leader="none"/>
              </w:tabs>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1.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tabs>
                <w:tab w:val="left" w:pos="993" w:leader="none"/>
              </w:tabs>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2.</w:t>
              <w:tab/>
              <w:t>Подрядчику запросить у краевых органов охраны объектов культурного наследия информацию об объектах культурного наследия, включенных в единый государственный реестр объектов культурного наследия, выявленных объектов культурного наследия, а также о границах территорий, в отношении которых у органов имеются основания предполагать наличие на данных территориях объектов археологического наследия либо объектов, обладающих признаками объекта археологического наследия. При проектировании трассы прохождения ЛЭП не допускать размещение коридора трассы по территориям объектов культурного наследия.</w:t>
            </w:r>
          </w:p>
          <w:p>
            <w:pPr>
              <w:pStyle w:val="Standard"/>
              <w:widowControl/>
              <w:tabs>
                <w:tab w:val="left" w:pos="993" w:leader="none"/>
              </w:tabs>
              <w:bidi w:val="0"/>
              <w:spacing w:lineRule="auto" w:line="240" w:before="57" w:after="57"/>
              <w:ind w:left="57" w:right="57" w:firstLine="283"/>
              <w:jc w:val="both"/>
              <w:rPr>
                <w:rFonts w:ascii="Times New Roman" w:hAnsi="Times New Roman"/>
                <w:sz w:val="24"/>
                <w:szCs w:val="24"/>
              </w:rPr>
            </w:pPr>
            <w:r>
              <w:rPr>
                <w:rFonts w:ascii="Times New Roman" w:hAnsi="Times New Roman"/>
                <w:sz w:val="24"/>
                <w:szCs w:val="24"/>
                <w:lang w:val="ru-RU" w:eastAsia="ru-RU" w:bidi="ar-SA"/>
              </w:rPr>
              <w:t>3. Выбор коридора под размещение ЛЭП производить на неразграниченных земельных участках либо на земельных участках, находящихся в государственной или муниципальной собственности и свободных от прав третьих лиц.</w:t>
            </w:r>
          </w:p>
          <w:p>
            <w:pPr>
              <w:pStyle w:val="ListParagraph"/>
              <w:widowControl w:val="false"/>
              <w:tabs>
                <w:tab w:val="left" w:pos="598" w:leader="none"/>
                <w:tab w:val="left" w:pos="993" w:leader="none"/>
              </w:tabs>
              <w:bidi w:val="0"/>
              <w:spacing w:lineRule="auto" w:line="240" w:before="57" w:after="57"/>
              <w:ind w:left="57" w:right="57" w:firstLine="283"/>
              <w:jc w:val="both"/>
              <w:rPr>
                <w:sz w:val="24"/>
                <w:szCs w:val="24"/>
                <w:lang w:eastAsia="en-US"/>
              </w:rPr>
            </w:pPr>
            <w:r>
              <w:rPr>
                <w:sz w:val="24"/>
                <w:szCs w:val="24"/>
                <w:lang w:eastAsia="en-US" w:bidi="ar-SA"/>
              </w:rPr>
              <w:t>4. Схемы границ предполагаемых к использованию земель или части земельного участка и перечень координат характерных точек этих границ в системе координат, установленной для ведения Единого государственного реестра недвижимости подготавливаются отдельно по разным электросетевым объектам.</w:t>
            </w:r>
          </w:p>
          <w:p>
            <w:pPr>
              <w:pStyle w:val="ListParagraph"/>
              <w:widowControl w:val="false"/>
              <w:tabs>
                <w:tab w:val="left" w:pos="628" w:leader="none"/>
              </w:tabs>
              <w:bidi w:val="0"/>
              <w:spacing w:lineRule="auto" w:line="240" w:before="57" w:after="57"/>
              <w:ind w:left="57" w:right="57" w:firstLine="283"/>
              <w:jc w:val="both"/>
              <w:rPr>
                <w:bCs/>
                <w:i/>
                <w:i/>
                <w:sz w:val="24"/>
                <w:szCs w:val="24"/>
              </w:rPr>
            </w:pPr>
            <w:r>
              <w:rPr>
                <w:bCs/>
                <w:i/>
                <w:sz w:val="24"/>
                <w:szCs w:val="24"/>
                <w:lang w:bidi="ar-SA"/>
              </w:rPr>
              <w:t>5. Подрядчик самостоятельно получает от лица Заказчика все необходимые согласования для возможности производства работ, все затраты на получение необходимых согласований и компенсационных выплат входят в общую стоимость объекта ТП;</w:t>
            </w:r>
          </w:p>
          <w:p>
            <w:pPr>
              <w:pStyle w:val="ListParagraph"/>
              <w:widowControl w:val="false"/>
              <w:tabs>
                <w:tab w:val="left" w:pos="628" w:leader="none"/>
              </w:tabs>
              <w:bidi w:val="0"/>
              <w:spacing w:lineRule="auto" w:line="240" w:before="57" w:after="57"/>
              <w:ind w:left="57" w:right="57" w:firstLine="283"/>
              <w:jc w:val="both"/>
              <w:rPr>
                <w:bCs/>
                <w:i/>
                <w:i/>
                <w:sz w:val="24"/>
                <w:szCs w:val="24"/>
                <w:lang w:eastAsia="ru-RU"/>
              </w:rPr>
            </w:pPr>
            <w:r>
              <w:rPr>
                <w:bCs/>
                <w:i/>
                <w:sz w:val="24"/>
                <w:szCs w:val="24"/>
                <w:lang w:eastAsia="ru-RU" w:bidi="ar-SA"/>
              </w:rPr>
              <w:t>6. При проектировании</w:t>
            </w:r>
            <w:r>
              <w:rPr>
                <w:bCs/>
                <w:i/>
                <w:sz w:val="24"/>
                <w:szCs w:val="24"/>
                <w:lang w:val="ru-RU" w:eastAsia="ru-RU" w:bidi="ar-SA"/>
              </w:rPr>
              <w:t xml:space="preserve"> необходимо</w:t>
            </w:r>
            <w:r>
              <w:rPr>
                <w:bCs/>
                <w:i/>
                <w:sz w:val="24"/>
                <w:szCs w:val="24"/>
                <w:lang w:eastAsia="ru-RU" w:bidi="ar-SA"/>
              </w:rPr>
              <w:t xml:space="preserve"> учитывать имеющееся оборудование у Заказчика. </w:t>
            </w:r>
            <w:r>
              <w:rPr>
                <w:bCs/>
                <w:i/>
                <w:sz w:val="24"/>
                <w:szCs w:val="24"/>
                <w:lang w:val="ru-RU" w:eastAsia="ru-RU" w:bidi="ar-SA"/>
              </w:rPr>
              <w:t>Состав</w:t>
            </w:r>
            <w:r>
              <w:rPr>
                <w:bCs/>
                <w:i/>
                <w:sz w:val="24"/>
                <w:szCs w:val="24"/>
                <w:lang w:eastAsia="ru-RU" w:bidi="ar-SA"/>
              </w:rPr>
              <w:t xml:space="preserve"> и характеристики этого оборудования можно получить, направив письменный Запрос заказчику после заключения договора подряда.</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b/>
                <w:sz w:val="24"/>
                <w:szCs w:val="24"/>
                <w:lang w:val="ru-RU" w:eastAsia="ru-RU" w:bidi="ar-SA"/>
              </w:rPr>
              <w:t>-//-</w:t>
            </w:r>
          </w:p>
        </w:tc>
      </w:tr>
      <w:tr>
        <w:trPr>
          <w:trHeight w:val="412" w:hRule="atLeast"/>
        </w:trPr>
        <w:tc>
          <w:tcPr>
            <w:tcW w:w="5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tcMar>
          </w:tcPr>
          <w:p>
            <w:pPr>
              <w:pStyle w:val="Normal"/>
              <w:widowControl/>
              <w:bidi w:val="0"/>
              <w:spacing w:lineRule="auto" w:line="240" w:before="57" w:after="57"/>
              <w:jc w:val="center"/>
              <w:rPr>
                <w:b/>
                <w:b/>
                <w:bCs/>
                <w:sz w:val="24"/>
                <w:szCs w:val="24"/>
                <w:lang w:val="en-US"/>
              </w:rPr>
            </w:pPr>
            <w:r>
              <w:rPr>
                <w:rFonts w:eastAsia="Times New Roman" w:cs="Times New Roman" w:ascii="Times New Roman" w:hAnsi="Times New Roman"/>
                <w:b/>
                <w:bCs/>
                <w:sz w:val="24"/>
                <w:szCs w:val="24"/>
                <w:lang w:val="en-US" w:eastAsia="ru-RU" w:bidi="ar-SA"/>
              </w:rPr>
              <w:t>5.</w:t>
            </w:r>
            <w:r>
              <w:rPr>
                <w:rFonts w:eastAsia="Times New Roman" w:cs="Times New Roman" w:ascii="Times New Roman" w:hAnsi="Times New Roman"/>
                <w:b/>
                <w:bCs/>
                <w:sz w:val="24"/>
                <w:szCs w:val="24"/>
                <w:lang w:val="ru-RU" w:eastAsia="ru-RU" w:bidi="ar-SA"/>
              </w:rPr>
              <w:t>2.</w:t>
            </w:r>
          </w:p>
        </w:tc>
        <w:tc>
          <w:tcPr>
            <w:tcW w:w="246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ind w:left="57" w:right="57" w:hanging="0"/>
              <w:jc w:val="center"/>
              <w:rPr>
                <w:bCs/>
                <w:i/>
                <w:i/>
                <w:sz w:val="24"/>
                <w:szCs w:val="24"/>
              </w:rPr>
            </w:pPr>
            <w:r>
              <w:rPr>
                <w:rFonts w:eastAsia="Times New Roman" w:cs="Times New Roman" w:ascii="Times New Roman" w:hAnsi="Times New Roman"/>
                <w:i/>
                <w:iCs/>
                <w:sz w:val="24"/>
                <w:szCs w:val="24"/>
                <w:lang w:val="ru-RU" w:eastAsia="ru-RU" w:bidi="ar-SA"/>
              </w:rPr>
              <w:t>Другие требования</w:t>
            </w:r>
          </w:p>
        </w:tc>
        <w:tc>
          <w:tcPr>
            <w:tcW w:w="9627"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1. Заказчик может дать письменное распоряжение, обязательное для Подрядчика, с указанием:</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 увеличить или сократить объем любой работы, включенной в Договор;</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 исключить любую работу;</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 изменить характер или качество, или вид любой части работы;</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 выполнить дополнительную работу любого характера, необходимую для завершения строительства объекта;</w:t>
            </w:r>
          </w:p>
          <w:p>
            <w:pPr>
              <w:pStyle w:val="Standard"/>
              <w:widowControl/>
              <w:shd w:val="clear" w:color="auto" w:fill="FFFFFF"/>
              <w:bidi w:val="0"/>
              <w:spacing w:lineRule="auto" w:line="240" w:before="57" w:after="57"/>
              <w:ind w:left="57" w:right="57" w:firstLine="283"/>
              <w:jc w:val="both"/>
              <w:rPr>
                <w:rFonts w:ascii="Times New Roman" w:hAnsi="Times New Roman"/>
              </w:rPr>
            </w:pPr>
            <w:r>
              <w:rPr>
                <w:rFonts w:ascii="Times New Roman" w:hAnsi="Times New Roman"/>
                <w:sz w:val="24"/>
                <w:szCs w:val="24"/>
                <w:lang w:val="ru-RU" w:eastAsia="ru-RU" w:bidi="ar-SA"/>
              </w:rPr>
              <w:t>2. Подрядчик обеспечивает в счет договорной цены сооружение всех временных (подъездных к участку строительства) дорог и коммуникаций, требуемых для выполнения работ и оказания услуг.</w:t>
            </w:r>
          </w:p>
          <w:p>
            <w:pPr>
              <w:pStyle w:val="ListParagraph"/>
              <w:widowControl w:val="false"/>
              <w:tabs>
                <w:tab w:val="left" w:pos="598" w:leader="none"/>
              </w:tabs>
              <w:bidi w:val="0"/>
              <w:spacing w:lineRule="auto" w:line="240" w:before="57" w:after="57"/>
              <w:ind w:left="57" w:right="57" w:firstLine="283"/>
              <w:jc w:val="both"/>
              <w:rPr>
                <w:bCs/>
                <w:i/>
                <w:i/>
                <w:sz w:val="24"/>
                <w:szCs w:val="24"/>
                <w:lang w:eastAsia="ru-RU"/>
              </w:rPr>
            </w:pPr>
            <w:r>
              <w:rPr>
                <w:bCs/>
                <w:i/>
                <w:sz w:val="24"/>
                <w:szCs w:val="24"/>
                <w:lang w:eastAsia="ru-RU" w:bidi="ar-SA"/>
              </w:rPr>
              <w:t>3. Подрядчик до начала производства работ (оказания услуг)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w:t>
            </w:r>
          </w:p>
        </w:tc>
        <w:tc>
          <w:tcPr>
            <w:tcW w:w="15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i/>
                <w:iCs/>
                <w:sz w:val="24"/>
                <w:szCs w:val="24"/>
                <w:lang w:val="ru-RU" w:eastAsia="ru-RU" w:bidi="ar-SA"/>
              </w:rPr>
              <w:t>Согласие с требованием</w:t>
            </w:r>
          </w:p>
        </w:tc>
        <w:tc>
          <w:tcPr>
            <w:tcW w:w="18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5" w:type="dxa"/>
              <w:right w:w="108" w:type="dxa"/>
            </w:tcMar>
          </w:tcPr>
          <w:p>
            <w:pPr>
              <w:pStyle w:val="Normal"/>
              <w:widowControl/>
              <w:bidi w:val="0"/>
              <w:spacing w:lineRule="auto" w:line="240" w:before="57" w:after="57"/>
              <w:jc w:val="center"/>
              <w:rPr>
                <w:rFonts w:ascii="Times New Roman" w:hAnsi="Times New Roman"/>
              </w:rPr>
            </w:pPr>
            <w:r>
              <w:rPr>
                <w:rFonts w:eastAsia="Times New Roman" w:cs="Times New Roman" w:ascii="Times New Roman" w:hAnsi="Times New Roman"/>
                <w:sz w:val="24"/>
                <w:szCs w:val="24"/>
                <w:lang w:val="ru-RU" w:eastAsia="ru-RU" w:bidi="ar-SA"/>
              </w:rPr>
              <w:t>-//-</w:t>
            </w:r>
          </w:p>
        </w:tc>
      </w:tr>
    </w:tbl>
    <w:p>
      <w:pPr>
        <w:sectPr>
          <w:footerReference w:type="default" r:id="rId3"/>
          <w:type w:val="nextPage"/>
          <w:pgSz w:orient="landscape" w:w="16838" w:h="11906"/>
          <w:pgMar w:left="426" w:right="678" w:header="0" w:top="284" w:footer="708" w:bottom="1276" w:gutter="0"/>
          <w:pgNumType w:fmt="decimal"/>
          <w:formProt w:val="false"/>
          <w:textDirection w:val="lrTb"/>
          <w:docGrid w:type="default" w:linePitch="360" w:charSpace="4294965247"/>
        </w:sectPr>
      </w:pPr>
    </w:p>
    <w:p>
      <w:pPr>
        <w:pStyle w:val="ListParagraph"/>
        <w:numPr>
          <w:ilvl w:val="0"/>
          <w:numId w:val="1"/>
        </w:numPr>
        <w:jc w:val="center"/>
        <w:rPr>
          <w:b/>
          <w:b/>
          <w:sz w:val="28"/>
          <w:szCs w:val="28"/>
        </w:rPr>
      </w:pPr>
      <w:r>
        <w:rPr>
          <w:b/>
          <w:sz w:val="28"/>
          <w:szCs w:val="28"/>
        </w:rPr>
        <w:t>Требования к документации по ценообразованию на этапе закупки</w:t>
      </w:r>
    </w:p>
    <w:p>
      <w:pPr>
        <w:pStyle w:val="ListParagraph"/>
        <w:ind w:left="1211" w:hanging="0"/>
        <w:rPr>
          <w:b/>
          <w:b/>
          <w:sz w:val="28"/>
          <w:szCs w:val="28"/>
        </w:rPr>
      </w:pPr>
      <w:bookmarkStart w:id="15" w:name="_Toc54646411"/>
      <w:bookmarkStart w:id="16" w:name="_Toc53393312"/>
      <w:bookmarkStart w:id="17" w:name="_Toc54646411"/>
      <w:bookmarkStart w:id="18" w:name="_Toc53393312"/>
      <w:bookmarkEnd w:id="17"/>
      <w:bookmarkEnd w:id="18"/>
      <w:r>
        <w:rPr>
          <w:b/>
          <w:sz w:val="28"/>
          <w:szCs w:val="28"/>
        </w:rPr>
      </w:r>
    </w:p>
    <w:p>
      <w:pPr>
        <w:pStyle w:val="ListParagraph"/>
        <w:ind w:left="0" w:firstLine="708"/>
        <w:jc w:val="both"/>
        <w:rPr>
          <w:sz w:val="24"/>
          <w:szCs w:val="24"/>
          <w:lang w:eastAsia="ru-RU"/>
        </w:rPr>
      </w:pPr>
      <w:r>
        <w:rPr>
          <w:sz w:val="24"/>
          <w:szCs w:val="24"/>
          <w:lang w:eastAsia="ru-RU"/>
        </w:rPr>
        <w:t>3.</w:t>
      </w:r>
      <w:r>
        <w:rPr>
          <w:sz w:val="24"/>
          <w:szCs w:val="24"/>
          <w:lang w:val="ru-RU" w:eastAsia="ru-RU"/>
        </w:rPr>
        <w:t>1</w:t>
      </w:r>
      <w:r>
        <w:rPr>
          <w:sz w:val="24"/>
          <w:szCs w:val="24"/>
          <w:lang w:eastAsia="ru-RU"/>
        </w:rPr>
        <w:t xml:space="preserve">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w:t>
      </w:r>
      <w:r>
        <w:rPr>
          <w:i/>
          <w:sz w:val="24"/>
          <w:szCs w:val="24"/>
          <w:lang w:eastAsia="ru-RU"/>
        </w:rPr>
        <w:t>с указанием понижающего коэффициента</w:t>
      </w:r>
      <w:r>
        <w:rPr>
          <w:sz w:val="24"/>
          <w:szCs w:val="24"/>
          <w:lang w:eastAsia="ru-RU"/>
        </w:rPr>
        <w:t>. (величину данного коэффициента рекомендуется учитывать с округлением до 7 знаков после запятой).</w:t>
      </w:r>
    </w:p>
    <w:p>
      <w:pPr>
        <w:pStyle w:val="ListParagraph"/>
        <w:ind w:left="0" w:firstLine="708"/>
        <w:jc w:val="both"/>
        <w:rPr>
          <w:sz w:val="24"/>
          <w:szCs w:val="24"/>
          <w:lang w:eastAsia="ru-RU"/>
        </w:rPr>
      </w:pPr>
      <w:r>
        <w:rPr>
          <w:sz w:val="24"/>
          <w:szCs w:val="24"/>
          <w:lang w:eastAsia="ru-RU"/>
        </w:rPr>
        <w:t>3.</w:t>
      </w:r>
      <w:r>
        <w:rPr>
          <w:sz w:val="24"/>
          <w:szCs w:val="24"/>
          <w:lang w:val="ru-RU" w:eastAsia="ru-RU"/>
        </w:rPr>
        <w:t>2</w:t>
      </w:r>
      <w:r>
        <w:rPr>
          <w:sz w:val="24"/>
          <w:szCs w:val="24"/>
          <w:lang w:eastAsia="ru-RU"/>
        </w:rPr>
        <w:t xml:space="preserve"> Дополнительные документы по ценообразованию (сметная документация) в состав заявки Участника не включаются.</w:t>
      </w:r>
    </w:p>
    <w:p>
      <w:pPr>
        <w:pStyle w:val="ListParagraph"/>
        <w:ind w:left="1211" w:hanging="0"/>
        <w:rPr>
          <w:b/>
          <w:b/>
          <w:sz w:val="28"/>
          <w:szCs w:val="28"/>
        </w:rPr>
      </w:pPr>
      <w:r>
        <w:rPr>
          <w:b/>
          <w:sz w:val="28"/>
          <w:szCs w:val="28"/>
        </w:rPr>
      </w:r>
    </w:p>
    <w:p>
      <w:pPr>
        <w:pStyle w:val="ListParagraph"/>
        <w:numPr>
          <w:ilvl w:val="0"/>
          <w:numId w:val="1"/>
        </w:numPr>
        <w:jc w:val="center"/>
        <w:rPr>
          <w:b/>
          <w:b/>
          <w:sz w:val="28"/>
          <w:szCs w:val="28"/>
          <w:lang w:val="ru-RU"/>
        </w:rPr>
      </w:pPr>
      <w:bookmarkStart w:id="19" w:name="_Toc54646412"/>
      <w:bookmarkEnd w:id="19"/>
      <w:r>
        <w:rPr>
          <w:b/>
          <w:sz w:val="28"/>
          <w:szCs w:val="28"/>
          <w:lang w:val="ru-RU"/>
        </w:rPr>
        <w:t>Требования к документации по ценообразованию на этапе заключения (исполнения) договора</w:t>
      </w:r>
    </w:p>
    <w:p>
      <w:pPr>
        <w:pStyle w:val="ListParagraph"/>
        <w:ind w:left="0" w:firstLine="709"/>
        <w:jc w:val="both"/>
        <w:rPr>
          <w:rFonts w:eastAsia="" w:eastAsiaTheme="majorEastAsia"/>
          <w:bCs/>
          <w:color w:val="000000" w:themeColor="text1"/>
          <w:sz w:val="24"/>
          <w:szCs w:val="24"/>
        </w:rPr>
      </w:pPr>
      <w:r>
        <w:rPr>
          <w:rFonts w:eastAsia="" w:eastAsiaTheme="majorEastAsia"/>
          <w:bCs/>
          <w:color w:val="000000" w:themeColor="text1"/>
          <w:sz w:val="24"/>
          <w:szCs w:val="24"/>
        </w:rPr>
        <w:t>4.1 Требования к составлению сметной документации (при заключении договора):</w:t>
      </w:r>
    </w:p>
    <w:p>
      <w:pPr>
        <w:pStyle w:val="ListParagraph"/>
        <w:ind w:left="0" w:firstLine="709"/>
        <w:jc w:val="both"/>
        <w:rPr>
          <w:rFonts w:eastAsia="" w:eastAsiaTheme="majorEastAsia"/>
          <w:bCs/>
          <w:color w:val="000000" w:themeColor="text1"/>
          <w:sz w:val="24"/>
          <w:szCs w:val="24"/>
        </w:rPr>
      </w:pPr>
      <w:r>
        <w:rPr>
          <w:rFonts w:eastAsia="" w:eastAsiaTheme="majorEastAsia"/>
          <w:bCs/>
          <w:color w:val="000000" w:themeColor="text1"/>
          <w:sz w:val="24"/>
          <w:szCs w:val="24"/>
        </w:rPr>
        <w:t>4.1.1 Сметная документация (</w:t>
      </w:r>
      <w:r>
        <w:rPr>
          <w:i/>
          <w:sz w:val="24"/>
          <w:szCs w:val="24"/>
          <w:lang w:eastAsia="ru-RU"/>
        </w:rPr>
        <w:t>Сводный сметный расчет</w:t>
      </w:r>
      <w:r>
        <w:rPr>
          <w:rFonts w:eastAsia="" w:eastAsiaTheme="majorEastAsia"/>
          <w:bCs/>
          <w:color w:val="000000" w:themeColor="text1"/>
          <w:sz w:val="24"/>
          <w:szCs w:val="24"/>
        </w:rPr>
        <w:t>)</w:t>
      </w:r>
      <w:r>
        <w:rPr>
          <w:rFonts w:eastAsia="" w:eastAsiaTheme="majorEastAsia"/>
          <w:bCs/>
          <w:color w:val="000000" w:themeColor="text1"/>
          <w:sz w:val="24"/>
          <w:szCs w:val="24"/>
          <w:lang w:val="ru-RU"/>
        </w:rPr>
        <w:t xml:space="preserve"> (Приложение № 3)</w:t>
      </w:r>
      <w:r>
        <w:rPr>
          <w:rFonts w:eastAsia="" w:eastAsiaTheme="majorEastAsia"/>
          <w:bCs/>
          <w:color w:val="000000" w:themeColor="text1"/>
          <w:sz w:val="24"/>
          <w:szCs w:val="24"/>
        </w:rPr>
        <w:t xml:space="preserve"> разработана заказчиком в рамках определения начальной (максимальной) цены договора в соответствии с требованиями, указанными в приложении № 2 к настоящим Техническим требованиям, и включается в состав договора </w:t>
      </w:r>
      <w:r>
        <w:rPr>
          <w:rFonts w:eastAsia="" w:eastAsiaTheme="majorEastAsia"/>
          <w:bCs/>
          <w:i/>
          <w:color w:val="000000" w:themeColor="text1"/>
          <w:sz w:val="24"/>
          <w:szCs w:val="24"/>
        </w:rPr>
        <w:t>с применением понижающего коэффициента</w:t>
      </w:r>
      <w:r>
        <w:rPr>
          <w:rFonts w:eastAsia="" w:eastAsiaTheme="majorEastAsia"/>
          <w:bCs/>
          <w:color w:val="000000" w:themeColor="text1"/>
          <w:sz w:val="24"/>
          <w:szCs w:val="24"/>
        </w:rPr>
        <w:t xml:space="preserve">, указанного в заявке Участника, с которым принято решение заключить договор. </w:t>
      </w:r>
      <w:r>
        <w:rPr>
          <w:rFonts w:eastAsia="" w:eastAsiaTheme="majorEastAsia"/>
          <w:bCs/>
          <w:i/>
          <w:color w:val="000000" w:themeColor="text1"/>
          <w:sz w:val="24"/>
          <w:szCs w:val="24"/>
        </w:rPr>
        <w:t>Понижающий коэффициент</w:t>
      </w:r>
      <w:r>
        <w:rPr>
          <w:rFonts w:eastAsia="" w:eastAsiaTheme="majorEastAsia"/>
          <w:bCs/>
          <w:color w:val="000000" w:themeColor="text1"/>
          <w:sz w:val="24"/>
          <w:szCs w:val="24"/>
        </w:rPr>
        <w:t xml:space="preserve"> начисляется в локальных сметах единым индексом в итогах (после начисления лимитированных затрат в случае составления одной сметы).</w:t>
      </w:r>
    </w:p>
    <w:p>
      <w:pPr>
        <w:pStyle w:val="ListParagraph"/>
        <w:ind w:left="0" w:firstLine="709"/>
        <w:jc w:val="both"/>
        <w:rPr>
          <w:rFonts w:eastAsia="" w:eastAsiaTheme="majorEastAsia"/>
          <w:bCs/>
          <w:color w:val="000000" w:themeColor="text1"/>
          <w:sz w:val="24"/>
          <w:szCs w:val="24"/>
        </w:rPr>
      </w:pPr>
      <w:r>
        <w:rPr>
          <w:rFonts w:eastAsia="" w:eastAsiaTheme="majorEastAsia"/>
          <w:bCs/>
          <w:color w:val="000000" w:themeColor="text1"/>
          <w:sz w:val="24"/>
          <w:szCs w:val="24"/>
        </w:rPr>
        <w:t>4.1.2 Внесение изменений в сметную документацию заказчика, кроме применения понижающего коэффициента в соответствии с п.4.1.1, не допускается.</w:t>
      </w:r>
    </w:p>
    <w:p>
      <w:pPr>
        <w:pStyle w:val="ListParagraph"/>
        <w:ind w:left="643" w:hanging="0"/>
        <w:jc w:val="center"/>
        <w:rPr>
          <w:rFonts w:eastAsia="Calibri" w:eastAsiaTheme="minorHAnsi"/>
          <w:b/>
          <w:b/>
          <w:sz w:val="28"/>
          <w:szCs w:val="28"/>
          <w:lang w:eastAsia="en-US"/>
        </w:rPr>
      </w:pPr>
      <w:r>
        <w:rPr>
          <w:rFonts w:eastAsia="Calibri" w:eastAsiaTheme="minorHAnsi"/>
          <w:b/>
          <w:sz w:val="28"/>
          <w:szCs w:val="28"/>
          <w:lang w:eastAsia="en-US"/>
        </w:rPr>
      </w:r>
    </w:p>
    <w:p>
      <w:pPr>
        <w:pStyle w:val="ListParagraph"/>
        <w:ind w:left="643" w:hanging="0"/>
        <w:jc w:val="center"/>
        <w:rPr>
          <w:rFonts w:eastAsia="Calibri" w:eastAsiaTheme="minorHAnsi"/>
          <w:b/>
          <w:b/>
          <w:sz w:val="28"/>
          <w:szCs w:val="28"/>
          <w:lang w:val="ru-RU" w:eastAsia="en-US"/>
        </w:rPr>
      </w:pPr>
      <w:r>
        <w:rPr>
          <w:rFonts w:eastAsia="Calibri" w:eastAsiaTheme="minorHAnsi"/>
          <w:b/>
          <w:sz w:val="28"/>
          <w:szCs w:val="28"/>
          <w:lang w:val="ru-RU" w:eastAsia="en-US"/>
        </w:rPr>
        <w:t>5. Приложения</w:t>
      </w:r>
    </w:p>
    <w:p>
      <w:pPr>
        <w:pStyle w:val="ListParagraph"/>
        <w:ind w:left="643" w:hanging="0"/>
        <w:rPr>
          <w:rFonts w:eastAsia="Calibri" w:eastAsiaTheme="minorHAnsi"/>
          <w:b/>
          <w:b/>
          <w:sz w:val="24"/>
          <w:szCs w:val="24"/>
          <w:lang w:val="ru-RU" w:eastAsia="en-US"/>
        </w:rPr>
      </w:pPr>
      <w:r>
        <w:rPr>
          <w:rFonts w:eastAsia="Calibri" w:eastAsiaTheme="minorHAnsi"/>
          <w:b/>
          <w:sz w:val="24"/>
          <w:szCs w:val="24"/>
          <w:lang w:val="ru-RU" w:eastAsia="en-US"/>
        </w:rPr>
      </w:r>
    </w:p>
    <w:p>
      <w:pPr>
        <w:pStyle w:val="Normal"/>
        <w:tabs>
          <w:tab w:val="left" w:pos="567"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Приложение № 1: Технические условия с приложением актов обследования;</w:t>
      </w:r>
    </w:p>
    <w:p>
      <w:pPr>
        <w:pStyle w:val="Normal"/>
        <w:tabs>
          <w:tab w:val="left" w:pos="567"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 xml:space="preserve">Приложение № 2: Требования к оформлению и составлению документации по </w:t>
      </w:r>
    </w:p>
    <w:p>
      <w:pPr>
        <w:pStyle w:val="Normal"/>
        <w:tabs>
          <w:tab w:val="left" w:pos="567" w:leader="none"/>
        </w:tabs>
        <w:spacing w:lineRule="auto" w:line="240" w:before="0" w:after="0"/>
        <w:jc w:val="both"/>
        <w:rPr>
          <w:rFonts w:ascii="Times New Roman" w:hAnsi="Times New Roman" w:eastAsia="Times New Roman" w:cs="Times New Roman"/>
          <w:i/>
          <w:i/>
          <w:sz w:val="24"/>
          <w:szCs w:val="24"/>
          <w:lang w:eastAsia="ru-RU"/>
        </w:rPr>
      </w:pPr>
      <w:r>
        <w:rPr>
          <w:rFonts w:eastAsia="Times New Roman" w:cs="Times New Roman" w:ascii="Times New Roman" w:hAnsi="Times New Roman"/>
          <w:i/>
          <w:sz w:val="24"/>
          <w:szCs w:val="24"/>
          <w:lang w:eastAsia="ru-RU"/>
        </w:rPr>
        <w:t>ценообразованию (сметной документации);</w:t>
      </w:r>
    </w:p>
    <w:p>
      <w:pPr>
        <w:pStyle w:val="Normal"/>
        <w:tabs>
          <w:tab w:val="left" w:pos="567" w:leader="none"/>
        </w:tabs>
        <w:spacing w:lineRule="auto" w:line="240" w:before="0" w:after="0"/>
        <w:jc w:val="both"/>
        <w:rPr>
          <w:rFonts w:ascii="Times New Roman" w:hAnsi="Times New Roman" w:eastAsia="Times New Roman" w:cs="Times New Roman"/>
          <w:i/>
          <w:i/>
          <w:color w:val="111111"/>
          <w:sz w:val="24"/>
          <w:szCs w:val="24"/>
          <w:lang w:eastAsia="ru-RU"/>
        </w:rPr>
      </w:pPr>
      <w:r>
        <w:rPr>
          <w:rFonts w:eastAsia="Times New Roman" w:cs="Times New Roman" w:ascii="Times New Roman" w:hAnsi="Times New Roman"/>
          <w:i/>
          <w:color w:val="111111"/>
          <w:sz w:val="24"/>
          <w:szCs w:val="24"/>
          <w:lang w:eastAsia="ru-RU"/>
        </w:rPr>
        <w:t>Приложение № 3: Регламент</w:t>
      </w:r>
    </w:p>
    <w:p>
      <w:pPr>
        <w:pStyle w:val="Normal"/>
        <w:tabs>
          <w:tab w:val="left" w:pos="567" w:leader="none"/>
        </w:tabs>
        <w:spacing w:lineRule="auto" w:line="240" w:before="0" w:after="0"/>
        <w:jc w:val="both"/>
        <w:rPr>
          <w:color w:val="111111"/>
        </w:rPr>
      </w:pPr>
      <w:r>
        <w:rPr>
          <w:rFonts w:eastAsia="Times New Roman" w:cs="Times New Roman" w:ascii="Times New Roman" w:hAnsi="Times New Roman"/>
          <w:i/>
          <w:sz w:val="24"/>
          <w:szCs w:val="24"/>
          <w:lang w:eastAsia="ru-RU"/>
        </w:rPr>
        <w:t>Приложение № 4: Сводный сметный расчет</w:t>
      </w:r>
      <w:r>
        <w:rPr>
          <w:rFonts w:eastAsia="Times New Roman" w:cs="Times New Roman" w:ascii="Times New Roman" w:hAnsi="Times New Roman"/>
          <w:i/>
          <w:color w:val="111111"/>
          <w:sz w:val="24"/>
          <w:szCs w:val="24"/>
          <w:lang w:eastAsia="ru-RU"/>
        </w:rPr>
        <w:t>;</w:t>
      </w:r>
    </w:p>
    <w:p>
      <w:pPr>
        <w:pStyle w:val="Normal"/>
        <w:tabs>
          <w:tab w:val="left" w:pos="567" w:leader="none"/>
        </w:tabs>
        <w:spacing w:lineRule="auto" w:line="240" w:before="0" w:after="0"/>
        <w:jc w:val="both"/>
        <w:rPr>
          <w:color w:val="111111"/>
        </w:rPr>
      </w:pPr>
      <w:r>
        <w:rPr>
          <w:rFonts w:eastAsia="Times New Roman" w:cs="Times New Roman" w:ascii="Times New Roman" w:hAnsi="Times New Roman"/>
          <w:i/>
          <w:color w:val="111111"/>
          <w:sz w:val="24"/>
          <w:szCs w:val="24"/>
          <w:lang w:eastAsia="ru-RU"/>
        </w:rPr>
        <w:t>Приложение № 5: Экспликация земельных участков;</w:t>
      </w:r>
    </w:p>
    <w:p>
      <w:pPr>
        <w:pStyle w:val="Normal"/>
        <w:tabs>
          <w:tab w:val="left" w:pos="567" w:leader="none"/>
        </w:tabs>
        <w:spacing w:lineRule="auto" w:line="240" w:before="0" w:after="0"/>
        <w:jc w:val="both"/>
        <w:rPr>
          <w:rFonts w:ascii="Times New Roman" w:hAnsi="Times New Roman" w:eastAsia="Times New Roman" w:cs="Times New Roman"/>
          <w:i/>
          <w:i/>
          <w:color w:val="111111"/>
          <w:sz w:val="24"/>
          <w:szCs w:val="24"/>
          <w:lang w:eastAsia="ru-RU"/>
        </w:rPr>
      </w:pPr>
      <w:r>
        <w:rPr>
          <w:rFonts w:eastAsia="Times New Roman" w:cs="Times New Roman" w:ascii="Times New Roman" w:hAnsi="Times New Roman"/>
          <w:i/>
          <w:color w:val="111111"/>
          <w:sz w:val="24"/>
          <w:szCs w:val="24"/>
          <w:lang w:eastAsia="ru-RU"/>
        </w:rPr>
        <w:t>Приложение № 6: Ведомость рубки лесных насаждений;</w:t>
      </w:r>
    </w:p>
    <w:p>
      <w:pPr>
        <w:pStyle w:val="Normal"/>
        <w:tabs>
          <w:tab w:val="left" w:pos="567" w:leader="none"/>
        </w:tabs>
        <w:spacing w:lineRule="auto" w:line="240" w:before="0" w:after="0"/>
        <w:jc w:val="both"/>
        <w:rPr>
          <w:rFonts w:ascii="Times New Roman" w:hAnsi="Times New Roman" w:eastAsia="Times New Roman" w:cs="Times New Roman"/>
          <w:i/>
          <w:i/>
          <w:color w:val="111111"/>
          <w:sz w:val="24"/>
          <w:szCs w:val="24"/>
          <w:lang w:eastAsia="ru-RU"/>
        </w:rPr>
      </w:pPr>
      <w:r>
        <w:rPr>
          <w:rFonts w:eastAsia="Times New Roman" w:cs="Times New Roman" w:ascii="Times New Roman" w:hAnsi="Times New Roman"/>
          <w:i/>
          <w:color w:val="111111"/>
          <w:sz w:val="24"/>
          <w:szCs w:val="24"/>
          <w:lang w:eastAsia="ru-RU"/>
        </w:rPr>
        <w:t>Приложение № 7: Перечень правообладателей земельных участков, подлежащих рекультивации.</w:t>
      </w:r>
    </w:p>
    <w:p>
      <w:pPr>
        <w:pStyle w:val="Normal"/>
        <w:tabs>
          <w:tab w:val="left" w:pos="567" w:leader="none"/>
        </w:tabs>
        <w:spacing w:lineRule="auto" w:line="240" w:before="0" w:after="0"/>
        <w:jc w:val="both"/>
        <w:rPr/>
      </w:pPr>
      <w:r>
        <w:rPr/>
      </w:r>
    </w:p>
    <w:sectPr>
      <w:footerReference w:type="default" r:id="rId4"/>
      <w:type w:val="nextPage"/>
      <w:pgSz w:w="11906" w:h="16838"/>
      <w:pgMar w:left="851" w:right="850" w:header="0" w:top="568" w:footer="708" w:bottom="765"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7"/>
      <w:jc w:val="right"/>
      <w:rPr/>
    </w:pPr>
    <w:r>
      <w:rPr/>
    </w:r>
  </w:p>
  <w:p>
    <w:pPr>
      <w:pStyle w:val="Style37"/>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3"/>
      <w:numFmt w:val="decimal"/>
      <w:lvlText w:val="%1."/>
      <w:lvlJc w:val="left"/>
      <w:pPr>
        <w:ind w:left="1211" w:hanging="360"/>
      </w:pPr>
      <w:rPr>
        <w:sz w:val="28"/>
        <w:b/>
      </w:rPr>
    </w:lvl>
    <w:lvl w:ilvl="1">
      <w:start w:val="3"/>
      <w:numFmt w:val="decimal"/>
      <w:lvlText w:val="4.%2"/>
      <w:lvlJc w:val="left"/>
      <w:pPr>
        <w:ind w:left="1571" w:hanging="720"/>
      </w:pPr>
      <w:rPr>
        <w:b/>
      </w:rPr>
    </w:lvl>
    <w:lvl w:ilvl="2">
      <w:start w:val="1"/>
      <w:numFmt w:val="decimal"/>
      <w:lvlText w:val="%1.%2.%3."/>
      <w:lvlJc w:val="left"/>
      <w:pPr>
        <w:ind w:left="2422" w:hanging="720"/>
      </w:pPr>
      <w:rPr>
        <w:b/>
      </w:rPr>
    </w:lvl>
    <w:lvl w:ilvl="3">
      <w:start w:val="1"/>
      <w:numFmt w:val="decimal"/>
      <w:lvlText w:val="%1.%2.%3.%4."/>
      <w:lvlJc w:val="left"/>
      <w:pPr>
        <w:ind w:left="3633" w:hanging="1080"/>
      </w:pPr>
      <w:rPr>
        <w:b w:val="false"/>
      </w:rPr>
    </w:lvl>
    <w:lvl w:ilvl="4">
      <w:start w:val="1"/>
      <w:numFmt w:val="decimal"/>
      <w:lvlText w:val="%1.%2.%3.%4.%5."/>
      <w:lvlJc w:val="left"/>
      <w:pPr>
        <w:ind w:left="4484" w:hanging="1080"/>
      </w:pPr>
      <w:rPr>
        <w:b w:val="false"/>
      </w:rPr>
    </w:lvl>
    <w:lvl w:ilvl="5">
      <w:start w:val="1"/>
      <w:numFmt w:val="decimal"/>
      <w:lvlText w:val="%1.%2.%3.%4.%5.%6."/>
      <w:lvlJc w:val="left"/>
      <w:pPr>
        <w:ind w:left="5695" w:hanging="1440"/>
      </w:pPr>
      <w:rPr>
        <w:b w:val="false"/>
      </w:rPr>
    </w:lvl>
    <w:lvl w:ilvl="6">
      <w:start w:val="1"/>
      <w:numFmt w:val="decimal"/>
      <w:lvlText w:val="%1.%2.%3.%4.%5.%6.%7."/>
      <w:lvlJc w:val="left"/>
      <w:pPr>
        <w:ind w:left="6546" w:hanging="1440"/>
      </w:pPr>
      <w:rPr>
        <w:b w:val="false"/>
      </w:rPr>
    </w:lvl>
    <w:lvl w:ilvl="7">
      <w:start w:val="1"/>
      <w:numFmt w:val="decimal"/>
      <w:lvlText w:val="%1.%2.%3.%4.%5.%6.%7.%8."/>
      <w:lvlJc w:val="left"/>
      <w:pPr>
        <w:ind w:left="7757" w:hanging="1800"/>
      </w:pPr>
      <w:rPr>
        <w:b w:val="false"/>
      </w:rPr>
    </w:lvl>
    <w:lvl w:ilvl="8">
      <w:start w:val="1"/>
      <w:numFmt w:val="decimal"/>
      <w:lvlText w:val="%1.%2.%3.%4.%5.%6.%7.%8.%9."/>
      <w:lvlJc w:val="left"/>
      <w:pPr>
        <w:ind w:left="8608" w:hanging="1800"/>
      </w:pPr>
      <w:rPr>
        <w:b w:val="false"/>
      </w:rPr>
    </w:lvl>
  </w:abstractNum>
  <w:abstractNum w:abstractNumId="2">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
    <w:lvl w:ilvl="0">
      <w:start w:val="1"/>
      <w:numFmt w:val="bullet"/>
      <w:lvlText w:val=""/>
      <w:lvlJc w:val="left"/>
      <w:pPr>
        <w:ind w:left="1080" w:hanging="360"/>
      </w:pPr>
      <w:rPr>
        <w:rFonts w:ascii="Symbol" w:hAnsi="Symbol" w:cs="Symbol" w:hint="default"/>
        <w:sz w:val="24"/>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75"/>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b647c"/>
    <w:pPr>
      <w:widowControl/>
      <w:suppressAutoHyphens w:val="true"/>
      <w:bidi w:val="0"/>
      <w:spacing w:lineRule="auto" w:line="276" w:before="0" w:after="200"/>
      <w:jc w:val="left"/>
    </w:pPr>
    <w:rPr>
      <w:rFonts w:ascii="Calibri" w:hAnsi="Calibri" w:eastAsia="Calibri" w:cs=""/>
      <w:color w:val="00000A"/>
      <w:sz w:val="22"/>
      <w:szCs w:val="22"/>
      <w:lang w:val="ru-RU" w:eastAsia="en-US" w:bidi="ar-SA"/>
    </w:rPr>
  </w:style>
  <w:style w:type="paragraph" w:styleId="1">
    <w:name w:val="Heading 1"/>
    <w:basedOn w:val="Normal"/>
    <w:link w:val="1"/>
    <w:qFormat/>
    <w:rsid w:val="00842f5e"/>
    <w:pPr>
      <w:keepNext w:val="true"/>
      <w:spacing w:lineRule="auto" w:line="240" w:before="0" w:after="0"/>
      <w:jc w:val="center"/>
      <w:outlineLvl w:val="0"/>
    </w:pPr>
    <w:rPr>
      <w:rFonts w:ascii="Times New Roman" w:hAnsi="Times New Roman" w:eastAsia="Times New Roman" w:cs="Times New Roman"/>
      <w:b/>
      <w:sz w:val="24"/>
      <w:szCs w:val="20"/>
      <w:lang w:val="x-none" w:eastAsia="x-none"/>
    </w:rPr>
  </w:style>
  <w:style w:type="paragraph" w:styleId="4">
    <w:name w:val="Heading 4"/>
    <w:basedOn w:val="Normal"/>
    <w:link w:val="4"/>
    <w:uiPriority w:val="9"/>
    <w:semiHidden/>
    <w:unhideWhenUsed/>
    <w:qFormat/>
    <w:rsid w:val="00d36c97"/>
    <w:pPr>
      <w:keepNext w:val="true"/>
      <w:keepLines/>
      <w:spacing w:before="40" w:after="0"/>
      <w:outlineLvl w:val="3"/>
    </w:pPr>
    <w:rPr>
      <w:rFonts w:ascii="Cambria" w:hAnsi="Cambria" w:eastAsia="" w:cs="" w:asciiTheme="majorHAnsi" w:cstheme="majorBidi" w:eastAsiaTheme="majorEastAsia" w:hAnsiTheme="majorHAnsi"/>
      <w:i/>
      <w:iCs/>
      <w:color w:val="365F91" w:themeColor="accent1" w:themeShade="bf"/>
    </w:rPr>
  </w:style>
  <w:style w:type="character" w:styleId="DefaultParagraphFont" w:default="1">
    <w:name w:val="Default Paragraph Font"/>
    <w:uiPriority w:val="1"/>
    <w:semiHidden/>
    <w:unhideWhenUsed/>
    <w:qFormat/>
    <w:rPr/>
  </w:style>
  <w:style w:type="character" w:styleId="Style12" w:customStyle="1">
    <w:name w:val="Верхний колонтитул Знак"/>
    <w:basedOn w:val="DefaultParagraphFont"/>
    <w:qFormat/>
    <w:rPr/>
  </w:style>
  <w:style w:type="character" w:styleId="Style13" w:customStyle="1">
    <w:name w:val="Нижний колонтитул Знак"/>
    <w:basedOn w:val="DefaultParagraphFont"/>
    <w:uiPriority w:val="99"/>
    <w:qFormat/>
    <w:rPr/>
  </w:style>
  <w:style w:type="character" w:styleId="Style14" w:customStyle="1">
    <w:name w:val="Основной текст Знак"/>
    <w:basedOn w:val="DefaultParagraphFont"/>
    <w:qFormat/>
    <w:rPr>
      <w:rFonts w:ascii="Times New Roman" w:hAnsi="Times New Roman" w:eastAsia="Times New Roman" w:cs="Times New Roman"/>
      <w:sz w:val="28"/>
      <w:szCs w:val="28"/>
      <w:lang w:val="x-none" w:eastAsia="x-none"/>
    </w:rPr>
  </w:style>
  <w:style w:type="character" w:styleId="Annotation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sz w:val="20"/>
      <w:szCs w:val="20"/>
    </w:rPr>
  </w:style>
  <w:style w:type="character" w:styleId="Style16" w:customStyle="1">
    <w:name w:val="Тема примечания Знак"/>
    <w:basedOn w:val="Style15"/>
    <w:uiPriority w:val="99"/>
    <w:semiHidden/>
    <w:qFormat/>
    <w:rPr>
      <w:b/>
      <w:bCs/>
      <w:sz w:val="20"/>
      <w:szCs w:val="20"/>
    </w:rPr>
  </w:style>
  <w:style w:type="character" w:styleId="Style17" w:customStyle="1">
    <w:name w:val="Текст выноски Знак"/>
    <w:basedOn w:val="DefaultParagraphFont"/>
    <w:uiPriority w:val="99"/>
    <w:semiHidden/>
    <w:qFormat/>
    <w:rPr>
      <w:rFonts w:ascii="Segoe UI" w:hAnsi="Segoe UI" w:cs="Segoe UI"/>
      <w:sz w:val="18"/>
      <w:szCs w:val="18"/>
    </w:rPr>
  </w:style>
  <w:style w:type="character" w:styleId="Style18" w:customStyle="1">
    <w:name w:val="Текст сноски Знак"/>
    <w:basedOn w:val="DefaultParagraphFont"/>
    <w:uiPriority w:val="99"/>
    <w:qFormat/>
    <w:rPr>
      <w:rFonts w:ascii="Times New Roman" w:hAnsi="Times New Roman" w:eastAsia="Times New Roman" w:cs="Times New Roman"/>
      <w:sz w:val="20"/>
      <w:szCs w:val="20"/>
      <w:lang w:eastAsia="ru-RU"/>
    </w:rPr>
  </w:style>
  <w:style w:type="character" w:styleId="Style19" w:customStyle="1">
    <w:name w:val="Абзац списка Знак"/>
    <w:uiPriority w:val="34"/>
    <w:qFormat/>
    <w:rPr>
      <w:rFonts w:ascii="Times New Roman" w:hAnsi="Times New Roman" w:eastAsia="Times New Roman" w:cs="Times New Roman"/>
      <w:sz w:val="20"/>
      <w:szCs w:val="20"/>
      <w:lang w:val="x-none" w:eastAsia="ar-SA"/>
    </w:rPr>
  </w:style>
  <w:style w:type="character" w:styleId="2" w:customStyle="1">
    <w:name w:val="Стиль2 Знак"/>
    <w:uiPriority w:val="99"/>
    <w:qFormat/>
    <w:rPr>
      <w:rFonts w:ascii="Times New Roman" w:hAnsi="Times New Roman" w:eastAsia="Times New Roman" w:cs="Times New Roman"/>
      <w:sz w:val="24"/>
      <w:szCs w:val="24"/>
      <w:lang w:val="x-none" w:eastAsia="ar-SA"/>
    </w:rPr>
  </w:style>
  <w:style w:type="character" w:styleId="Style20" w:customStyle="1">
    <w:name w:val="Текст концевой сноски Знак"/>
    <w:basedOn w:val="DefaultParagraphFont"/>
    <w:uiPriority w:val="99"/>
    <w:semiHidden/>
    <w:qFormat/>
    <w:rPr>
      <w:sz w:val="20"/>
      <w:szCs w:val="20"/>
    </w:rPr>
  </w:style>
  <w:style w:type="character" w:styleId="Style21">
    <w:name w:val="Символ концевой сноски"/>
    <w:basedOn w:val="DefaultParagraphFont"/>
    <w:uiPriority w:val="99"/>
    <w:semiHidden/>
    <w:unhideWhenUsed/>
    <w:qFormat/>
    <w:rPr>
      <w:vertAlign w:val="superscript"/>
    </w:rPr>
  </w:style>
  <w:style w:type="character" w:styleId="Style22">
    <w:name w:val="Привязка концевой сноски"/>
    <w:rPr>
      <w:vertAlign w:val="superscript"/>
    </w:rPr>
  </w:style>
  <w:style w:type="character" w:styleId="Style23">
    <w:name w:val="Символ сноски"/>
    <w:basedOn w:val="DefaultParagraphFont"/>
    <w:uiPriority w:val="99"/>
    <w:semiHidden/>
    <w:unhideWhenUsed/>
    <w:qFormat/>
    <w:rPr>
      <w:vertAlign w:val="superscript"/>
    </w:rPr>
  </w:style>
  <w:style w:type="character" w:styleId="Style24">
    <w:name w:val="Привязка сноски"/>
    <w:rPr>
      <w:vertAlign w:val="superscript"/>
    </w:rPr>
  </w:style>
  <w:style w:type="character" w:styleId="11" w:customStyle="1">
    <w:name w:val="Заголовок 1 Знак"/>
    <w:basedOn w:val="DefaultParagraphFont"/>
    <w:uiPriority w:val="9"/>
    <w:qFormat/>
    <w:rsid w:val="00842f5e"/>
    <w:rPr>
      <w:rFonts w:ascii="Times New Roman" w:hAnsi="Times New Roman" w:eastAsia="Times New Roman" w:cs="Times New Roman"/>
      <w:b/>
      <w:sz w:val="24"/>
      <w:szCs w:val="20"/>
      <w:lang w:val="x-none" w:eastAsia="x-none"/>
    </w:rPr>
  </w:style>
  <w:style w:type="character" w:styleId="3" w:customStyle="1">
    <w:name w:val="Основной текст с отступом 3 Знак"/>
    <w:basedOn w:val="DefaultParagraphFont"/>
    <w:qFormat/>
    <w:rsid w:val="00a61b8e"/>
    <w:rPr>
      <w:rFonts w:ascii="Times New Roman" w:hAnsi="Times New Roman" w:eastAsia="Times New Roman" w:cs="Times New Roman"/>
      <w:sz w:val="16"/>
      <w:szCs w:val="16"/>
      <w:lang w:eastAsia="ru-RU"/>
    </w:rPr>
  </w:style>
  <w:style w:type="character" w:styleId="Strong">
    <w:name w:val="Strong"/>
    <w:qFormat/>
    <w:rsid w:val="00a61b8e"/>
    <w:rPr>
      <w:b/>
      <w:bCs/>
    </w:rPr>
  </w:style>
  <w:style w:type="character" w:styleId="41" w:customStyle="1">
    <w:name w:val="Заголовок 4 Знак"/>
    <w:basedOn w:val="DefaultParagraphFont"/>
    <w:uiPriority w:val="9"/>
    <w:semiHidden/>
    <w:qFormat/>
    <w:rsid w:val="00d36c97"/>
    <w:rPr>
      <w:rFonts w:ascii="Cambria" w:hAnsi="Cambria" w:eastAsia="" w:cs="" w:asciiTheme="majorHAnsi" w:cstheme="majorBidi" w:eastAsiaTheme="majorEastAsia" w:hAnsiTheme="majorHAnsi"/>
      <w:i/>
      <w:iCs/>
      <w:color w:val="365F91" w:themeColor="accent1" w:themeShade="bf"/>
    </w:rPr>
  </w:style>
  <w:style w:type="character" w:styleId="Style25" w:customStyle="1">
    <w:name w:val="Интернет-ссылка"/>
    <w:uiPriority w:val="99"/>
    <w:rsid w:val="00bc703b"/>
    <w:rPr>
      <w:color w:val="0000FF"/>
      <w:u w:val="single"/>
    </w:rPr>
  </w:style>
  <w:style w:type="character" w:styleId="FollowedHyperlink" w:customStyle="1">
    <w:name w:val="FollowedHyperlink"/>
    <w:basedOn w:val="DefaultParagraphFont"/>
    <w:qFormat/>
    <w:rPr>
      <w:color w:val="800080"/>
      <w:u w:val="single"/>
    </w:rPr>
  </w:style>
  <w:style w:type="character" w:styleId="Style26" w:customStyle="1">
    <w:name w:val="комментарий"/>
    <w:qFormat/>
    <w:rsid w:val="00206d6d"/>
    <w:rPr>
      <w:i/>
      <w:shd w:fill="FFFF99" w:val="clear"/>
    </w:rPr>
  </w:style>
  <w:style w:type="character" w:styleId="Style27" w:customStyle="1">
    <w:name w:val="Заголовок для сожерж Знак"/>
    <w:qFormat/>
    <w:rsid w:val="00c619d9"/>
    <w:rPr>
      <w:rFonts w:ascii="Times New Roman" w:hAnsi="Times New Roman" w:eastAsia="Times New Roman" w:cs="Times New Roman"/>
      <w:sz w:val="24"/>
      <w:szCs w:val="24"/>
      <w:lang w:eastAsia="ru-RU"/>
    </w:rPr>
  </w:style>
  <w:style w:type="character" w:styleId="Style28" w:customStyle="1">
    <w:name w:val="Ссылка указателя"/>
    <w:qFormat/>
    <w:rPr/>
  </w:style>
  <w:style w:type="character" w:styleId="ListLabel1">
    <w:name w:val="ListLabel 1"/>
    <w:qFormat/>
    <w:rPr>
      <w:b/>
      <w:sz w:val="28"/>
    </w:rPr>
  </w:style>
  <w:style w:type="character" w:styleId="ListLabel2">
    <w:name w:val="ListLabel 2"/>
    <w:qFormat/>
    <w:rPr>
      <w:b/>
    </w:rPr>
  </w:style>
  <w:style w:type="character" w:styleId="ListLabel3">
    <w:name w:val="ListLabel 3"/>
    <w:qFormat/>
    <w:rPr>
      <w:b/>
    </w:rPr>
  </w:style>
  <w:style w:type="character" w:styleId="ListLabel4">
    <w:name w:val="ListLabel 4"/>
    <w:qFormat/>
    <w:rPr>
      <w:b w:val="false"/>
    </w:rPr>
  </w:style>
  <w:style w:type="character" w:styleId="ListLabel5">
    <w:name w:val="ListLabel 5"/>
    <w:qFormat/>
    <w:rPr>
      <w:b w:val="false"/>
    </w:rPr>
  </w:style>
  <w:style w:type="character" w:styleId="ListLabel6">
    <w:name w:val="ListLabel 6"/>
    <w:qFormat/>
    <w:rPr>
      <w:b w:val="false"/>
    </w:rPr>
  </w:style>
  <w:style w:type="character" w:styleId="ListLabel7">
    <w:name w:val="ListLabel 7"/>
    <w:qFormat/>
    <w:rPr>
      <w:b w:val="false"/>
    </w:rPr>
  </w:style>
  <w:style w:type="character" w:styleId="ListLabel8">
    <w:name w:val="ListLabel 8"/>
    <w:qFormat/>
    <w:rPr>
      <w:b w:val="false"/>
    </w:rPr>
  </w:style>
  <w:style w:type="character" w:styleId="ListLabel9">
    <w:name w:val="ListLabel 9"/>
    <w:qFormat/>
    <w:rPr>
      <w:b w:val="false"/>
    </w:rPr>
  </w:style>
  <w:style w:type="character" w:styleId="ListLabel10">
    <w:name w:val="ListLabel 10"/>
    <w:qFormat/>
    <w:rPr>
      <w:rFonts w:ascii="Times New Roman" w:hAnsi="Times New Roman" w:cs="Symbol"/>
      <w:sz w:val="24"/>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sz w:val="24"/>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b/>
      <w:sz w:val="28"/>
    </w:rPr>
  </w:style>
  <w:style w:type="character" w:styleId="ListLabel29">
    <w:name w:val="ListLabel 29"/>
    <w:qFormat/>
    <w:rPr>
      <w:b/>
    </w:rPr>
  </w:style>
  <w:style w:type="character" w:styleId="ListLabel30">
    <w:name w:val="ListLabel 30"/>
    <w:qFormat/>
    <w:rPr>
      <w:b/>
    </w:rPr>
  </w:style>
  <w:style w:type="character" w:styleId="ListLabel31">
    <w:name w:val="ListLabel 31"/>
    <w:qFormat/>
    <w:rPr>
      <w:b w:val="false"/>
    </w:rPr>
  </w:style>
  <w:style w:type="character" w:styleId="ListLabel32">
    <w:name w:val="ListLabel 32"/>
    <w:qFormat/>
    <w:rPr>
      <w:b w:val="false"/>
    </w:rPr>
  </w:style>
  <w:style w:type="character" w:styleId="ListLabel33">
    <w:name w:val="ListLabel 33"/>
    <w:qFormat/>
    <w:rPr>
      <w:b w:val="false"/>
    </w:rPr>
  </w:style>
  <w:style w:type="character" w:styleId="ListLabel34">
    <w:name w:val="ListLabel 34"/>
    <w:qFormat/>
    <w:rPr>
      <w:b w:val="false"/>
    </w:rPr>
  </w:style>
  <w:style w:type="character" w:styleId="ListLabel35">
    <w:name w:val="ListLabel 35"/>
    <w:qFormat/>
    <w:rPr>
      <w:b w:val="false"/>
    </w:rPr>
  </w:style>
  <w:style w:type="character" w:styleId="ListLabel36">
    <w:name w:val="ListLabel 36"/>
    <w:qFormat/>
    <w:rPr>
      <w:b w:val="false"/>
    </w:rPr>
  </w:style>
  <w:style w:type="character" w:styleId="ListLabel37">
    <w:name w:val="ListLabel 37"/>
    <w:qFormat/>
    <w:rPr>
      <w:rFonts w:ascii="Times New Roman" w:hAnsi="Times New Roman" w:cs="Symbol"/>
      <w:sz w:val="24"/>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sz w:val="24"/>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b/>
      <w:sz w:val="28"/>
    </w:rPr>
  </w:style>
  <w:style w:type="character" w:styleId="ListLabel56">
    <w:name w:val="ListLabel 56"/>
    <w:qFormat/>
    <w:rPr>
      <w:b/>
    </w:rPr>
  </w:style>
  <w:style w:type="character" w:styleId="ListLabel57">
    <w:name w:val="ListLabel 57"/>
    <w:qFormat/>
    <w:rPr>
      <w:b/>
    </w:rPr>
  </w:style>
  <w:style w:type="character" w:styleId="ListLabel58">
    <w:name w:val="ListLabel 58"/>
    <w:qFormat/>
    <w:rPr>
      <w:b w:val="false"/>
    </w:rPr>
  </w:style>
  <w:style w:type="character" w:styleId="ListLabel59">
    <w:name w:val="ListLabel 59"/>
    <w:qFormat/>
    <w:rPr>
      <w:b w:val="false"/>
    </w:rPr>
  </w:style>
  <w:style w:type="character" w:styleId="ListLabel60">
    <w:name w:val="ListLabel 60"/>
    <w:qFormat/>
    <w:rPr>
      <w:b w:val="false"/>
    </w:rPr>
  </w:style>
  <w:style w:type="character" w:styleId="ListLabel61">
    <w:name w:val="ListLabel 61"/>
    <w:qFormat/>
    <w:rPr>
      <w:b w:val="false"/>
    </w:rPr>
  </w:style>
  <w:style w:type="character" w:styleId="ListLabel62">
    <w:name w:val="ListLabel 62"/>
    <w:qFormat/>
    <w:rPr>
      <w:b w:val="false"/>
    </w:rPr>
  </w:style>
  <w:style w:type="character" w:styleId="ListLabel63">
    <w:name w:val="ListLabel 63"/>
    <w:qFormat/>
    <w:rPr>
      <w:b w:val="false"/>
    </w:rPr>
  </w:style>
  <w:style w:type="character" w:styleId="ListLabel64">
    <w:name w:val="ListLabel 64"/>
    <w:qFormat/>
    <w:rPr>
      <w:rFonts w:ascii="Times New Roman" w:hAnsi="Times New Roman" w:cs="Symbol"/>
      <w:sz w:val="24"/>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sz w:val="24"/>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b/>
      <w:sz w:val="28"/>
    </w:rPr>
  </w:style>
  <w:style w:type="character" w:styleId="ListLabel83">
    <w:name w:val="ListLabel 83"/>
    <w:qFormat/>
    <w:rPr>
      <w:b/>
    </w:rPr>
  </w:style>
  <w:style w:type="character" w:styleId="ListLabel84">
    <w:name w:val="ListLabel 84"/>
    <w:qFormat/>
    <w:rPr>
      <w:b/>
    </w:rPr>
  </w:style>
  <w:style w:type="character" w:styleId="ListLabel85">
    <w:name w:val="ListLabel 85"/>
    <w:qFormat/>
    <w:rPr>
      <w:b w:val="false"/>
    </w:rPr>
  </w:style>
  <w:style w:type="character" w:styleId="ListLabel86">
    <w:name w:val="ListLabel 86"/>
    <w:qFormat/>
    <w:rPr>
      <w:b w:val="false"/>
    </w:rPr>
  </w:style>
  <w:style w:type="character" w:styleId="ListLabel87">
    <w:name w:val="ListLabel 87"/>
    <w:qFormat/>
    <w:rPr>
      <w:b w:val="false"/>
    </w:rPr>
  </w:style>
  <w:style w:type="character" w:styleId="ListLabel88">
    <w:name w:val="ListLabel 88"/>
    <w:qFormat/>
    <w:rPr>
      <w:b w:val="false"/>
    </w:rPr>
  </w:style>
  <w:style w:type="character" w:styleId="ListLabel89">
    <w:name w:val="ListLabel 89"/>
    <w:qFormat/>
    <w:rPr>
      <w:b w:val="false"/>
    </w:rPr>
  </w:style>
  <w:style w:type="character" w:styleId="ListLabel90">
    <w:name w:val="ListLabel 90"/>
    <w:qFormat/>
    <w:rPr>
      <w:b w:val="false"/>
    </w:rPr>
  </w:style>
  <w:style w:type="character" w:styleId="ListLabel91">
    <w:name w:val="ListLabel 91"/>
    <w:qFormat/>
    <w:rPr>
      <w:rFonts w:ascii="Times New Roman" w:hAnsi="Times New Roman" w:cs="Symbol"/>
      <w:sz w:val="24"/>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sz w:val="24"/>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b/>
      <w:sz w:val="28"/>
    </w:rPr>
  </w:style>
  <w:style w:type="character" w:styleId="ListLabel110">
    <w:name w:val="ListLabel 110"/>
    <w:qFormat/>
    <w:rPr>
      <w:b/>
    </w:rPr>
  </w:style>
  <w:style w:type="character" w:styleId="ListLabel111">
    <w:name w:val="ListLabel 111"/>
    <w:qFormat/>
    <w:rPr>
      <w:b/>
    </w:rPr>
  </w:style>
  <w:style w:type="character" w:styleId="ListLabel112">
    <w:name w:val="ListLabel 112"/>
    <w:qFormat/>
    <w:rPr>
      <w:b w:val="false"/>
    </w:rPr>
  </w:style>
  <w:style w:type="character" w:styleId="ListLabel113">
    <w:name w:val="ListLabel 113"/>
    <w:qFormat/>
    <w:rPr>
      <w:b w:val="false"/>
    </w:rPr>
  </w:style>
  <w:style w:type="character" w:styleId="ListLabel114">
    <w:name w:val="ListLabel 114"/>
    <w:qFormat/>
    <w:rPr>
      <w:b w:val="false"/>
    </w:rPr>
  </w:style>
  <w:style w:type="character" w:styleId="ListLabel115">
    <w:name w:val="ListLabel 115"/>
    <w:qFormat/>
    <w:rPr>
      <w:b w:val="false"/>
    </w:rPr>
  </w:style>
  <w:style w:type="character" w:styleId="ListLabel116">
    <w:name w:val="ListLabel 116"/>
    <w:qFormat/>
    <w:rPr>
      <w:b w:val="false"/>
    </w:rPr>
  </w:style>
  <w:style w:type="character" w:styleId="ListLabel117">
    <w:name w:val="ListLabel 117"/>
    <w:qFormat/>
    <w:rPr>
      <w:b w:val="false"/>
    </w:rPr>
  </w:style>
  <w:style w:type="character" w:styleId="ListLabel118">
    <w:name w:val="ListLabel 118"/>
    <w:qFormat/>
    <w:rPr>
      <w:rFonts w:ascii="Times New Roman" w:hAnsi="Times New Roman"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sz w:val="24"/>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b/>
      <w:sz w:val="28"/>
    </w:rPr>
  </w:style>
  <w:style w:type="character" w:styleId="ListLabel137">
    <w:name w:val="ListLabel 137"/>
    <w:qFormat/>
    <w:rPr>
      <w:b/>
    </w:rPr>
  </w:style>
  <w:style w:type="character" w:styleId="ListLabel138">
    <w:name w:val="ListLabel 138"/>
    <w:qFormat/>
    <w:rPr>
      <w:b/>
    </w:rPr>
  </w:style>
  <w:style w:type="character" w:styleId="ListLabel139">
    <w:name w:val="ListLabel 139"/>
    <w:qFormat/>
    <w:rPr>
      <w:b w:val="false"/>
    </w:rPr>
  </w:style>
  <w:style w:type="character" w:styleId="ListLabel140">
    <w:name w:val="ListLabel 140"/>
    <w:qFormat/>
    <w:rPr>
      <w:b w:val="false"/>
    </w:rPr>
  </w:style>
  <w:style w:type="character" w:styleId="ListLabel141">
    <w:name w:val="ListLabel 141"/>
    <w:qFormat/>
    <w:rPr>
      <w:b w:val="false"/>
    </w:rPr>
  </w:style>
  <w:style w:type="character" w:styleId="ListLabel142">
    <w:name w:val="ListLabel 142"/>
    <w:qFormat/>
    <w:rPr>
      <w:b w:val="false"/>
    </w:rPr>
  </w:style>
  <w:style w:type="character" w:styleId="ListLabel143">
    <w:name w:val="ListLabel 143"/>
    <w:qFormat/>
    <w:rPr>
      <w:b w:val="false"/>
    </w:rPr>
  </w:style>
  <w:style w:type="character" w:styleId="ListLabel144">
    <w:name w:val="ListLabel 144"/>
    <w:qFormat/>
    <w:rPr>
      <w:b w:val="false"/>
    </w:rPr>
  </w:style>
  <w:style w:type="character" w:styleId="ListLabel145">
    <w:name w:val="ListLabel 145"/>
    <w:qFormat/>
    <w:rPr>
      <w:rFonts w:ascii="Times New Roman" w:hAnsi="Times New Roman" w:cs="Symbol"/>
      <w:sz w:val="24"/>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paragraph" w:styleId="Style29">
    <w:name w:val="Заголовок"/>
    <w:basedOn w:val="Normal"/>
    <w:next w:val="Style30"/>
    <w:qFormat/>
    <w:pPr>
      <w:keepNext w:val="true"/>
      <w:spacing w:before="240" w:after="120"/>
    </w:pPr>
    <w:rPr>
      <w:rFonts w:ascii="Liberation Sans" w:hAnsi="Liberation Sans" w:eastAsia="Microsoft YaHei" w:cs="Arial"/>
      <w:sz w:val="28"/>
      <w:szCs w:val="28"/>
    </w:rPr>
  </w:style>
  <w:style w:type="paragraph" w:styleId="Style30">
    <w:name w:val="Body Text"/>
    <w:basedOn w:val="Normal"/>
    <w:pPr>
      <w:spacing w:lineRule="auto" w:line="240" w:before="0" w:after="120"/>
    </w:pPr>
    <w:rPr>
      <w:rFonts w:ascii="Times New Roman" w:hAnsi="Times New Roman" w:eastAsia="Times New Roman" w:cs="Times New Roman"/>
      <w:sz w:val="28"/>
      <w:szCs w:val="28"/>
      <w:lang w:val="x-none" w:eastAsia="x-none"/>
    </w:rPr>
  </w:style>
  <w:style w:type="paragraph" w:styleId="Style31">
    <w:name w:val="List"/>
    <w:basedOn w:val="Style30"/>
    <w:pPr/>
    <w:rPr>
      <w:rFonts w:cs="Lohit Devanagari"/>
    </w:rPr>
  </w:style>
  <w:style w:type="paragraph" w:styleId="Style32">
    <w:name w:val="Caption"/>
    <w:basedOn w:val="Normal"/>
    <w:qFormat/>
    <w:pPr>
      <w:suppressLineNumbers/>
      <w:spacing w:before="120" w:after="120"/>
    </w:pPr>
    <w:rPr>
      <w:rFonts w:cs="Arial"/>
      <w:i/>
      <w:iCs/>
      <w:sz w:val="24"/>
      <w:szCs w:val="24"/>
    </w:rPr>
  </w:style>
  <w:style w:type="paragraph" w:styleId="Style33">
    <w:name w:val="Указатель"/>
    <w:basedOn w:val="Normal"/>
    <w:qFormat/>
    <w:pPr>
      <w:suppressLineNumbers/>
    </w:pPr>
    <w:rPr>
      <w:rFonts w:cs="Arial"/>
    </w:rPr>
  </w:style>
  <w:style w:type="paragraph" w:styleId="Style34">
    <w:name w:val="Title"/>
    <w:basedOn w:val="Normal"/>
    <w:qFormat/>
    <w:pPr>
      <w:keepNext w:val="true"/>
      <w:spacing w:before="240" w:after="120"/>
    </w:pPr>
    <w:rPr>
      <w:rFonts w:ascii="Liberation Sans" w:hAnsi="Liberation Sans" w:eastAsia="Tahoma" w:cs="Lohit Devanagari"/>
      <w:sz w:val="28"/>
      <w:szCs w:val="28"/>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
    <w:name w:val="index heading"/>
    <w:basedOn w:val="Normal"/>
    <w:qFormat/>
    <w:pPr>
      <w:suppressLineNumbers/>
    </w:pPr>
    <w:rPr>
      <w:rFonts w:cs="Lohit Devanagari"/>
    </w:rPr>
  </w:style>
  <w:style w:type="paragraph" w:styleId="Style35">
    <w:name w:val="Колонтитул"/>
    <w:basedOn w:val="Normal"/>
    <w:qFormat/>
    <w:pPr/>
    <w:rPr/>
  </w:style>
  <w:style w:type="paragraph" w:styleId="Style36">
    <w:name w:val="Header"/>
    <w:basedOn w:val="Normal"/>
    <w:unhideWhenUsed/>
    <w:pPr>
      <w:tabs>
        <w:tab w:val="center" w:pos="4677" w:leader="none"/>
        <w:tab w:val="right" w:pos="9355" w:leader="none"/>
      </w:tabs>
      <w:spacing w:lineRule="auto" w:line="240" w:before="0" w:after="0"/>
    </w:pPr>
    <w:rPr/>
  </w:style>
  <w:style w:type="paragraph" w:styleId="Style37">
    <w:name w:val="Footer"/>
    <w:basedOn w:val="Normal"/>
    <w:uiPriority w:val="99"/>
    <w:unhideWhenUsed/>
    <w:pPr>
      <w:tabs>
        <w:tab w:val="center" w:pos="4677" w:leader="none"/>
        <w:tab w:val="right" w:pos="9355" w:leader="none"/>
      </w:tabs>
      <w:spacing w:lineRule="auto" w:line="240" w:before="0" w:after="0"/>
    </w:pPr>
    <w:rPr/>
  </w:style>
  <w:style w:type="paragraph" w:styleId="Annotationtext">
    <w:name w:val="annotation text"/>
    <w:basedOn w:val="Normal"/>
    <w:uiPriority w:val="99"/>
    <w:unhideWhenUsed/>
    <w:qFormat/>
    <w:pPr>
      <w:spacing w:lineRule="auto" w:line="240"/>
    </w:pPr>
    <w:rPr>
      <w:sz w:val="20"/>
      <w:szCs w:val="20"/>
    </w:rPr>
  </w:style>
  <w:style w:type="paragraph" w:styleId="Annotationsubject">
    <w:name w:val="annotation subject"/>
    <w:basedOn w:val="Annotationtext"/>
    <w:uiPriority w:val="99"/>
    <w:semiHidden/>
    <w:unhideWhenUsed/>
    <w:qFormat/>
    <w:pPr/>
    <w:rPr>
      <w:b/>
      <w:bCs/>
    </w:rPr>
  </w:style>
  <w:style w:type="paragraph" w:styleId="BalloonText">
    <w:name w:val="Balloon Text"/>
    <w:basedOn w:val="Normal"/>
    <w:uiPriority w:val="99"/>
    <w:semiHidden/>
    <w:unhideWhenUsed/>
    <w:qFormat/>
    <w:pPr>
      <w:spacing w:lineRule="auto" w:line="240" w:before="0" w:after="0"/>
    </w:pPr>
    <w:rPr>
      <w:rFonts w:ascii="Segoe UI" w:hAnsi="Segoe UI" w:cs="Segoe UI"/>
      <w:sz w:val="18"/>
      <w:szCs w:val="18"/>
    </w:rPr>
  </w:style>
  <w:style w:type="paragraph" w:styleId="Style38">
    <w:name w:val="Footnote Text"/>
    <w:basedOn w:val="Normal"/>
    <w:uiPriority w:val="99"/>
    <w:qFormat/>
    <w:pPr>
      <w:spacing w:lineRule="auto" w:line="240" w:before="0" w:after="0"/>
    </w:pPr>
    <w:rPr>
      <w:rFonts w:ascii="Times New Roman" w:hAnsi="Times New Roman" w:eastAsia="Times New Roman" w:cs="Times New Roman"/>
      <w:sz w:val="20"/>
      <w:szCs w:val="20"/>
      <w:lang w:eastAsia="ru-RU"/>
    </w:rPr>
  </w:style>
  <w:style w:type="paragraph" w:styleId="21" w:customStyle="1">
    <w:name w:val="Стиль2"/>
    <w:basedOn w:val="Normal"/>
    <w:uiPriority w:val="99"/>
    <w:qFormat/>
    <w:pPr>
      <w:tabs>
        <w:tab w:val="left" w:pos="360" w:leader="none"/>
        <w:tab w:val="left" w:pos="900" w:leader="none"/>
      </w:tabs>
      <w:suppressAutoHyphens w:val="true"/>
      <w:spacing w:lineRule="auto" w:line="240" w:before="0" w:after="0"/>
      <w:jc w:val="both"/>
    </w:pPr>
    <w:rPr>
      <w:rFonts w:ascii="Times New Roman" w:hAnsi="Times New Roman" w:eastAsia="Times New Roman" w:cs="Times New Roman"/>
      <w:sz w:val="24"/>
      <w:szCs w:val="24"/>
      <w:lang w:val="x-none" w:eastAsia="ar-SA"/>
    </w:rPr>
  </w:style>
  <w:style w:type="paragraph" w:styleId="ListParagraph">
    <w:name w:val="List Paragraph"/>
    <w:basedOn w:val="Normal"/>
    <w:qFormat/>
    <w:pPr>
      <w:widowControl w:val="false"/>
      <w:suppressAutoHyphens w:val="true"/>
      <w:spacing w:lineRule="auto" w:line="240" w:before="0" w:after="0"/>
      <w:ind w:left="720" w:hanging="0"/>
    </w:pPr>
    <w:rPr>
      <w:rFonts w:ascii="Times New Roman" w:hAnsi="Times New Roman" w:eastAsia="Times New Roman" w:cs="Times New Roman"/>
      <w:sz w:val="20"/>
      <w:szCs w:val="20"/>
      <w:lang w:val="x-none" w:eastAsia="ar-SA"/>
    </w:rPr>
  </w:style>
  <w:style w:type="paragraph" w:styleId="EndnoteSymbol" w:customStyle="1">
    <w:name w:val="Endnote Symbol"/>
    <w:qFormat/>
    <w:rsid w:val="00904388"/>
    <w:pPr>
      <w:widowControl w:val="false"/>
      <w:bidi w:val="0"/>
      <w:jc w:val="left"/>
    </w:pPr>
    <w:rPr>
      <w:rFonts w:ascii="Calibri" w:hAnsi="Calibri" w:eastAsia="Calibri" w:cs="" w:asciiTheme="minorHAnsi" w:cstheme="minorBidi" w:eastAsiaTheme="minorHAnsi" w:hAnsiTheme="minorHAnsi"/>
      <w:color w:val="00000A"/>
      <w:sz w:val="20"/>
      <w:szCs w:val="20"/>
      <w:lang w:val="ru-RU" w:eastAsia="en-US" w:bidi="ar-SA"/>
    </w:rPr>
  </w:style>
  <w:style w:type="paragraph" w:styleId="Revision">
    <w:name w:val="Revision"/>
    <w:uiPriority w:val="99"/>
    <w:semiHidden/>
    <w:qFormat/>
    <w:pPr>
      <w:widowControl/>
      <w:bidi w:val="0"/>
      <w:spacing w:before="0" w:after="0"/>
      <w:jc w:val="left"/>
    </w:pPr>
    <w:rPr>
      <w:rFonts w:ascii="Calibri" w:hAnsi="Calibri" w:eastAsia="Calibri" w:cs=""/>
      <w:color w:val="00000A"/>
      <w:sz w:val="22"/>
      <w:szCs w:val="22"/>
      <w:lang w:val="ru-RU" w:eastAsia="en-US" w:bidi="ar-SA"/>
    </w:rPr>
  </w:style>
  <w:style w:type="paragraph" w:styleId="Style39" w:customStyle="1">
    <w:name w:val="Таблица"/>
    <w:basedOn w:val="Normal"/>
    <w:qFormat/>
    <w:rsid w:val="00bd11ad"/>
    <w:pPr>
      <w:spacing w:lineRule="auto" w:line="240" w:before="0" w:after="0"/>
    </w:pPr>
    <w:rPr>
      <w:rFonts w:ascii="Times New Roman" w:hAnsi="Times New Roman" w:eastAsia="Times New Roman" w:cs="Times New Roman"/>
      <w:sz w:val="20"/>
      <w:szCs w:val="20"/>
      <w:lang w:eastAsia="ru-RU"/>
    </w:rPr>
  </w:style>
  <w:style w:type="paragraph" w:styleId="Formattext" w:customStyle="1">
    <w:name w:val="formattext"/>
    <w:basedOn w:val="Normal"/>
    <w:qFormat/>
    <w:rsid w:val="009c08f7"/>
    <w:pPr>
      <w:spacing w:lineRule="auto" w:line="240" w:beforeAutospacing="1" w:afterAutospacing="1"/>
    </w:pPr>
    <w:rPr>
      <w:rFonts w:ascii="Times New Roman" w:hAnsi="Times New Roman" w:eastAsia="Times New Roman" w:cs="Times New Roman"/>
      <w:sz w:val="24"/>
      <w:szCs w:val="24"/>
      <w:lang w:eastAsia="ru-RU"/>
    </w:rPr>
  </w:style>
  <w:style w:type="paragraph" w:styleId="Style40" w:customStyle="1">
    <w:name w:val="Таблица шапка"/>
    <w:basedOn w:val="Normal"/>
    <w:qFormat/>
    <w:rsid w:val="009874ed"/>
    <w:pPr>
      <w:keepNext w:val="true"/>
      <w:spacing w:lineRule="auto" w:line="240" w:before="40" w:after="40"/>
      <w:ind w:left="57" w:right="57" w:hanging="0"/>
    </w:pPr>
    <w:rPr>
      <w:rFonts w:ascii="Times New Roman" w:hAnsi="Times New Roman" w:eastAsia="Times New Roman" w:cs="Times New Roman"/>
      <w:szCs w:val="26"/>
      <w:lang w:eastAsia="ru-RU"/>
    </w:rPr>
  </w:style>
  <w:style w:type="paragraph" w:styleId="Style41" w:customStyle="1">
    <w:name w:val="Раздел положения"/>
    <w:basedOn w:val="Normal"/>
    <w:autoRedefine/>
    <w:qFormat/>
    <w:rsid w:val="00a61b8e"/>
    <w:pPr>
      <w:spacing w:lineRule="auto" w:line="240" w:before="80" w:after="80"/>
      <w:jc w:val="center"/>
    </w:pPr>
    <w:rPr>
      <w:rFonts w:ascii="Times New Roman" w:hAnsi="Times New Roman" w:eastAsia="Times New Roman" w:cs="Times New Roman"/>
      <w:b/>
      <w:sz w:val="32"/>
      <w:szCs w:val="32"/>
      <w:lang w:eastAsia="ru-RU"/>
    </w:rPr>
  </w:style>
  <w:style w:type="paragraph" w:styleId="Style42" w:customStyle="1">
    <w:name w:val="Подраздел раздела положения"/>
    <w:basedOn w:val="Normal"/>
    <w:autoRedefine/>
    <w:qFormat/>
    <w:rsid w:val="00a61b8e"/>
    <w:pPr>
      <w:spacing w:lineRule="auto" w:line="240" w:before="80" w:after="80"/>
      <w:jc w:val="both"/>
    </w:pPr>
    <w:rPr>
      <w:rFonts w:ascii="Times New Roman" w:hAnsi="Times New Roman" w:eastAsia="Times New Roman" w:cs="Times New Roman"/>
      <w:sz w:val="28"/>
      <w:szCs w:val="28"/>
      <w:lang w:eastAsia="ru-RU"/>
    </w:rPr>
  </w:style>
  <w:style w:type="paragraph" w:styleId="BodyTextIndent3">
    <w:name w:val="Body Text Indent 3"/>
    <w:basedOn w:val="Normal"/>
    <w:qFormat/>
    <w:rsid w:val="00a61b8e"/>
    <w:pPr>
      <w:spacing w:lineRule="auto" w:line="240" w:before="0" w:after="120"/>
      <w:ind w:left="283" w:hanging="0"/>
    </w:pPr>
    <w:rPr>
      <w:rFonts w:ascii="Times New Roman" w:hAnsi="Times New Roman" w:eastAsia="Times New Roman" w:cs="Times New Roman"/>
      <w:sz w:val="16"/>
      <w:szCs w:val="16"/>
      <w:lang w:eastAsia="ru-RU"/>
    </w:rPr>
  </w:style>
  <w:style w:type="paragraph" w:styleId="12">
    <w:name w:val="TOC 1"/>
    <w:basedOn w:val="Normal"/>
    <w:autoRedefine/>
    <w:uiPriority w:val="39"/>
    <w:rsid w:val="00bc703b"/>
    <w:pPr>
      <w:spacing w:lineRule="auto" w:line="240" w:before="120" w:after="0"/>
    </w:pPr>
    <w:rPr>
      <w:rFonts w:ascii="Times New Roman" w:hAnsi="Times New Roman" w:eastAsia="Times New Roman" w:cs="Calibri Light (Заголовки)"/>
      <w:b/>
      <w:bCs/>
      <w:sz w:val="24"/>
      <w:szCs w:val="24"/>
      <w:lang w:eastAsia="ru-RU"/>
    </w:rPr>
  </w:style>
  <w:style w:type="paragraph" w:styleId="31">
    <w:name w:val="TOC 3"/>
    <w:basedOn w:val="Normal"/>
    <w:autoRedefine/>
    <w:uiPriority w:val="39"/>
    <w:rsid w:val="00bc703b"/>
    <w:pPr>
      <w:spacing w:lineRule="auto" w:line="240" w:before="0" w:after="0"/>
      <w:ind w:left="280" w:hanging="0"/>
    </w:pPr>
    <w:rPr>
      <w:rFonts w:ascii="Times New Roman" w:hAnsi="Times New Roman" w:eastAsia="Times New Roman" w:cs="Calibri" w:cstheme="minorHAnsi"/>
      <w:sz w:val="20"/>
      <w:szCs w:val="20"/>
      <w:lang w:eastAsia="ru-RU"/>
    </w:rPr>
  </w:style>
  <w:style w:type="paragraph" w:styleId="42">
    <w:name w:val="TOC 4"/>
    <w:basedOn w:val="Normal"/>
    <w:autoRedefine/>
    <w:uiPriority w:val="39"/>
    <w:rsid w:val="00bc703b"/>
    <w:pPr>
      <w:spacing w:lineRule="auto" w:line="240" w:before="0" w:after="0"/>
      <w:ind w:left="560" w:hanging="0"/>
    </w:pPr>
    <w:rPr>
      <w:rFonts w:ascii="Times New Roman" w:hAnsi="Times New Roman" w:eastAsia="Times New Roman" w:cs="Calibri" w:cstheme="minorHAnsi"/>
      <w:sz w:val="20"/>
      <w:szCs w:val="20"/>
      <w:lang w:eastAsia="ru-RU"/>
    </w:rPr>
  </w:style>
  <w:style w:type="paragraph" w:styleId="NoSpacing">
    <w:name w:val="No Spacing"/>
    <w:basedOn w:val="Normal"/>
    <w:uiPriority w:val="1"/>
    <w:qFormat/>
    <w:rsid w:val="00206d6d"/>
    <w:pPr>
      <w:spacing w:lineRule="auto" w:line="360" w:before="0" w:after="0"/>
    </w:pPr>
    <w:rPr>
      <w:rFonts w:ascii="Times New Roman" w:hAnsi="Times New Roman" w:cs="Times New Roman"/>
      <w:sz w:val="24"/>
      <w:szCs w:val="24"/>
      <w:lang w:eastAsia="ru-RU"/>
    </w:rPr>
  </w:style>
  <w:style w:type="paragraph" w:styleId="Style81" w:customStyle="1">
    <w:name w:val="Style8"/>
    <w:basedOn w:val="Normal"/>
    <w:qFormat/>
    <w:rsid w:val="00701de7"/>
    <w:pPr>
      <w:widowControl w:val="false"/>
      <w:spacing w:lineRule="exact" w:line="298" w:before="0" w:after="0"/>
      <w:jc w:val="both"/>
    </w:pPr>
    <w:rPr>
      <w:rFonts w:ascii="Times New Roman" w:hAnsi="Times New Roman" w:eastAsia="Times New Roman" w:cs="Times New Roman"/>
      <w:sz w:val="24"/>
      <w:szCs w:val="24"/>
      <w:lang w:eastAsia="ru-RU"/>
    </w:rPr>
  </w:style>
  <w:style w:type="paragraph" w:styleId="Style43" w:customStyle="1">
    <w:name w:val="Заголовок для сожерж"/>
    <w:basedOn w:val="1"/>
    <w:qFormat/>
    <w:rsid w:val="00c619d9"/>
    <w:pPr>
      <w:jc w:val="left"/>
    </w:pPr>
    <w:rPr>
      <w:b w:val="false"/>
      <w:szCs w:val="24"/>
      <w:lang w:val="ru-RU" w:eastAsia="ru-RU"/>
    </w:rPr>
  </w:style>
  <w:style w:type="paragraph" w:styleId="Standard" w:customStyle="1">
    <w:name w:val="Standard"/>
    <w:qFormat/>
    <w:rsid w:val="00904388"/>
    <w:pPr>
      <w:widowControl/>
      <w:suppressAutoHyphens w:val="true"/>
      <w:bidi w:val="0"/>
      <w:spacing w:before="0" w:after="0"/>
      <w:jc w:val="left"/>
      <w:textAlignment w:val="baseline"/>
    </w:pPr>
    <w:rPr>
      <w:rFonts w:ascii="Calibri" w:hAnsi="Calibri" w:eastAsia="Calibri" w:cs="Tahoma"/>
      <w:color w:val="00000A"/>
      <w:sz w:val="22"/>
      <w:szCs w:val="22"/>
      <w:lang w:val="ru-RU" w:eastAsia="en-US" w:bidi="ar-SA"/>
    </w:rPr>
  </w:style>
  <w:style w:type="paragraph" w:styleId="NormalWeb">
    <w:name w:val="Normal (Web)"/>
    <w:basedOn w:val="Normal"/>
    <w:uiPriority w:val="99"/>
    <w:semiHidden/>
    <w:unhideWhenUsed/>
    <w:qFormat/>
    <w:rsid w:val="004019ad"/>
    <w:pPr>
      <w:spacing w:lineRule="auto" w:line="240" w:beforeAutospacing="1" w:after="119"/>
    </w:pPr>
    <w:rPr>
      <w:rFonts w:ascii="Times New Roman" w:hAnsi="Times New Roman" w:eastAsia="Times New Roman" w:cs="Times New Roman"/>
      <w:sz w:val="24"/>
      <w:szCs w:val="24"/>
      <w:lang w:eastAsia="ru-RU"/>
    </w:rPr>
  </w:style>
  <w:style w:type="paragraph" w:styleId="Toaheading">
    <w:name w:val="toa heading"/>
    <w:basedOn w:val="Style34"/>
    <w:qFormat/>
    <w:pPr/>
    <w:rPr/>
  </w:style>
  <w:style w:type="paragraph" w:styleId="22">
    <w:name w:val="TOC 2"/>
    <w:basedOn w:val="Normal"/>
    <w:pPr>
      <w:spacing w:before="0" w:after="100"/>
      <w:ind w:left="220" w:hanging="0"/>
    </w:pPr>
    <w:rPr>
      <w:rFonts w:ascii="Times New Roman" w:hAnsi="Times New Roman" w:eastAsia="Times New Roman"/>
      <w:sz w:val="24"/>
      <w:lang w:eastAsia="ru-RU"/>
    </w:rPr>
  </w:style>
  <w:style w:type="paragraph" w:styleId="Style44" w:customStyle="1">
    <w:name w:val="Содержимое врезки"/>
    <w:basedOn w:val="Normal"/>
    <w:qFormat/>
    <w:pPr/>
    <w:rPr/>
  </w:style>
  <w:style w:type="paragraph" w:styleId="Style45" w:customStyle="1">
    <w:name w:val="Содержимое таблицы"/>
    <w:basedOn w:val="Normal"/>
    <w:qFormat/>
    <w:pPr/>
    <w:rPr/>
  </w:style>
  <w:style w:type="paragraph" w:styleId="Style46" w:customStyle="1">
    <w:name w:val="Заголовок таблицы"/>
    <w:basedOn w:val="Style45"/>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e">
    <w:name w:val="Table Grid"/>
    <w:basedOn w:val="a1"/>
    <w:uiPriority w:val="39"/>
    <w:rsid w:val="00d524dd"/>
    <w:rPr>
      <w:lang w:eastAsia="ru-RU"/>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Style0">
    <w:name w:val="TableStyle0"/>
    <w:rsid w:val="009d74ff"/>
    <w:rPr>
      <w:rFonts w:eastAsiaTheme="minorEastAsia"/>
      <w:lang w:eastAsia="ru-RU"/>
      <w:sz w:val="16"/>
    </w:rPr>
    <w:tblPr>
      <w:tblCellMar>
        <w:top w:w="0" w:type="dxa"/>
        <w:left w:w="0" w:type="dxa"/>
        <w:bottom w:w="0" w:type="dxa"/>
        <w:right w:w="0" w:type="dxa"/>
      </w:tblCellMar>
    </w:tblPr>
  </w:style>
  <w:style w:type="table" w:customStyle="1" w:styleId="TableStyle1">
    <w:name w:val="TableStyle1"/>
    <w:rsid w:val="009d74ff"/>
    <w:rPr>
      <w:rFonts w:eastAsiaTheme="minorEastAsia"/>
      <w:lang w:eastAsia="ru-RU"/>
      <w:sz w:val="16"/>
    </w:rPr>
    <w:tblPr>
      <w:tblCellMar>
        <w:top w:w="0" w:type="dxa"/>
        <w:left w:w="0" w:type="dxa"/>
        <w:bottom w:w="0" w:type="dxa"/>
        <w:right w:w="0" w:type="dxa"/>
      </w:tblCellMar>
    </w:tblPr>
  </w:style>
  <w:style w:type="table" w:customStyle="1" w:styleId="TableStyle2">
    <w:name w:val="TableStyle2"/>
    <w:rsid w:val="009d74ff"/>
    <w:rPr>
      <w:rFonts w:eastAsiaTheme="minorEastAsia"/>
      <w:lang w:eastAsia="ru-RU"/>
      <w:sz w:val="16"/>
    </w:rPr>
    <w:tblPr>
      <w:tblCellMar>
        <w:top w:w="0" w:type="dxa"/>
        <w:left w:w="0" w:type="dxa"/>
        <w:bottom w:w="0" w:type="dxa"/>
        <w:right w:w="0" w:type="dxa"/>
      </w:tblCellMar>
    </w:tblPr>
  </w:style>
  <w:style w:type="table" w:customStyle="1" w:styleId="TableStyle3">
    <w:name w:val="TableStyle3"/>
    <w:rsid w:val="009d74ff"/>
    <w:rPr>
      <w:rFonts w:eastAsiaTheme="minorEastAsia"/>
      <w:lang w:eastAsia="ru-RU"/>
      <w:sz w:val="16"/>
    </w:rPr>
    <w:tblPr>
      <w:tblCellMar>
        <w:top w:w="0" w:type="dxa"/>
        <w:left w:w="0" w:type="dxa"/>
        <w:bottom w:w="0" w:type="dxa"/>
        <w:right w:w="0" w:type="dxa"/>
      </w:tblCellMar>
    </w:tblPr>
  </w:style>
  <w:style w:type="table" w:customStyle="1" w:styleId="TableStyle4">
    <w:name w:val="TableStyle4"/>
    <w:rsid w:val="009d74ff"/>
    <w:rPr>
      <w:rFonts w:eastAsiaTheme="minorEastAsia"/>
      <w:lang w:eastAsia="ru-RU"/>
      <w:sz w:val="16"/>
    </w:rPr>
    <w:tblPr>
      <w:tblCellMar>
        <w:top w:w="0" w:type="dxa"/>
        <w:left w:w="0" w:type="dxa"/>
        <w:bottom w:w="0" w:type="dxa"/>
        <w:right w:w="0" w:type="dxa"/>
      </w:tblCellMar>
    </w:tblPr>
  </w:style>
  <w:style w:type="table" w:customStyle="1" w:styleId="TableStyle5">
    <w:name w:val="TableStyle5"/>
    <w:rsid w:val="009d74ff"/>
    <w:rPr>
      <w:rFonts w:eastAsiaTheme="minorEastAsia"/>
      <w:lang w:eastAsia="ru-RU"/>
      <w:sz w:val="16"/>
    </w:rPr>
    <w:tblPr>
      <w:tblCellMar>
        <w:top w:w="0" w:type="dxa"/>
        <w:left w:w="0" w:type="dxa"/>
        <w:bottom w:w="0" w:type="dxa"/>
        <w:right w:w="0" w:type="dxa"/>
      </w:tblCellMar>
    </w:tblPr>
  </w:style>
  <w:style w:type="table" w:customStyle="1" w:styleId="TableStyle6">
    <w:name w:val="TableStyle6"/>
    <w:rsid w:val="009d74ff"/>
    <w:rPr>
      <w:rFonts w:eastAsiaTheme="minorEastAsia"/>
      <w:lang w:eastAsia="ru-RU"/>
      <w:sz w:val="16"/>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50A8F-88EE-4353-BDD6-F12E21681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Application>LibreOffice/5.3.6.1$Linux_X86_64 LibreOffice_project/30$Build-1</Application>
  <Pages>29</Pages>
  <Words>6836</Words>
  <Characters>48252</Characters>
  <CharactersWithSpaces>54523</CharactersWithSpaces>
  <Paragraphs>655</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2025-09-02T22:51:00Z</dcterms:created>
  <dc:creator>Ромашенков Владимир Викторович</dc:creator>
  <dc:description/>
  <dc:language>ru-RU</dc:language>
  <cp:lastModifiedBy/>
  <cp:lastPrinted>2024-07-18T05:27:00Z</cp:lastPrinted>
  <dcterms:modified xsi:type="dcterms:W3CDTF">2026-06-15T10:32:44Z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