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20" w:after="120"/>
        <w:ind w:left="426" w:hanging="0"/>
        <w:jc w:val="right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  <w:t>Приложение № 8</w:t>
      </w:r>
    </w:p>
    <w:p>
      <w:pPr>
        <w:pStyle w:val="Normal"/>
        <w:spacing w:before="360" w:after="120"/>
        <w:ind w:left="425" w:hanging="0"/>
        <w:jc w:val="center"/>
        <w:rPr>
          <w:rFonts w:ascii="Times New Roman" w:hAnsi="Times New Roman" w:eastAsia="Calibri"/>
          <w:b/>
          <w:caps/>
          <w:szCs w:val="24"/>
        </w:rPr>
      </w:pPr>
      <w:r>
        <w:rPr>
          <w:rFonts w:eastAsia="Calibri" w:ascii="Times New Roman" w:hAnsi="Times New Roman"/>
          <w:b/>
          <w:caps/>
          <w:szCs w:val="24"/>
        </w:rPr>
        <w:t>ОБОСНОВАНИЕ начальной (максимальной) цены договора</w:t>
      </w:r>
      <w:r>
        <w:rPr>
          <w:rFonts w:eastAsia="Calibri" w:ascii="Times New Roman" w:hAnsi="Times New Roman"/>
          <w:sz w:val="26"/>
          <w:szCs w:val="26"/>
        </w:rPr>
        <w:t xml:space="preserve"> / </w:t>
      </w:r>
      <w:r>
        <w:rPr>
          <w:rFonts w:eastAsia="Calibri" w:ascii="Times New Roman" w:hAnsi="Times New Roman"/>
          <w:b/>
          <w:caps/>
          <w:szCs w:val="24"/>
        </w:rPr>
        <w:t>цены единицы товара, работы, услуги</w:t>
      </w:r>
    </w:p>
    <w:p>
      <w:pPr>
        <w:pStyle w:val="Normal"/>
        <w:numPr>
          <w:ilvl w:val="0"/>
          <w:numId w:val="2"/>
        </w:numPr>
        <w:spacing w:lineRule="exact" w:line="360" w:before="120" w:after="120"/>
        <w:ind w:left="714" w:hanging="357"/>
        <w:jc w:val="both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  <w:t>Общая информация</w:t>
      </w:r>
    </w:p>
    <w:tbl>
      <w:tblPr>
        <w:tblStyle w:val="1"/>
        <w:tblW w:w="9527" w:type="dxa"/>
        <w:jc w:val="left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4"/>
        <w:gridCol w:w="3686"/>
        <w:gridCol w:w="5137"/>
      </w:tblGrid>
      <w:tr>
        <w:trPr>
          <w:trHeight w:val="525" w:hRule="atLeast"/>
        </w:trPr>
        <w:tc>
          <w:tcPr>
            <w:tcW w:w="704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п/п</w:t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513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Информация по лоту</w:t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exact" w:line="360" w:before="120" w:after="120"/>
              <w:ind w:left="0" w:hanging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sz w:val="22"/>
                <w:szCs w:val="22"/>
              </w:rPr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Times New Roman"/>
                <w:b/>
                <w:i/>
                <w:i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Наименование лота</w:t>
            </w:r>
          </w:p>
        </w:tc>
        <w:tc>
          <w:tcPr>
            <w:tcW w:w="513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2"/>
                <w:szCs w:val="22"/>
                <w:lang w:val="ru-RU" w:eastAsia="en-US" w:bidi="ar-SA"/>
              </w:rPr>
              <w:t>«</w:t>
            </w:r>
            <w:bookmarkStart w:id="0" w:name="__DdeLink__21453_843265732"/>
            <w:bookmarkStart w:id="1" w:name="__DdeLink__1742_4272245518"/>
            <w:r>
              <w:rPr>
                <w:rFonts w:eastAsia="Calibri" w:cs="Times New Roman" w:ascii="Times New Roman" w:hAnsi="Times New Roman"/>
                <w:color w:val="auto"/>
                <w:kern w:val="0"/>
                <w:sz w:val="22"/>
                <w:szCs w:val="22"/>
                <w:lang w:val="ru-RU" w:eastAsia="en-US" w:bidi="ar-SA"/>
              </w:rPr>
              <w:t xml:space="preserve">ОКПД2 42.22.12.110 </w:t>
            </w:r>
            <w:bookmarkEnd w:id="0"/>
            <w:bookmarkEnd w:id="1"/>
            <w:r>
              <w:rPr>
                <w:rFonts w:eastAsia="Calibri" w:cs="Times New Roman" w:ascii="Times New Roman" w:hAnsi="Times New Roman"/>
                <w:color w:val="auto"/>
                <w:kern w:val="0"/>
                <w:sz w:val="22"/>
                <w:szCs w:val="22"/>
                <w:lang w:val="ru-RU" w:eastAsia="en-US" w:bidi="ar-SA"/>
              </w:rPr>
              <w:t>Выполнение проектных, строительно-монтажных работ для технологического присоединения к электрическим сетям заявителя ООО «АвтоСтройГруз» (Q_25-ПЭС-6129 ТП НС) в Приморском крае,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2"/>
                <w:szCs w:val="22"/>
                <w:lang w:val="ru-RU" w:eastAsia="en-US" w:bidi="ar-SA"/>
              </w:rPr>
              <w:t>Надеждинский р-н, п. Алексеевка»</w:t>
            </w:r>
          </w:p>
        </w:tc>
      </w:tr>
      <w:tr>
        <w:trPr>
          <w:trHeight w:val="558" w:hRule="atLeast"/>
        </w:trPr>
        <w:tc>
          <w:tcPr>
            <w:tcW w:w="704" w:type="dxa"/>
            <w:tcBorders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exact" w:line="360" w:before="120" w:after="120"/>
              <w:ind w:left="0" w:hanging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sz w:val="22"/>
                <w:szCs w:val="22"/>
              </w:rPr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Номер лота</w:t>
            </w:r>
          </w:p>
        </w:tc>
        <w:tc>
          <w:tcPr>
            <w:tcW w:w="513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eastAsia="Calibri" w:cs="Times New Roman"/>
                <w:bCs/>
                <w:smallCaps/>
                <w:color w:val="0070C0"/>
              </w:rPr>
            </w:pPr>
            <w:r>
              <w:rPr>
                <w:rFonts w:eastAsia="Calibri" w:cs="Times New Roman"/>
                <w:bCs/>
                <w:smallCaps/>
                <w:color w:val="0070C0"/>
                <w:sz w:val="26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Cs/>
                <w:smallCaps/>
                <w:color w:val="0070C0"/>
                <w:sz w:val="24"/>
                <w:szCs w:val="24"/>
                <w:shd w:fill="FFF5CE" w:val="clear"/>
              </w:rPr>
              <w:t xml:space="preserve">ЛОТ </w:t>
            </w:r>
            <w:r>
              <w:rPr>
                <w:rFonts w:eastAsia="Calibri" w:cs="Times New Roman" w:ascii="Liberation Serif" w:hAnsi="Liberation Serif"/>
                <w:bCs/>
                <w:color w:val="0070C0"/>
                <w:sz w:val="24"/>
                <w:szCs w:val="24"/>
                <w:shd w:fill="FFF5CE" w:val="clear"/>
              </w:rPr>
              <w:t>№        -КС ПИР СМР-2026-ДРСК-ПЭС</w:t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exact" w:line="360" w:before="120" w:after="120"/>
              <w:ind w:left="0" w:hanging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sz w:val="22"/>
                <w:szCs w:val="22"/>
              </w:rPr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НМЦ лота</w:t>
            </w:r>
          </w:p>
        </w:tc>
        <w:tc>
          <w:tcPr>
            <w:tcW w:w="513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60" w:before="60" w:after="60"/>
              <w:jc w:val="both"/>
              <w:rPr>
                <w:rFonts w:ascii="Times New Roman" w:hAnsi="Times New Roman" w:eastAsia="Times New Roman"/>
                <w:b/>
                <w:i/>
                <w:i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kern w:val="0"/>
                <w:sz w:val="22"/>
                <w:szCs w:val="22"/>
                <w:lang w:bidi="ar-SA"/>
              </w:rPr>
              <w:t>430 9</w:t>
            </w:r>
            <w:r>
              <w:rPr>
                <w:rFonts w:eastAsia="Times New Roman" w:cs="Times New Roman" w:ascii="Times New Roman" w:hAnsi="Times New Roman"/>
                <w:b/>
                <w:i/>
                <w:kern w:val="0"/>
                <w:sz w:val="22"/>
                <w:szCs w:val="22"/>
                <w:lang w:bidi="ar-SA"/>
              </w:rPr>
              <w:t>84</w:t>
            </w:r>
            <w:r>
              <w:rPr>
                <w:rFonts w:eastAsia="Times New Roman" w:cs="Times New Roman" w:ascii="Times New Roman" w:hAnsi="Times New Roman"/>
                <w:b/>
                <w:i/>
                <w:kern w:val="0"/>
                <w:sz w:val="22"/>
                <w:szCs w:val="22"/>
                <w:lang w:bidi="ar-SA"/>
              </w:rPr>
              <w:t>,</w:t>
            </w:r>
            <w:r>
              <w:rPr>
                <w:rFonts w:eastAsia="Times New Roman" w:cs="Times New Roman" w:ascii="Times New Roman" w:hAnsi="Times New Roman"/>
                <w:b/>
                <w:i/>
                <w:kern w:val="0"/>
                <w:sz w:val="22"/>
                <w:szCs w:val="22"/>
                <w:lang w:bidi="ar-SA"/>
              </w:rPr>
              <w:t>96</w:t>
            </w:r>
            <w:r>
              <w:rPr>
                <w:rFonts w:eastAsia="Times New Roman" w:cs="Times New Roman" w:ascii="Times New Roman" w:hAnsi="Times New Roman"/>
                <w:b/>
                <w:i/>
                <w:kern w:val="0"/>
                <w:sz w:val="22"/>
                <w:szCs w:val="22"/>
                <w:lang w:bidi="ar-SA"/>
              </w:rPr>
              <w:t xml:space="preserve"> руб. без НДС</w:t>
            </w:r>
          </w:p>
        </w:tc>
      </w:tr>
    </w:tbl>
    <w:p>
      <w:pPr>
        <w:pStyle w:val="Normal"/>
        <w:numPr>
          <w:ilvl w:val="0"/>
          <w:numId w:val="2"/>
        </w:numPr>
        <w:spacing w:lineRule="exact" w:line="360" w:before="120" w:after="120"/>
        <w:ind w:left="714" w:hanging="357"/>
        <w:jc w:val="both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  <w:t>Использованный метод (методы) расчета НМЦ / цены единицы товара, работы, услуги:</w:t>
      </w:r>
    </w:p>
    <w:p>
      <w:pPr>
        <w:pStyle w:val="Normal"/>
        <w:spacing w:before="0" w:after="0"/>
        <w:contextualSpacing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  <w:t>Метод укрупненных расчетов, ресурсно-индексный метод</w:t>
      </w:r>
    </w:p>
    <w:p>
      <w:pPr>
        <w:pStyle w:val="Normal"/>
        <w:spacing w:before="0" w:after="0"/>
        <w:contextualSpacing/>
        <w:jc w:val="both"/>
        <w:rPr>
          <w:rFonts w:ascii="Times New Roman" w:hAnsi="Times New Roman" w:eastAsia="Calibri"/>
          <w:sz w:val="26"/>
          <w:szCs w:val="26"/>
        </w:rPr>
      </w:pPr>
      <w:r>
        <w:rPr/>
      </w:r>
    </w:p>
    <w:sectPr>
      <w:headerReference w:type="even" r:id="rId2"/>
      <w:headerReference w:type="default" r:id="rId3"/>
      <w:type w:val="nextPage"/>
      <w:pgSz w:w="11906" w:h="16838"/>
      <w:pgMar w:left="1701" w:right="709" w:gutter="0" w:header="964" w:top="1021" w:footer="0" w:bottom="851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38108805"/>
    </w:sdtPr>
    <w:sdtContent>
      <w:p>
        <w:pPr>
          <w:pStyle w:val="Header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0</w:t>
        </w:r>
        <w:r>
          <w:rPr>
            <w:rFonts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4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10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7740a"/>
    <w:rPr>
      <w:color w:val="0000FF" w:themeColor="hyperlink"/>
      <w:u w:val="single"/>
    </w:rPr>
  </w:style>
  <w:style w:type="character" w:styleId="Style11" w:customStyle="1">
    <w:name w:val="Нижний колонтитул Знак"/>
    <w:basedOn w:val="DefaultParagraphFont"/>
    <w:uiPriority w:val="99"/>
    <w:qFormat/>
    <w:rsid w:val="00206a95"/>
    <w:rPr>
      <w:rFonts w:ascii="Geneva CY" w:hAnsi="Geneva CY" w:eastAsia="Geneva"/>
      <w:sz w:val="24"/>
      <w:lang w:val="ru-RU" w:eastAsia="en-US"/>
    </w:rPr>
  </w:style>
  <w:style w:type="character" w:styleId="Style12" w:customStyle="1">
    <w:name w:val="Текст сноски Знак"/>
    <w:basedOn w:val="DefaultParagraphFont"/>
    <w:uiPriority w:val="99"/>
    <w:qFormat/>
    <w:rsid w:val="005f30b7"/>
    <w:rPr>
      <w:rFonts w:ascii="Geneva CY" w:hAnsi="Geneva CY" w:eastAsia="Geneva"/>
      <w:lang w:val="ru-RU" w:eastAsia="en-US"/>
    </w:rPr>
  </w:style>
  <w:style w:type="character" w:styleId="Style13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sid w:val="005f30b7"/>
    <w:rPr>
      <w:vertAlign w:val="superscript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06a95"/>
    <w:pPr>
      <w:spacing w:before="0" w:after="0"/>
      <w:ind w:left="720" w:hanging="0"/>
      <w:contextualSpacing/>
    </w:pPr>
    <w:rPr/>
  </w:style>
  <w:style w:type="paragraph" w:styleId="Footer">
    <w:name w:val="Footer"/>
    <w:basedOn w:val="Normal"/>
    <w:link w:val="Style11"/>
    <w:uiPriority w:val="99"/>
    <w:unhideWhenUsed/>
    <w:rsid w:val="00206a9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link w:val="Style12"/>
    <w:uiPriority w:val="99"/>
    <w:unhideWhenUsed/>
    <w:qFormat/>
    <w:rsid w:val="005f30b7"/>
    <w:pPr/>
    <w:rPr>
      <w:sz w:val="20"/>
    </w:rPr>
  </w:style>
  <w:style w:type="paragraph" w:styleId="NormalWeb">
    <w:name w:val="Normal (Web)"/>
    <w:basedOn w:val="Normal"/>
    <w:uiPriority w:val="99"/>
    <w:unhideWhenUsed/>
    <w:qFormat/>
    <w:rsid w:val="00336344"/>
    <w:pPr>
      <w:spacing w:beforeAutospacing="1" w:afterAutospacing="1"/>
    </w:pPr>
    <w:rPr>
      <w:rFonts w:ascii="Times New Roman" w:hAnsi="Times New Roman" w:eastAsia="Times New Roman"/>
      <w:szCs w:val="24"/>
      <w:lang w:eastAsia="ru-RU"/>
    </w:rPr>
  </w:style>
  <w:style w:type="paragraph" w:styleId="Style17">
    <w:name w:val="Содержимое врезки"/>
    <w:basedOn w:val="Normal"/>
    <w:qFormat/>
    <w:pPr/>
    <w:rPr/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c13822"/>
    <w:pPr>
      <w:jc w:val="both"/>
    </w:pPr>
    <w:rPr>
      <w:lang w:val="ru-RU" w:eastAsia="en-US"/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f0">
    <w:name w:val="Table Grid"/>
    <w:basedOn w:val="a1"/>
    <w:uiPriority w:val="59"/>
    <w:rsid w:val="00c1382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">
    <w:name w:val="Сетка таблицы2"/>
    <w:basedOn w:val="a1"/>
    <w:uiPriority w:val="39"/>
    <w:rsid w:val="00bb06c8"/>
    <w:rPr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05D07-AA36-42EA-A2D0-ECBC4E718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Application>AlterOffice/2025.2.0.0$Linux_X86_64 LibreOffice_project/6187b38627dc96752c3a67d602c04ead81138ae8</Application>
  <AppVersion>15.0000</AppVersion>
  <Pages>1</Pages>
  <Words>86</Words>
  <Characters>557</Characters>
  <CharactersWithSpaces>628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2021-07-05T12:53:00Z</dcterms:created>
  <dc:creator>Andrey Zhurin</dc:creator>
  <dc:description/>
  <dc:language>ru-RU</dc:language>
  <cp:lastModifiedBy>bobrova_nv</cp:lastModifiedBy>
  <cp:lastPrinted>2021-07-02T09:19:00Z</cp:lastPrinted>
  <dcterms:modified xsi:type="dcterms:W3CDTF">2026-05-19T09:36:54Z</dcterms:modified>
  <cp:revision>104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