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3.xml" ContentType="application/vnd.openxmlformats-officedocument.wordprocessingml.footer+xml"/>
  <Override PartName="/word/embeddings/oleObject1.xlsx" ContentType="application/vnd.openxmlformats-officedocument.spreadsheetml.sheet"/>
  <Override PartName="/word/embeddings/oleObject2.xlsx" ContentType="application/vnd.openxmlformats-officedocument.spreadsheetml.sheet"/>
  <Override PartName="/word/embeddings/oleObject3.xlsx" ContentType="application/vnd.openxmlformats-officedocument.spreadsheetml.sheet"/>
  <Override PartName="/word/embeddings/oleObject4.xlsx" ContentType="application/vnd.openxmlformats-officedocument.spreadsheetml.sheet"/>
  <Override PartName="/word/embeddings/oleObject5.xlsx" ContentType="application/vnd.openxmlformats-officedocument.spreadsheetml.sheet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13.xml" ContentType="application/vnd.openxmlformats-officedocument.wordprocessingml.footer+xml"/>
  <Override PartName="/word/footer5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15.xml" ContentType="application/vnd.openxmlformats-officedocument.wordprocessingml.footer+xml"/>
  <Override PartName="/word/numbering.xml" ContentType="application/vnd.openxmlformats-officedocument.wordprocessingml.numbering+xml"/>
  <Override PartName="/word/footer18.xml" ContentType="application/vnd.openxmlformats-officedocument.wordprocessingml.footer+xml"/>
  <Override PartName="/word/footnotes.xml" ContentType="application/vnd.openxmlformats-officedocument.wordprocessingml.footnotes+xml"/>
  <Override PartName="/word/footer4.xml" ContentType="application/vnd.openxmlformats-officedocument.wordprocessingml.footer+xml"/>
  <Override PartName="/word/footer12.xml" ContentType="application/vnd.openxmlformats-officedocument.wordprocessingml.footer+xml"/>
  <Override PartName="/word/footer20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media/image1.wmf" ContentType="image/x-wmf"/>
  <Override PartName="/word/media/image2.wmf" ContentType="image/x-wmf"/>
  <Override PartName="/word/media/image3.wmf" ContentType="image/x-wmf"/>
  <Override PartName="/word/media/image4.wmf" ContentType="image/x-wmf"/>
  <Override PartName="/word/media/image5.wmf" ContentType="image/x-wmf"/>
  <Override PartName="/word/footer17.xml" ContentType="application/vnd.openxmlformats-officedocument.wordprocessingml.footer+xml"/>
  <Override PartName="/word/footer9.xml" ContentType="application/vnd.openxmlformats-officedocument.wordprocessingml.footer+xml"/>
  <Override PartName="/word/footer19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footer6.xml" ContentType="application/vnd.openxmlformats-officedocument.wordprocessingml.footer+xml"/>
  <Override PartName="/word/_rels/document.xml.rels" ContentType="application/vnd.openxmlformats-package.relationships+xml"/>
  <Override PartName="/word/footer8.xml" ContentType="application/vnd.openxmlformats-officedocument.wordprocessingml.footer+xml"/>
  <Override PartName="/word/footer16.xml" ContentType="application/vnd.openxmlformats-officedocument.wordprocessingml.footer+xml"/>
  <Override PartName="/word/footer24.xml" ContentType="application/vnd.openxmlformats-officedocument.wordprocessingml.foot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1"/>
        <w:widowControl/>
        <w:tabs>
          <w:tab w:val="clear" w:pos="709"/>
          <w:tab w:val="left" w:pos="1260" w:leader="none"/>
        </w:tabs>
        <w:ind w:left="1260" w:right="0" w:hanging="1080"/>
        <w:jc w:val="right"/>
        <w:rPr/>
      </w:pPr>
      <w:r>
        <w:rPr/>
        <w:t xml:space="preserve">Приложение  </w:t>
      </w:r>
      <w:r>
        <w:rPr/>
        <w:t>3</w:t>
      </w:r>
      <w:r>
        <w:rPr/>
        <w:t xml:space="preserve"> к ТТ</w:t>
      </w:r>
    </w:p>
    <w:p>
      <w:pPr>
        <w:pStyle w:val="ConsPlusNormal1"/>
        <w:widowControl/>
        <w:tabs>
          <w:tab w:val="clear" w:pos="709"/>
          <w:tab w:val="left" w:pos="1260" w:leader="none"/>
        </w:tabs>
        <w:ind w:left="1260" w:right="0" w:hanging="1080"/>
        <w:jc w:val="right"/>
        <w:rPr/>
      </w:pPr>
      <w:r>
        <w:rPr/>
      </w:r>
    </w:p>
    <w:p>
      <w:pPr>
        <w:pStyle w:val="Normal"/>
        <w:rPr/>
      </w:pPr>
      <w:r>
        <w:rPr>
          <w:rStyle w:val="Style19"/>
          <w:rFonts w:ascii="Times New Roman" w:hAnsi="Times New Roman"/>
        </w:rPr>
        <w:t>Содержание:</w:t>
      </w:r>
    </w:p>
    <w:p>
      <w:pPr>
        <w:pStyle w:val="ConsPlusNormal1"/>
        <w:widowControl/>
        <w:numPr>
          <w:ilvl w:val="0"/>
          <w:numId w:val="40"/>
        </w:numPr>
        <w:tabs>
          <w:tab w:val="clear" w:pos="709"/>
          <w:tab w:val="left" w:pos="1260" w:leader="none"/>
        </w:tabs>
        <w:ind w:left="397" w:right="0" w:hanging="397"/>
        <w:rPr/>
      </w:pPr>
      <w:r>
        <w:rPr>
          <w:rStyle w:val="Style19"/>
          <w:rFonts w:ascii="Times New Roman" w:hAnsi="Times New Roman"/>
          <w:i/>
          <w:iCs/>
          <w:sz w:val="22"/>
          <w:szCs w:val="22"/>
        </w:rPr>
        <w:t>Приложение № 1</w:t>
      </w:r>
      <w:r>
        <w:rPr>
          <w:rStyle w:val="Style19"/>
          <w:rFonts w:cs="Times New Roman" w:ascii="Times New Roman" w:hAnsi="Times New Roman"/>
          <w:sz w:val="22"/>
          <w:szCs w:val="22"/>
        </w:rPr>
        <w:t xml:space="preserve">   </w:t>
      </w:r>
      <w:r>
        <w:rPr>
          <w:rStyle w:val="Style19"/>
          <w:rFonts w:cs="Times New Roman" w:ascii="Times New Roman" w:hAnsi="Times New Roman"/>
          <w:i/>
          <w:sz w:val="22"/>
          <w:szCs w:val="22"/>
        </w:rPr>
        <w:t xml:space="preserve">Требования к оформлению и составлению сметной документации на </w:t>
      </w:r>
      <w:r>
        <w:rPr>
          <w:rStyle w:val="Style19"/>
          <w:rFonts w:cs="Times New Roman" w:ascii="Times New Roman" w:hAnsi="Times New Roman"/>
          <w:i/>
          <w:sz w:val="22"/>
          <w:szCs w:val="22"/>
          <w:u w:val="single"/>
        </w:rPr>
        <w:t>работы по строительству……………………………………………. ……………………………… стр.1</w:t>
      </w:r>
    </w:p>
    <w:p>
      <w:pPr>
        <w:pStyle w:val="Style40"/>
        <w:numPr>
          <w:ilvl w:val="0"/>
          <w:numId w:val="41"/>
        </w:numPr>
        <w:spacing w:before="0" w:after="0"/>
        <w:ind w:left="340" w:right="0" w:hanging="340"/>
        <w:rPr/>
      </w:pPr>
      <w:r>
        <w:rPr>
          <w:rStyle w:val="Style19"/>
          <w:rFonts w:eastAsia="Times New Roman" w:ascii="Times New Roman" w:hAnsi="Times New Roman"/>
          <w:i/>
          <w:iCs/>
          <w:color w:val="auto"/>
          <w:kern w:val="0"/>
          <w:lang w:val="ru-RU" w:eastAsia="ru-RU" w:bidi="ar-SA"/>
        </w:rPr>
        <w:t>Приложение № 2 Требования к оформлению и составлению сметной документации на выполнение проектных и изыскательских работ………………………………,,,,......стр.18</w:t>
      </w:r>
    </w:p>
    <w:p>
      <w:pPr>
        <w:pStyle w:val="Style40"/>
        <w:numPr>
          <w:ilvl w:val="0"/>
          <w:numId w:val="0"/>
        </w:numPr>
        <w:spacing w:before="0" w:after="0"/>
        <w:ind w:left="340" w:right="0" w:hanging="0"/>
        <w:rPr>
          <w:rStyle w:val="Style19"/>
          <w:rFonts w:ascii="Times New Roman" w:hAnsi="Times New Roman" w:eastAsia="Times New Roman"/>
          <w:i/>
          <w:i/>
          <w:iCs/>
          <w:color w:val="auto"/>
          <w:kern w:val="0"/>
          <w:lang w:val="ru-RU" w:eastAsia="ru-RU" w:bidi="ar-SA"/>
        </w:rPr>
      </w:pPr>
      <w:r>
        <w:rPr>
          <w:rFonts w:eastAsia="Times New Roman" w:ascii="Times New Roman" w:hAnsi="Times New Roman"/>
          <w:i/>
          <w:iCs/>
          <w:color w:val="auto"/>
          <w:kern w:val="0"/>
          <w:lang w:val="ru-RU" w:eastAsia="ru-RU" w:bidi="ar-SA"/>
        </w:rPr>
      </w:r>
    </w:p>
    <w:p>
      <w:pPr>
        <w:pStyle w:val="Normal"/>
        <w:tabs>
          <w:tab w:val="clear" w:pos="709"/>
          <w:tab w:val="left" w:pos="1260" w:leader="none"/>
        </w:tabs>
        <w:ind w:left="1260" w:right="0" w:hanging="1080"/>
        <w:jc w:val="center"/>
        <w:rPr/>
      </w:pPr>
      <w:r>
        <w:rPr>
          <w:rStyle w:val="Style19"/>
          <w:rFonts w:ascii="Times New Roman" w:hAnsi="Times New Roman"/>
          <w:b/>
        </w:rPr>
        <w:t>ТРЕБОВАНИЯ</w:t>
      </w:r>
    </w:p>
    <w:p>
      <w:pPr>
        <w:pStyle w:val="ConsPlusNormal1"/>
        <w:widowControl/>
        <w:tabs>
          <w:tab w:val="clear" w:pos="709"/>
          <w:tab w:val="left" w:pos="1260" w:leader="none"/>
        </w:tabs>
        <w:ind w:left="1260" w:right="0" w:hanging="1080"/>
        <w:jc w:val="right"/>
        <w:rPr/>
      </w:pPr>
      <w:r>
        <w:rPr/>
      </w:r>
    </w:p>
    <w:p>
      <w:pPr>
        <w:pStyle w:val="ConsPlusNormal1"/>
        <w:widowControl/>
        <w:tabs>
          <w:tab w:val="clear" w:pos="709"/>
          <w:tab w:val="left" w:pos="1260" w:leader="none"/>
        </w:tabs>
        <w:ind w:left="1260" w:right="0" w:hanging="1080"/>
        <w:jc w:val="right"/>
        <w:rPr/>
      </w:pPr>
      <w:r>
        <w:rPr>
          <w:rStyle w:val="Style19"/>
          <w:rFonts w:cs="Times New Roman" w:ascii="Times New Roman" w:hAnsi="Times New Roman"/>
          <w:b/>
          <w:i/>
          <w:iCs/>
        </w:rPr>
        <w:t>Приложение № 1</w:t>
      </w:r>
    </w:p>
    <w:p>
      <w:pPr>
        <w:pStyle w:val="ConsPlusNormal1"/>
        <w:widowControl/>
        <w:tabs>
          <w:tab w:val="clear" w:pos="709"/>
          <w:tab w:val="left" w:pos="1260" w:leader="none"/>
        </w:tabs>
        <w:ind w:left="1260" w:right="0" w:hanging="1080"/>
        <w:jc w:val="center"/>
        <w:rPr/>
      </w:pPr>
      <w:r>
        <w:rPr>
          <w:rStyle w:val="Style19"/>
          <w:rFonts w:cs="Times New Roman" w:ascii="Times New Roman" w:hAnsi="Times New Roman"/>
          <w:b/>
          <w:sz w:val="24"/>
          <w:szCs w:val="24"/>
        </w:rPr>
        <w:t>Требования к оформлению и составлению</w:t>
      </w:r>
    </w:p>
    <w:p>
      <w:pPr>
        <w:pStyle w:val="ConsPlusNormal1"/>
        <w:widowControl/>
        <w:tabs>
          <w:tab w:val="clear" w:pos="709"/>
          <w:tab w:val="left" w:pos="1620" w:leader="none"/>
        </w:tabs>
        <w:ind w:left="0" w:right="0" w:firstLine="180"/>
        <w:jc w:val="center"/>
        <w:rPr>
          <w:rFonts w:ascii="Times New Roman" w:hAnsi="Times New Roman" w:cs="Times New Roman"/>
          <w:b/>
        </w:rPr>
      </w:pPr>
      <w:r>
        <w:rPr>
          <w:rStyle w:val="Style19"/>
          <w:rFonts w:eastAsia="Times New Roman" w:cs="Times New Roman" w:ascii="Times New Roman" w:hAnsi="Times New Roman"/>
          <w:b/>
          <w:i/>
          <w:iCs/>
          <w:color w:val="auto"/>
          <w:kern w:val="0"/>
          <w:sz w:val="24"/>
          <w:szCs w:val="24"/>
          <w:lang w:val="ru-RU" w:eastAsia="ru-RU" w:bidi="ar-SA"/>
        </w:rPr>
        <w:t xml:space="preserve"> </w:t>
      </w:r>
      <w:r>
        <w:rPr>
          <w:rStyle w:val="Style19"/>
          <w:rFonts w:eastAsia="Times New Roman" w:cs="Times New Roman" w:ascii="Times New Roman" w:hAnsi="Times New Roman"/>
          <w:b/>
          <w:i/>
          <w:iCs/>
          <w:color w:val="auto"/>
          <w:kern w:val="0"/>
          <w:sz w:val="24"/>
          <w:szCs w:val="24"/>
          <w:lang w:val="ru-RU" w:eastAsia="ru-RU" w:bidi="ar-SA"/>
        </w:rPr>
        <w:t>сметной документации на работы по строительству</w:t>
      </w:r>
    </w:p>
    <w:p>
      <w:pPr>
        <w:pStyle w:val="Style40"/>
        <w:spacing w:before="0" w:after="0"/>
        <w:ind w:left="340" w:right="0" w:hanging="340"/>
        <w:rPr>
          <w:rStyle w:val="Style19"/>
          <w:rFonts w:ascii="Times New Roman" w:hAnsi="Times New Roman" w:eastAsia="Times New Roman"/>
          <w:i/>
          <w:i/>
          <w:iCs/>
          <w:color w:val="auto"/>
          <w:kern w:val="0"/>
          <w:lang w:val="ru-RU" w:eastAsia="ru-RU" w:bidi="ar-SA"/>
        </w:rPr>
      </w:pPr>
      <w:r>
        <w:rPr>
          <w:rFonts w:eastAsia="Times New Roman" w:ascii="Times New Roman" w:hAnsi="Times New Roman"/>
          <w:i/>
          <w:iCs/>
          <w:color w:val="auto"/>
          <w:kern w:val="0"/>
          <w:lang w:val="ru-RU" w:eastAsia="ru-RU" w:bidi="ar-SA"/>
        </w:rPr>
      </w:r>
    </w:p>
    <w:p>
      <w:pPr>
        <w:pStyle w:val="ConsPlusNormal1"/>
        <w:widowControl/>
        <w:tabs>
          <w:tab w:val="clear" w:pos="709"/>
          <w:tab w:val="left" w:pos="1620" w:leader="none"/>
        </w:tabs>
        <w:ind w:firstLine="180"/>
        <w:jc w:val="both"/>
        <w:rPr>
          <w:rFonts w:ascii="Times New Roman" w:hAnsi="Times New Roman" w:cs="Times New Roman"/>
          <w:b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/>
          <w:i/>
          <w:iCs/>
          <w:sz w:val="24"/>
          <w:szCs w:val="24"/>
        </w:rPr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1134" w:leader="none"/>
        </w:tabs>
        <w:ind w:left="0"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Основные условия ценообразования изложены в приложении № 3 к настоящим требованиям и являются неотъемлемой частью требований к составлению сметной документации.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1134" w:leader="none"/>
        </w:tabs>
        <w:spacing w:before="40" w:after="40"/>
        <w:ind w:left="0"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>Использование</w:t>
      </w:r>
      <w:r>
        <w:rPr>
          <w:rFonts w:ascii="Times New Roman" w:hAnsi="Times New Roman"/>
          <w:sz w:val="24"/>
          <w:szCs w:val="24"/>
        </w:rPr>
        <w:t xml:space="preserve"> нормативов ценообразования, не зарегистрированных и не вошедших в ФРСН, </w:t>
      </w:r>
      <w:r>
        <w:rPr>
          <w:rFonts w:ascii="Times New Roman" w:hAnsi="Times New Roman"/>
          <w:b/>
          <w:sz w:val="24"/>
          <w:szCs w:val="24"/>
          <w:u w:val="single"/>
        </w:rPr>
        <w:t>не допускается</w:t>
      </w:r>
      <w:r>
        <w:rPr>
          <w:rFonts w:ascii="Times New Roman" w:hAnsi="Times New Roman"/>
          <w:sz w:val="24"/>
          <w:szCs w:val="24"/>
        </w:rPr>
        <w:t>, кроме случаев, прямо указанных в настоящих требованиях.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1134" w:leader="none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составлении смет руководствоваться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действие Приказом Министерства строительства и ЖКХ РФ от 04.08.2020 № 421/пр. (далее - Методикой определения сметной стоимости строительства), с учетом изменений и дополнений, а так же Методикой определения сметной стоимости строительства с применением федеральных единичных расценок и их отдельных составляющих, утверждённой Приказом Министерства строительства и ЖКХ РФ от 08.08.2022г № 648/пр. с учетом изменений и дополнений.</w:t>
      </w:r>
    </w:p>
    <w:p>
      <w:pPr>
        <w:pStyle w:val="Xmsolistparagraph"/>
        <w:numPr>
          <w:ilvl w:val="0"/>
          <w:numId w:val="6"/>
        </w:numPr>
        <w:shd w:val="clear" w:color="auto" w:fill="FFFFFF"/>
        <w:tabs>
          <w:tab w:val="clear" w:pos="709"/>
          <w:tab w:val="left" w:pos="1134" w:leader="none"/>
        </w:tabs>
        <w:spacing w:beforeAutospacing="0" w:before="0" w:afterAutospacing="0" w:after="0"/>
        <w:ind w:left="0" w:firstLine="567"/>
        <w:jc w:val="both"/>
        <w:rPr>
          <w:highlight w:val="none"/>
          <w:shd w:fill="auto" w:val="clear"/>
        </w:rPr>
      </w:pPr>
      <w:r>
        <w:rPr>
          <w:color w:val="000000"/>
          <w:shd w:fill="auto" w:val="clear"/>
        </w:rPr>
        <w:t>Сметная цена материальных ресурсов и (или) оборудования (далее –МТР), закупаемых на территории региона субъекта Российской Федерации,</w:t>
      </w:r>
      <w:r>
        <w:rPr>
          <w:color w:val="1F497D"/>
          <w:shd w:fill="auto" w:val="clear"/>
        </w:rPr>
        <w:t xml:space="preserve"> </w:t>
      </w:r>
      <w:r>
        <w:rPr>
          <w:color w:val="000000"/>
          <w:shd w:fill="auto" w:val="clear"/>
        </w:rPr>
        <w:t>определяется в базисном уровне цен по состоянию на 01.01.2022 с использованием ФСБЦ-2022, индексов по группам однородных строительных ресурсов, размещенных во ФГИС ЦС по субъекту Российской Федерации, в котором расположен объект строительства.</w:t>
      </w:r>
    </w:p>
    <w:p>
      <w:pPr>
        <w:pStyle w:val="Normal"/>
        <w:tabs>
          <w:tab w:val="clear" w:pos="709"/>
          <w:tab w:val="left" w:pos="284" w:leader="none"/>
          <w:tab w:val="left" w:pos="1134" w:leader="none"/>
        </w:tabs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отсутствии информации о сметных ценах в ФГИС ЦС и ФССЦ по материальным ресурсам и оборудованию, их сметная цена определяются по наиболее экономичному варианту, определенному на основании сбора информации о текущих ценах (далее - конъюнктурный анализ) в соответствии с Приложении № 2 к настоящим требованиям.</w:t>
      </w:r>
    </w:p>
    <w:p>
      <w:pPr>
        <w:pStyle w:val="ConsPlusNormal1"/>
        <w:numPr>
          <w:ilvl w:val="0"/>
          <w:numId w:val="6"/>
        </w:numPr>
        <w:tabs>
          <w:tab w:val="clear" w:pos="709"/>
          <w:tab w:val="left" w:pos="284" w:leader="none"/>
          <w:tab w:val="left" w:pos="1134" w:leader="none"/>
        </w:tabs>
        <w:spacing w:before="40" w:after="4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При определении сметной стоимости в 2-х уровнях цен (текущем и базисном), стоимость указанных материальных ресурсов и оборудования, определяется в базисном уровне цен как отношение их стоимости в текущем уровне цен к соответствующим индексам изменения сметной стоимости, примененным при составлении сметной документации.</w:t>
      </w:r>
    </w:p>
    <w:p>
      <w:pPr>
        <w:pStyle w:val="ListParagraph"/>
        <w:numPr>
          <w:ilvl w:val="0"/>
          <w:numId w:val="6"/>
        </w:numPr>
        <w:tabs>
          <w:tab w:val="left" w:pos="709" w:leader="none"/>
          <w:tab w:val="left" w:pos="1134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Затраты на эксплуатацию строительной техники, не учтенной нормами и расценками, включенными в ФРСН, определяются Методами, предусмотренными Методикой ПЦ (методы без использования сметных нормативов) и включаются в Главу 9 ССР</w:t>
      </w:r>
      <w:r>
        <w:rPr>
          <w:rFonts w:ascii="Times New Roman" w:hAnsi="Times New Roman"/>
          <w:b/>
          <w:color w:val="FF0000"/>
          <w:sz w:val="24"/>
          <w:szCs w:val="24"/>
        </w:rPr>
        <w:t>.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567" w:leader="none"/>
          <w:tab w:val="left" w:pos="1134" w:leader="none"/>
        </w:tabs>
        <w:spacing w:before="40" w:after="40"/>
        <w:ind w:left="0"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При составлении сметной документации корректировка наименования работ, принятой расценки недопустима. При необходимости, вся дополнительная информация указывается в скобках, после указания наименования расценки (</w:t>
      </w:r>
      <w:r>
        <w:rPr>
          <w:rFonts w:cs="Times New Roman" w:ascii="Times New Roman" w:hAnsi="Times New Roman"/>
          <w:i/>
          <w:color w:val="000000"/>
          <w:sz w:val="24"/>
          <w:szCs w:val="24"/>
          <w:shd w:fill="auto" w:val="clear"/>
        </w:rPr>
        <w:t>например, Разборка, очистка, замена уплотнения, сборка крышки ванны подшипника: диаметр шейки вала свыше 0.95 до 1,5 м (диаметр шейки вала – 1.3 м), л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ибо указывается в примечании, через дополнительную информацию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en-US"/>
        </w:rPr>
        <w:t>(в ПК Гранд-Смета).</w:t>
      </w:r>
    </w:p>
    <w:p>
      <w:pPr>
        <w:pStyle w:val="ListParagraph"/>
        <w:numPr>
          <w:ilvl w:val="0"/>
          <w:numId w:val="6"/>
        </w:numPr>
        <w:tabs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формировании сметной стоимости в ЛСР (ЛС) отдельно выделяется сметная стоимость по видам оборудования: инженерное; технологическое; лабораторное; транспортные средства; инструмент для технологических процессов; производственный и хозяйственный инвентарь, в т.ч. мебель.</w:t>
      </w:r>
    </w:p>
    <w:p>
      <w:pPr>
        <w:pStyle w:val="ListParagraph"/>
        <w:numPr>
          <w:ilvl w:val="0"/>
          <w:numId w:val="6"/>
        </w:numPr>
        <w:tabs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использовании в сметах коэффициентов и лимитированных затрат указывать обоснование из технической части, вводных указаний сборников или других нормативных документов и приложений к ним.</w:t>
      </w:r>
    </w:p>
    <w:p>
      <w:pPr>
        <w:pStyle w:val="ListParagraph"/>
        <w:numPr>
          <w:ilvl w:val="0"/>
          <w:numId w:val="6"/>
        </w:numPr>
        <w:tabs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Поправочные коэффициенты из технической части к расценкам (например, на демонтаж или для учета особых условий выполнения работ) учитываются индивидуально для каждой позиции и в выходных формах при выгрузке в формат «Excel» и указываются попозиционно.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Коэффициенты, учитывающие усложняющие факторы и условия производства работ, могут применяться одновременно с другими коэффициентами, предусмотренными сметными нормативами, включенными в ФРСН. При одновременном применении коэффициенты перемножаются, результат округляется до семи знаков после запятой.</w:t>
      </w:r>
    </w:p>
    <w:p>
      <w:pPr>
        <w:pStyle w:val="ListParagraph"/>
        <w:numPr>
          <w:ilvl w:val="0"/>
          <w:numId w:val="6"/>
        </w:numPr>
        <w:tabs>
          <w:tab w:val="left" w:pos="284" w:leader="none"/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внесении изменений в сметную документацию разрабатывается сводный сметный расчет, определяющий общую сметную стоимость строительства с учетом произведенных изменений проектной и (или) иной технической документации на полный объем работ с учетом объемов корректировки (исключаемых и дополнительных). Локальные сметные расчеты (сметы) разрабатываются отдельно на исключаемые и дополнительные объемы работ.</w:t>
      </w:r>
    </w:p>
    <w:p>
      <w:pPr>
        <w:pStyle w:val="ListParagraph"/>
        <w:numPr>
          <w:ilvl w:val="0"/>
          <w:numId w:val="6"/>
        </w:numPr>
        <w:tabs>
          <w:tab w:val="left" w:pos="284" w:leader="none"/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color w:val="000000"/>
          <w:sz w:val="24"/>
          <w:szCs w:val="24"/>
        </w:rPr>
        <w:t>ЛСР</w:t>
      </w:r>
      <w:r>
        <w:rPr>
          <w:rFonts w:ascii="Times New Roman" w:hAnsi="Times New Roman"/>
          <w:sz w:val="24"/>
          <w:szCs w:val="24"/>
        </w:rPr>
        <w:t xml:space="preserve"> (ЛС) указывать величину накладных расходов по видам строительных, ремонтно-строительных, монтажных и пусконаладочных работ, на основании нормативных документов, внесенных в ФРСН.</w:t>
      </w:r>
    </w:p>
    <w:p>
      <w:pPr>
        <w:pStyle w:val="ListParagraph"/>
        <w:numPr>
          <w:ilvl w:val="0"/>
          <w:numId w:val="6"/>
        </w:numPr>
        <w:tabs>
          <w:tab w:val="left" w:pos="284" w:leader="none"/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color w:val="000000"/>
          <w:sz w:val="24"/>
          <w:szCs w:val="24"/>
        </w:rPr>
        <w:t>ЛСР</w:t>
      </w:r>
      <w:r>
        <w:rPr>
          <w:rFonts w:ascii="Times New Roman" w:hAnsi="Times New Roman"/>
          <w:sz w:val="24"/>
          <w:szCs w:val="24"/>
        </w:rPr>
        <w:t xml:space="preserve"> (ЛС) указывать величину сметной прибыли по видам строительных, ремонтно-строительных, монтажных и пусконаладочных работ, на основании актуальных нормативных документов, внесенных в ФРСН.</w:t>
      </w:r>
    </w:p>
    <w:p>
      <w:pPr>
        <w:pStyle w:val="ListParagraph"/>
        <w:numPr>
          <w:ilvl w:val="0"/>
          <w:numId w:val="6"/>
        </w:numPr>
        <w:tabs>
          <w:tab w:val="left" w:pos="284" w:leader="none"/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4"/>
          <w:szCs w:val="24"/>
          <w:shd w:fill="auto" w:val="clear"/>
        </w:rPr>
        <w:t>Понижающий коэффициент начисляется в локальных сметах единым индексом в итогах (после начисления лимитированных затрат в случае составления одной сметы). При этом, понижающий коэффициент, указывается в размере не более 7-ми знаков после запятой.</w:t>
      </w:r>
    </w:p>
    <w:p>
      <w:pPr>
        <w:pStyle w:val="ListParagraph"/>
        <w:numPr>
          <w:ilvl w:val="0"/>
          <w:numId w:val="6"/>
        </w:numPr>
        <w:tabs>
          <w:tab w:val="left" w:pos="284" w:leader="none"/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Сметная</w:t>
      </w:r>
      <w:r>
        <w:rPr>
          <w:rFonts w:ascii="Times New Roman" w:hAnsi="Times New Roman"/>
          <w:sz w:val="24"/>
          <w:szCs w:val="24"/>
        </w:rPr>
        <w:t xml:space="preserve"> стоимость пусконаладочных работ определяется на основании утвержденных заказчиком программы и графика. Расчет стоимости пусконаладочных работ составлять с применением сметных нормативов, включенных в ФРСН. При определении сметной стоимости полного комплекса пусконаладочных работ на основании раздела </w:t>
      </w:r>
      <w:r>
        <w:rPr>
          <w:rFonts w:ascii="Times New Roman" w:hAnsi="Times New Roman"/>
          <w:sz w:val="24"/>
          <w:szCs w:val="24"/>
          <w:lang w:val="en-US"/>
        </w:rPr>
        <w:t>VII</w:t>
      </w:r>
      <w:r>
        <w:rPr>
          <w:rFonts w:ascii="Times New Roman" w:hAnsi="Times New Roman"/>
          <w:sz w:val="24"/>
          <w:szCs w:val="24"/>
        </w:rPr>
        <w:t xml:space="preserve">. Методики определения сметной стоимости строительства: </w:t>
      </w:r>
    </w:p>
    <w:p>
      <w:pPr>
        <w:pStyle w:val="ConsPlusNormal1"/>
        <w:numPr>
          <w:ilvl w:val="0"/>
          <w:numId w:val="4"/>
        </w:numPr>
        <w:tabs>
          <w:tab w:val="left" w:pos="709" w:leader="none"/>
          <w:tab w:val="left" w:pos="1134" w:leader="none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Затраты на проведение пусконаладочных работ «вхолостую» по объектам производственного и непроизводственного назначения, связанных с получением дохода от реализации товаров (услуг) включаются в Главу 9 «Прочие работы и затраты» (графы 7 и 8) ССР. В соответствии с заданием Заказчика и при обосновании программами ПНР (комплексного опробования оборудования), в сметной стоимости ПНР дополнительно могут учитываться: стоимость материальных, энергетических ресурсов, сырья и полуфабрикатов, используемых при проведении ПНР «вхолостую».</w:t>
      </w:r>
    </w:p>
    <w:p>
      <w:pPr>
        <w:pStyle w:val="ConsPlusNormal1"/>
        <w:numPr>
          <w:ilvl w:val="0"/>
          <w:numId w:val="4"/>
        </w:numPr>
        <w:tabs>
          <w:tab w:val="left" w:pos="709" w:leader="none"/>
          <w:tab w:val="left" w:pos="1134" w:leader="none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Пусконаладочные работы «под нагрузкой» для объектов производственного и непроизводственного назначения, связанных с получением дохода от реализации товаров (услуг) не относятся на сметную стоимость строительства и в сметной документации не учитываются. Исключением являются ПНР на особо опасных, технически сложных и уникальных объектах капитального строительства, где необходимость учета таких затрат определяется заказчиком.</w:t>
      </w:r>
    </w:p>
    <w:p>
      <w:pPr>
        <w:pStyle w:val="ConsPlusNormal1"/>
        <w:tabs>
          <w:tab w:val="left" w:pos="709" w:leader="none"/>
          <w:tab w:val="left" w:pos="1134" w:leader="none"/>
        </w:tabs>
        <w:spacing w:before="40" w:after="4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Данные работы оформляются отдельными локальными сметами в соответствии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с Приложением № 1.5 к Требованиям по оформлению и составлению сметной документации на выполнение строительно-монтажных работ по строительству и реконструкции объектов капитального строительства и включаются в ССР. </w:t>
      </w:r>
    </w:p>
    <w:p>
      <w:pPr>
        <w:pStyle w:val="ListParagraph"/>
        <w:numPr>
          <w:ilvl w:val="0"/>
          <w:numId w:val="6"/>
        </w:numPr>
        <w:tabs>
          <w:tab w:val="clear" w:pos="709"/>
          <w:tab w:val="left" w:pos="1134" w:leader="none"/>
        </w:tabs>
        <w:spacing w:lineRule="auto" w:line="240" w:before="40" w:after="40"/>
        <w:ind w:left="0" w:firstLine="567"/>
        <w:contextualSpacing w:val="false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  <w:shd w:fill="auto" w:val="clear"/>
        </w:rPr>
        <w:t>В ЛС на ПНР коэффициенты, учитывающие условия производства работ, начисляются только на те этапы работ, которые фактически производятся в данных условиях. Долю работ в общих затратах, для начисления коэффициента, принимать в соответствии со структурой пусконаладочных работ, приведенной в Общих положениях сборников на ПНР.</w:t>
      </w:r>
    </w:p>
    <w:p>
      <w:pPr>
        <w:pStyle w:val="ListParagraph"/>
        <w:numPr>
          <w:ilvl w:val="0"/>
          <w:numId w:val="6"/>
        </w:numPr>
        <w:tabs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определении сметных затрат на демонтаж строительных конструкций и оборудования стоимость погрузки, перевозки (от строительной площадки до места утилизации или складирования) и разгрузки строительного мусора и материалов, полученных при разборке строительных конструкций и оборудования, следует учитывать дополнительно, на основании проектной и (или) иной технической документации, проекта организации работ по сносу объекта капитального строительства.</w:t>
      </w:r>
    </w:p>
    <w:p>
      <w:pPr>
        <w:pStyle w:val="ListParagraph"/>
        <w:numPr>
          <w:ilvl w:val="0"/>
          <w:numId w:val="6"/>
        </w:numPr>
        <w:tabs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color w:val="000000"/>
          <w:sz w:val="24"/>
          <w:szCs w:val="24"/>
        </w:rPr>
        <w:t>локальных</w:t>
      </w:r>
      <w:r>
        <w:rPr>
          <w:rFonts w:ascii="Times New Roman" w:hAnsi="Times New Roman"/>
          <w:sz w:val="24"/>
          <w:szCs w:val="24"/>
        </w:rPr>
        <w:t xml:space="preserve"> сметных расчетах построчные и итоговые суммы </w:t>
      </w:r>
      <w:r>
        <w:rPr>
          <w:rFonts w:ascii="Times New Roman" w:hAnsi="Times New Roman"/>
          <w:b/>
          <w:sz w:val="24"/>
          <w:szCs w:val="24"/>
          <w:u w:val="single"/>
        </w:rPr>
        <w:t>округлять:</w:t>
      </w:r>
    </w:p>
    <w:p>
      <w:pPr>
        <w:pStyle w:val="ConsPlusNormal1"/>
        <w:numPr>
          <w:ilvl w:val="0"/>
          <w:numId w:val="4"/>
        </w:numPr>
        <w:tabs>
          <w:tab w:val="left" w:pos="709" w:leader="none"/>
          <w:tab w:val="left" w:pos="1134" w:leader="none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при ресурсно-индексном и ресурсным методах, а также в сметных расчетах на отдельные виды затрат - в рублях </w:t>
      </w:r>
      <w:r>
        <w:rPr>
          <w:rFonts w:cs="Times New Roman" w:ascii="Times New Roman" w:hAnsi="Times New Roman"/>
          <w:b/>
          <w:sz w:val="24"/>
          <w:szCs w:val="24"/>
        </w:rPr>
        <w:t>до целых единиц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ConsPlusNormal1"/>
        <w:numPr>
          <w:ilvl w:val="0"/>
          <w:numId w:val="4"/>
        </w:numPr>
        <w:tabs>
          <w:tab w:val="left" w:pos="709" w:leader="none"/>
          <w:tab w:val="left" w:pos="1134" w:leader="none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объектных сметных расчетах (сметах), сводном сметном расчете и сводке затрат - в рублях с до двух знаков после запятой. Величину НДС не указывать.</w:t>
      </w:r>
    </w:p>
    <w:p>
      <w:pPr>
        <w:pStyle w:val="ListParagraph"/>
        <w:numPr>
          <w:ilvl w:val="0"/>
          <w:numId w:val="6"/>
        </w:numPr>
        <w:tabs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Выходные</w:t>
      </w:r>
      <w:r>
        <w:rPr>
          <w:rFonts w:ascii="Times New Roman" w:hAnsi="Times New Roman"/>
          <w:sz w:val="24"/>
          <w:szCs w:val="24"/>
        </w:rPr>
        <w:t xml:space="preserve"> формы сметных расчетов должны соответствовать Образцу согласно Приложению 1.5.</w:t>
      </w:r>
    </w:p>
    <w:p>
      <w:pPr>
        <w:pStyle w:val="ListParagraph"/>
        <w:numPr>
          <w:ilvl w:val="0"/>
          <w:numId w:val="6"/>
        </w:numPr>
        <w:tabs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сметных расчетах при исключении и добавлении ресурсов (материалов) необходимо данные ресурсы относить в отдельную позицию, не допускается изменение внутри расценки.</w:t>
      </w:r>
    </w:p>
    <w:p>
      <w:pPr>
        <w:pStyle w:val="ListParagraph"/>
        <w:numPr>
          <w:ilvl w:val="0"/>
          <w:numId w:val="6"/>
        </w:numPr>
        <w:tabs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 наличии двух и более сметных расчетов составлять ССР в текущем уровне цен </w:t>
      </w:r>
      <w:r>
        <w:rPr>
          <w:rFonts w:ascii="Times New Roman" w:hAnsi="Times New Roman"/>
          <w:sz w:val="24"/>
          <w:szCs w:val="24"/>
        </w:rPr>
        <w:t xml:space="preserve">по форме </w:t>
      </w:r>
      <w:r>
        <w:rPr>
          <w:rFonts w:ascii="Times New Roman" w:hAnsi="Times New Roman"/>
          <w:color w:val="000000"/>
          <w:sz w:val="24"/>
          <w:szCs w:val="24"/>
        </w:rPr>
        <w:t>Приложения № 1.1 к Требованиям к оформлению и составлению сметной документации на выполнение строительно-монтажных работ по строительству и реконструкции объектов капитального строительства.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 заключений дополнительных соглашений к договору (далее - д/с), ССР необходимо выполнять в накопительной форме с учетом </w:t>
      </w:r>
      <w:r>
        <w:rPr>
          <w:rFonts w:cs="Times New Roman" w:ascii="Times New Roman" w:hAnsi="Times New Roman"/>
          <w:color w:val="000000"/>
          <w:sz w:val="24"/>
          <w:szCs w:val="24"/>
        </w:rPr>
        <w:t>ЛСР (</w:t>
      </w:r>
      <w:r>
        <w:rPr>
          <w:rFonts w:ascii="Times New Roman" w:hAnsi="Times New Roman"/>
          <w:color w:val="000000"/>
          <w:sz w:val="24"/>
          <w:szCs w:val="24"/>
        </w:rPr>
        <w:t xml:space="preserve">ЛС) к основному договору и ко всем заключенным д/с к нему. В итогах ССР (справочно) указывать суммы изменения (уменьшения, увеличения) основного договора на основании заключения д/с, которые определяются как разница между суммой ССР очередного д/с и стоимостью основного договора. Форма ССР с учетом заключения д/с к договору приведена в Приложении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№ 1.2 к </w:t>
      </w:r>
      <w:r>
        <w:rPr>
          <w:rFonts w:ascii="Times New Roman" w:hAnsi="Times New Roman"/>
          <w:color w:val="000000"/>
          <w:sz w:val="24"/>
          <w:szCs w:val="24"/>
        </w:rPr>
        <w:t xml:space="preserve">Требованиям к оформлению и составлению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сметной документации на выполнение строительно-монтажных работ по строительству и реконструкции объектов капитального строительства. 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ЛСР (ЛС) разрабатываются отдельно на исключаемые и дополнительные объемы работ. К сметной документации дополнительно прилагаются и являются ее неотъемлемой частью сопоставительные ведомости изменения сметной стоимости и сопоставительные ведомости изменения объемов работ, подготовленные в соответствии с Образцом по Приложениям №№ 1.3 и 1.4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к Требованиям </w:t>
      </w:r>
      <w:r>
        <w:rPr>
          <w:rFonts w:ascii="Times New Roman" w:hAnsi="Times New Roman"/>
          <w:color w:val="000000"/>
          <w:sz w:val="24"/>
          <w:szCs w:val="24"/>
        </w:rPr>
        <w:t xml:space="preserve">к оформлению и составлению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сметной документации на выполнение строительно-монтажных работ по строительству и реконструкции объектов капитального строительства. 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ЛС являются приложениями к ССР. Нумерация приложений указывается по мере включения ЛС в ССР в накопительной форме - по порядку.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Разнесение затрат (сумм ЛС) по графам и главам ССР осуществлять в соответствии с указаниями Методики определения сметной стоимости строительства.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ССР, построчные и итоговые суммы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указывать </w:t>
      </w:r>
      <w:r>
        <w:rPr>
          <w:rFonts w:ascii="Times New Roman" w:hAnsi="Times New Roman"/>
          <w:color w:val="000000"/>
          <w:sz w:val="24"/>
          <w:szCs w:val="24"/>
        </w:rPr>
        <w:t>в рублях с округлением до двух знаков после запятой. Величину НДС не указывать.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 выполнения Подрядчиком полного комплекса пусконаладочных работ («вхолостую» и «под нагрузкой») сумму затрат на выполнение пусконаладочных работ «под нагрузкой» включать за итогом ССР. Таким образом, общая стоимость работ по договору (дополнительному соглашению) будет включать в себя все затраты Подрядчика в рамках конкретного договора, включая пусконаладочные работы «под нагрузкой» (для работ, выполняемых в рамках ТПиР). 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9"/>
          <w:tab w:val="left" w:pos="1134" w:leader="none"/>
        </w:tabs>
        <w:ind w:left="0" w:firstLine="567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4"/>
          <w:szCs w:val="24"/>
          <w:shd w:fill="auto" w:val="clear"/>
        </w:rPr>
        <w:t>В случае если договором определена только предельная цена, то в ССР указываются составляющие стоимости в соответствии с договором.</w:t>
      </w:r>
    </w:p>
    <w:p>
      <w:pPr>
        <w:pStyle w:val="ListParagraph"/>
        <w:numPr>
          <w:ilvl w:val="0"/>
          <w:numId w:val="6"/>
        </w:numPr>
        <w:tabs>
          <w:tab w:val="left" w:pos="709" w:leader="none"/>
          <w:tab w:val="left" w:pos="1134" w:leader="none"/>
          <w:tab w:val="left" w:pos="1276" w:leader="none"/>
        </w:tabs>
        <w:spacing w:lineRule="auto" w:line="240" w:before="40" w:after="40"/>
        <w:ind w:left="0" w:firstLine="567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Сметная документация должна быть представлена в двух вариантах:</w:t>
      </w:r>
    </w:p>
    <w:p>
      <w:pPr>
        <w:pStyle w:val="ConsPlusNormal1"/>
        <w:numPr>
          <w:ilvl w:val="0"/>
          <w:numId w:val="4"/>
        </w:numPr>
        <w:tabs>
          <w:tab w:val="left" w:pos="709" w:leader="none"/>
          <w:tab w:val="left" w:pos="851" w:leader="none"/>
          <w:tab w:val="left" w:pos="1134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бумажном носителе (количество указано в конкурсной документации) Образец ЛСР в соответствии с приложением № 1.5 к Требованиям к оформлению и составлению сметной документации на выполнение строительно-монтажных работ по строительству и реконструкции объектов капитального строительства;</w:t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600" w:charSpace="36864"/>
        </w:sectPr>
        <w:pStyle w:val="ConsPlusNormal1"/>
        <w:numPr>
          <w:ilvl w:val="0"/>
          <w:numId w:val="4"/>
        </w:numPr>
        <w:tabs>
          <w:tab w:val="left" w:pos="709" w:leader="none"/>
          <w:tab w:val="left" w:pos="851" w:leader="none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электронном носителе (в формате «xml» ПК «Гранд-Смета», «Excel», «pdf»), полностью соответствующему, бумажному варианту. Сметная документация в формате «Excel» должна быть представлена в одном файле с внесением ССР, ЛСР и других расчетов на отдельные листы (вкладки) документа.</w:t>
      </w:r>
      <w:r>
        <w:br w:type="page"/>
      </w:r>
    </w:p>
    <w:p>
      <w:pPr>
        <w:pStyle w:val="ListParagraph"/>
        <w:spacing w:lineRule="auto" w:line="240" w:before="0" w:after="0"/>
        <w:ind w:left="928" w:right="666" w:hanging="0"/>
        <w:contextualSpacing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Приложение №1.1 </w:t>
      </w:r>
    </w:p>
    <w:p>
      <w:pPr>
        <w:pStyle w:val="ConsPlusNormal1"/>
        <w:ind w:left="928" w:right="666" w:hanging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к Требованиям к оформлению и составлению сметной </w:t>
      </w:r>
    </w:p>
    <w:p>
      <w:pPr>
        <w:pStyle w:val="ConsPlusNormal1"/>
        <w:ind w:left="928" w:right="666" w:hanging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документации на выполнение работ по строительству и реконструкции </w:t>
      </w:r>
    </w:p>
    <w:p>
      <w:pPr>
        <w:pStyle w:val="ConsPlusNormal1"/>
        <w:ind w:left="928" w:right="666" w:hanging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объектов капитального строительства  </w:t>
      </w:r>
    </w:p>
    <w:tbl>
      <w:tblPr>
        <w:tblW w:w="158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38"/>
        <w:gridCol w:w="73"/>
        <w:gridCol w:w="1635"/>
        <w:gridCol w:w="583"/>
        <w:gridCol w:w="2842"/>
        <w:gridCol w:w="105"/>
        <w:gridCol w:w="12"/>
        <w:gridCol w:w="1525"/>
        <w:gridCol w:w="130"/>
        <w:gridCol w:w="14"/>
        <w:gridCol w:w="1677"/>
        <w:gridCol w:w="68"/>
        <w:gridCol w:w="14"/>
        <w:gridCol w:w="1840"/>
        <w:gridCol w:w="11"/>
        <w:gridCol w:w="38"/>
        <w:gridCol w:w="1930"/>
        <w:gridCol w:w="19"/>
        <w:gridCol w:w="300"/>
        <w:gridCol w:w="1667"/>
        <w:gridCol w:w="10"/>
        <w:gridCol w:w="101"/>
      </w:tblGrid>
      <w:tr>
        <w:trPr>
          <w:trHeight w:val="312" w:hRule="atLeast"/>
        </w:trPr>
        <w:tc>
          <w:tcPr>
            <w:tcW w:w="352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ОБРАЗЕЦ</w:t>
            </w:r>
          </w:p>
        </w:tc>
        <w:tc>
          <w:tcPr>
            <w:tcW w:w="294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5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85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965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Приложение __ от ______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 Договору № _________ от ______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352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СОГЛАСОВАНО:</w:t>
            </w:r>
          </w:p>
        </w:tc>
        <w:tc>
          <w:tcPr>
            <w:tcW w:w="294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W w:w="166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5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819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УТВЕРЖДАЮ: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352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___________________ФИО</w:t>
            </w:r>
          </w:p>
        </w:tc>
        <w:tc>
          <w:tcPr>
            <w:tcW w:w="294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5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819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___________________ФИО       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6488" w:type="dxa"/>
            <w:gridSpan w:val="7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"_______" _____________ 20___ г.</w:t>
            </w:r>
          </w:p>
        </w:tc>
        <w:tc>
          <w:tcPr>
            <w:tcW w:w="166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5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815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"______" ____________________ 20__ г.</w:t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65" w:hRule="atLeast"/>
        </w:trPr>
        <w:tc>
          <w:tcPr>
            <w:tcW w:w="123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29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94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7259" w:type="dxa"/>
            <w:gridSpan w:val="11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Сводный сметный расчет в сумме:______</w:t>
            </w:r>
          </w:p>
        </w:tc>
        <w:tc>
          <w:tcPr>
            <w:tcW w:w="198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руб. без НДС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23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29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94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280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СВОДНЫЙ СМЕТНЫЙ РАСЧЕТ </w:t>
            </w:r>
          </w:p>
        </w:tc>
        <w:tc>
          <w:tcPr>
            <w:tcW w:w="197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08" w:hRule="atLeast"/>
        </w:trPr>
        <w:tc>
          <w:tcPr>
            <w:tcW w:w="1238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291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206" w:type="dxa"/>
            <w:gridSpan w:val="13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8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291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947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280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(наименование стройки)</w:t>
            </w:r>
          </w:p>
        </w:tc>
        <w:tc>
          <w:tcPr>
            <w:tcW w:w="197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8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678" w:type="dxa"/>
            <w:gridSpan w:val="1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Составлен в ценах, соответствующих периоду выполнения работ по договору</w:t>
            </w:r>
          </w:p>
        </w:tc>
        <w:tc>
          <w:tcPr>
            <w:tcW w:w="18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8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7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sz w:val="18"/>
                <w:szCs w:val="18"/>
              </w:rPr>
              <w:t>пп</w:t>
            </w:r>
          </w:p>
        </w:tc>
        <w:tc>
          <w:tcPr>
            <w:tcW w:w="229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Номера сметных расчетов и смет</w:t>
            </w:r>
          </w:p>
        </w:tc>
        <w:tc>
          <w:tcPr>
            <w:tcW w:w="2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глав, объектов, работ и затрат</w:t>
            </w:r>
          </w:p>
        </w:tc>
        <w:tc>
          <w:tcPr>
            <w:tcW w:w="7259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стоимость, руб.</w:t>
            </w:r>
          </w:p>
        </w:tc>
        <w:tc>
          <w:tcPr>
            <w:tcW w:w="198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Общая сметная стоимость, руб.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291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94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7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строительных работ</w:t>
            </w:r>
          </w:p>
        </w:tc>
        <w:tc>
          <w:tcPr>
            <w:tcW w:w="175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85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оборудования, мебели, инвентаря</w:t>
            </w:r>
          </w:p>
        </w:tc>
        <w:tc>
          <w:tcPr>
            <w:tcW w:w="197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прочих</w:t>
            </w:r>
          </w:p>
        </w:tc>
        <w:tc>
          <w:tcPr>
            <w:tcW w:w="198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69" w:hRule="atLeast"/>
        </w:trPr>
        <w:tc>
          <w:tcPr>
            <w:tcW w:w="12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291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94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7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5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85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7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91" w:type="dxa"/>
            <w:gridSpan w:val="3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947" w:type="dxa"/>
            <w:gridSpan w:val="2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67" w:type="dxa"/>
            <w:gridSpan w:val="3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59" w:type="dxa"/>
            <w:gridSpan w:val="3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854" w:type="dxa"/>
            <w:gridSpan w:val="2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979" w:type="dxa"/>
            <w:gridSpan w:val="3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986" w:type="dxa"/>
            <w:gridSpan w:val="3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573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Глава 2. Основные объекты строительства</w:t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9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02-01-01</w:t>
            </w:r>
          </w:p>
        </w:tc>
        <w:tc>
          <w:tcPr>
            <w:tcW w:w="294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…</w:t>
            </w:r>
          </w:p>
        </w:tc>
        <w:tc>
          <w:tcPr>
            <w:tcW w:w="166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86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5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Главе 2. "Основные объекты строительства"</w:t>
            </w:r>
          </w:p>
        </w:tc>
        <w:tc>
          <w:tcPr>
            <w:tcW w:w="166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5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Главам 1-12</w:t>
            </w:r>
          </w:p>
        </w:tc>
        <w:tc>
          <w:tcPr>
            <w:tcW w:w="166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1573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Непредвиденные затраты</w:t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9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4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5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учетом "Непредвиденные затраты"</w:t>
            </w:r>
          </w:p>
        </w:tc>
        <w:tc>
          <w:tcPr>
            <w:tcW w:w="166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5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сводному расчету</w:t>
            </w:r>
          </w:p>
        </w:tc>
        <w:tc>
          <w:tcPr>
            <w:tcW w:w="166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75" w:hRule="atLeast"/>
        </w:trPr>
        <w:tc>
          <w:tcPr>
            <w:tcW w:w="1311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Составил:</w:t>
            </w:r>
          </w:p>
        </w:tc>
        <w:tc>
          <w:tcPr>
            <w:tcW w:w="3425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42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1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1" w:type="dxa"/>
            <w:gridSpan w:val="5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49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78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1311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3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425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34" w:type="dxa"/>
            <w:gridSpan w:val="11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49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78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1311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3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Проверил:</w:t>
            </w:r>
          </w:p>
        </w:tc>
        <w:tc>
          <w:tcPr>
            <w:tcW w:w="3425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42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1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1" w:type="dxa"/>
            <w:gridSpan w:val="5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49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78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>
        <w:trPr>
          <w:trHeight w:val="724" w:hRule="atLeast"/>
        </w:trPr>
        <w:tc>
          <w:tcPr>
            <w:tcW w:w="1311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3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/>
              <w:object>
                <v:shapetype id="_x0000_tole_rId2" coordsize="21600,21600" o:spt="ole_rId2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2" type="_x0000_tole_rId2" style="width:68.3pt;height:43.8pt;mso-wrap-distance-right:0pt" filled="f" o:ole="">
                  <v:imagedata r:id="rId3" o:title=""/>
                </v:shape>
                <o:OLEObject Type="Embed" ProgID="Excel.Sheet.12" ShapeID="ole_rId2" DrawAspect="Icon" ObjectID="_21011905" r:id="rId2"/>
              </w:object>
            </w:r>
          </w:p>
        </w:tc>
        <w:tc>
          <w:tcPr>
            <w:tcW w:w="3425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34" w:type="dxa"/>
            <w:gridSpan w:val="11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49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78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</w:tr>
    </w:tbl>
    <w:p>
      <w:pPr>
        <w:sectPr>
          <w:footerReference w:type="default" r:id="rId4"/>
          <w:type w:val="nextPage"/>
          <w:pgSz w:orient="landscape" w:w="16838" w:h="11906"/>
          <w:pgMar w:left="425" w:right="851" w:gutter="0" w:header="0" w:top="851" w:footer="709" w:bottom="76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ind w:left="397" w:firstLine="720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>ОБРАЗЕЦ</w:t>
      </w:r>
      <w:r>
        <w:rPr>
          <w:rFonts w:ascii="Times New Roman" w:hAnsi="Times New Roman"/>
        </w:rPr>
        <w:t xml:space="preserve">             </w:t>
      </w:r>
    </w:p>
    <w:p>
      <w:pPr>
        <w:pStyle w:val="Normal"/>
        <w:spacing w:lineRule="auto" w:line="240" w:before="0" w:after="0"/>
        <w:ind w:left="8646" w:firstLine="720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Приложение №1.2 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Требованиям к оформлению и составлению 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сметной документации на строительство и реконструкцию 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объектов капитального строительства</w:t>
      </w:r>
    </w:p>
    <w:tbl>
      <w:tblPr>
        <w:tblW w:w="16199" w:type="dxa"/>
        <w:jc w:val="left"/>
        <w:tblInd w:w="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2"/>
        <w:gridCol w:w="219"/>
        <w:gridCol w:w="1445"/>
        <w:gridCol w:w="220"/>
        <w:gridCol w:w="3264"/>
        <w:gridCol w:w="235"/>
        <w:gridCol w:w="217"/>
        <w:gridCol w:w="1207"/>
        <w:gridCol w:w="1843"/>
        <w:gridCol w:w="246"/>
        <w:gridCol w:w="823"/>
        <w:gridCol w:w="917"/>
        <w:gridCol w:w="256"/>
        <w:gridCol w:w="536"/>
        <w:gridCol w:w="217"/>
        <w:gridCol w:w="844"/>
        <w:gridCol w:w="413"/>
        <w:gridCol w:w="26"/>
        <w:gridCol w:w="444"/>
        <w:gridCol w:w="439"/>
        <w:gridCol w:w="217"/>
        <w:gridCol w:w="716"/>
        <w:gridCol w:w="731"/>
      </w:tblGrid>
      <w:tr>
        <w:trPr>
          <w:trHeight w:val="78" w:hRule="atLeast"/>
        </w:trPr>
        <w:tc>
          <w:tcPr>
            <w:tcW w:w="260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СОГЛАСОВАНО:</w:t>
            </w:r>
          </w:p>
        </w:tc>
        <w:tc>
          <w:tcPr>
            <w:tcW w:w="3716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3296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96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583" w:type="dxa"/>
            <w:gridSpan w:val="10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УТВЕРЖДАЮ:</w:t>
            </w:r>
          </w:p>
        </w:tc>
      </w:tr>
      <w:tr>
        <w:trPr>
          <w:trHeight w:val="312" w:hRule="atLeast"/>
        </w:trPr>
        <w:tc>
          <w:tcPr>
            <w:tcW w:w="2606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 ФИО</w:t>
            </w:r>
          </w:p>
        </w:tc>
        <w:tc>
          <w:tcPr>
            <w:tcW w:w="3716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296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96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583" w:type="dxa"/>
            <w:gridSpan w:val="10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________________ФИО</w:t>
            </w:r>
          </w:p>
        </w:tc>
      </w:tr>
      <w:tr>
        <w:trPr>
          <w:trHeight w:val="312" w:hRule="atLeast"/>
        </w:trPr>
        <w:tc>
          <w:tcPr>
            <w:tcW w:w="6322" w:type="dxa"/>
            <w:gridSpan w:val="7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"___" _____________ 20__ г.</w:t>
            </w:r>
          </w:p>
        </w:tc>
        <w:tc>
          <w:tcPr>
            <w:tcW w:w="3296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96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583" w:type="dxa"/>
            <w:gridSpan w:val="10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"___" _____________ 20__ г.</w:t>
            </w:r>
          </w:p>
        </w:tc>
      </w:tr>
      <w:tr>
        <w:trPr>
          <w:trHeight w:val="312" w:hRule="atLeast"/>
        </w:trPr>
        <w:tc>
          <w:tcPr>
            <w:tcW w:w="941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64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336" w:type="dxa"/>
            <w:gridSpan w:val="5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1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83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3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3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8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59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095" w:type="dxa"/>
            <w:gridSpan w:val="9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Сводный сметный расчет в сумме </w:t>
            </w:r>
          </w:p>
        </w:tc>
        <w:tc>
          <w:tcPr>
            <w:tcW w:w="184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руб. без НДС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64" w:type="dxa"/>
            <w:gridSpan w:val="15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СВОДНЫЙ СМЕТНЫЙ РАСЧЕТ </w:t>
            </w:r>
          </w:p>
        </w:tc>
        <w:tc>
          <w:tcPr>
            <w:tcW w:w="181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72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364" w:type="dxa"/>
            <w:gridSpan w:val="18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72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8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488" w:type="dxa"/>
            <w:gridSpan w:val="7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(наименование стройки)</w:t>
            </w:r>
          </w:p>
        </w:tc>
        <w:tc>
          <w:tcPr>
            <w:tcW w:w="2266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4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67" w:type="dxa"/>
            <w:gridSpan w:val="15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Составлен в текущих ценах, соответствующих периоду выполнения работ по договору</w:t>
            </w:r>
          </w:p>
        </w:tc>
        <w:tc>
          <w:tcPr>
            <w:tcW w:w="2383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6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84" w:hRule="atLeast"/>
        </w:trPr>
        <w:tc>
          <w:tcPr>
            <w:tcW w:w="72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8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5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66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4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84" w:hRule="atLeast"/>
        </w:trPr>
        <w:tc>
          <w:tcPr>
            <w:tcW w:w="72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8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5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66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4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sz w:val="18"/>
                <w:szCs w:val="18"/>
              </w:rPr>
              <w:t>пп</w:t>
            </w:r>
          </w:p>
        </w:tc>
        <w:tc>
          <w:tcPr>
            <w:tcW w:w="1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Номера сметных расчетов и смет</w:t>
            </w:r>
          </w:p>
        </w:tc>
        <w:tc>
          <w:tcPr>
            <w:tcW w:w="34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глав, объектов, работ и затрат</w:t>
            </w:r>
          </w:p>
        </w:tc>
        <w:tc>
          <w:tcPr>
            <w:tcW w:w="7754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стоимость, руб.</w:t>
            </w:r>
          </w:p>
        </w:tc>
        <w:tc>
          <w:tcPr>
            <w:tcW w:w="184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13" w:firstLine="7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Общая сметная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13" w:firstLine="7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стоимость, руб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597" w:hRule="atLeast"/>
        </w:trPr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48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5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строитель-</w:t>
              <w:br/>
              <w:t>ных работ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98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оборудования, мебели, инвентаря</w:t>
            </w:r>
          </w:p>
        </w:tc>
        <w:tc>
          <w:tcPr>
            <w:tcW w:w="226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прочих</w:t>
            </w:r>
          </w:p>
        </w:tc>
        <w:tc>
          <w:tcPr>
            <w:tcW w:w="1842" w:type="dxa"/>
            <w:gridSpan w:val="5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0" w:hanging="595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664" w:type="dxa"/>
            <w:gridSpan w:val="2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484" w:type="dxa"/>
            <w:gridSpan w:val="2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59" w:type="dxa"/>
            <w:gridSpan w:val="3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986" w:type="dxa"/>
            <w:gridSpan w:val="3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66" w:type="dxa"/>
            <w:gridSpan w:val="5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842" w:type="dxa"/>
            <w:gridSpan w:val="5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546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Глава 2. Основные объекты 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546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Сметы основного договора: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6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/>
                <w:sz w:val="18"/>
                <w:szCs w:val="18"/>
              </w:rPr>
              <w:t>02-01-01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6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/>
                <w:sz w:val="18"/>
                <w:szCs w:val="18"/>
              </w:rPr>
              <w:t>02-01-02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1546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Исключить дополнительным соглашением №___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/>
                <w:sz w:val="18"/>
                <w:szCs w:val="18"/>
              </w:rPr>
              <w:t>02-01-02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исключено Дополнительным соглашением №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435" w:hRule="atLeast"/>
        </w:trPr>
        <w:tc>
          <w:tcPr>
            <w:tcW w:w="1546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Включить дополнительным соглашением №____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70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/>
                <w:sz w:val="18"/>
                <w:szCs w:val="18"/>
              </w:rPr>
              <w:t>02-01-02/1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включено Дополнительным соглашением №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222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Главе 2. "Основные объекты"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сводному сметному расчету, без учета НДС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сумма основного договора (без НДС)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771" w:hRule="atLeast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ДС №___ от ___.__.20___г.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сумма увеличения основного договора на основании дополнительного соглашения № ___ без НДС</w:t>
            </w:r>
          </w:p>
        </w:tc>
        <w:tc>
          <w:tcPr>
            <w:tcW w:w="16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  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75" w:hRule="atLeast"/>
        </w:trPr>
        <w:tc>
          <w:tcPr>
            <w:tcW w:w="72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Составил: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48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88" w:type="dxa"/>
            <w:gridSpan w:val="7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66" w:type="dxa"/>
            <w:gridSpan w:val="5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Проверил: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48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88" w:type="dxa"/>
            <w:gridSpan w:val="7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66" w:type="dxa"/>
            <w:gridSpan w:val="5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5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31" w:type="dxa"/>
            <w:tcBorders/>
          </w:tcPr>
          <w:p>
            <w:pPr>
              <w:pStyle w:val="Normal"/>
              <w:widowControl w:val="false"/>
              <w:spacing w:before="0" w:after="200"/>
              <w:contextualSpacing/>
              <w:rPr/>
            </w:pPr>
            <w:r>
              <w:rPr/>
            </w:r>
          </w:p>
        </w:tc>
      </w:tr>
    </w:tbl>
    <w:p>
      <w:pPr>
        <w:pStyle w:val="ConsPlusNormal1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sectPr>
          <w:footerReference w:type="default" r:id="rId7"/>
          <w:footerReference w:type="first" r:id="rId8"/>
          <w:type w:val="nextPage"/>
          <w:pgSz w:orient="landscape" w:w="16838" w:h="11906"/>
          <w:pgMar w:left="425" w:right="851" w:gutter="0" w:header="0" w:top="1276" w:footer="709" w:bottom="766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auto" w:line="240" w:before="0" w:after="0"/>
        <w:contextualSpacing/>
        <w:rPr>
          <w:rFonts w:ascii="Times New Roman" w:hAnsi="Times New Roman" w:cs="Arial"/>
          <w:sz w:val="20"/>
          <w:szCs w:val="20"/>
        </w:rPr>
      </w:pPr>
      <w:r>
        <w:rPr/>
        <w:object>
          <v:shapetype id="_x0000_tole_rId5" coordsize="21600,21600" o:spt="ole_rId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5" type="_x0000_tole_rId5" style="width:79.4pt;height:50.45pt;mso-wrap-distance-right:0pt" filled="f" o:ole="">
            <v:imagedata r:id="rId6" o:title=""/>
          </v:shape>
          <o:OLEObject Type="Embed" ProgID="Excel.Sheet.12" ShapeID="ole_rId5" DrawAspect="Icon" ObjectID="_1799043095" r:id="rId5"/>
        </w:object>
      </w:r>
    </w:p>
    <w:p>
      <w:pPr>
        <w:pStyle w:val="Normal"/>
        <w:spacing w:lineRule="auto" w:line="240" w:before="0" w:after="0"/>
        <w:ind w:left="357" w:hanging="0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  <w:bookmarkStart w:id="0" w:name="P2746"/>
      <w:bookmarkStart w:id="1" w:name="P2736"/>
      <w:bookmarkStart w:id="2" w:name="P2566"/>
      <w:bookmarkStart w:id="3" w:name="P2546"/>
      <w:bookmarkStart w:id="4" w:name="P2530"/>
      <w:bookmarkStart w:id="5" w:name="P2526"/>
      <w:bookmarkStart w:id="6" w:name="P2529"/>
      <w:bookmarkStart w:id="7" w:name="P3258"/>
      <w:bookmarkStart w:id="8" w:name="P2945"/>
      <w:bookmarkStart w:id="9" w:name="P2616"/>
      <w:bookmarkStart w:id="10" w:name="P2531"/>
      <w:bookmarkStart w:id="11" w:name="P2506"/>
      <w:bookmarkStart w:id="12" w:name="P2522"/>
      <w:bookmarkStart w:id="13" w:name="P2523"/>
      <w:bookmarkStart w:id="14" w:name="P2524"/>
      <w:bookmarkStart w:id="15" w:name="P2525"/>
      <w:bookmarkStart w:id="16" w:name="P2527"/>
      <w:bookmarkStart w:id="17" w:name="P2528"/>
      <w:bookmarkStart w:id="18" w:name="P2746"/>
      <w:bookmarkStart w:id="19" w:name="P2736"/>
      <w:bookmarkStart w:id="20" w:name="P2566"/>
      <w:bookmarkStart w:id="21" w:name="P2546"/>
      <w:bookmarkStart w:id="22" w:name="P2530"/>
      <w:bookmarkStart w:id="23" w:name="P2526"/>
      <w:bookmarkStart w:id="24" w:name="P2529"/>
      <w:bookmarkStart w:id="25" w:name="P3258"/>
      <w:bookmarkStart w:id="26" w:name="P2945"/>
      <w:bookmarkStart w:id="27" w:name="P2616"/>
      <w:bookmarkStart w:id="28" w:name="P2531"/>
      <w:bookmarkStart w:id="29" w:name="P2506"/>
      <w:bookmarkStart w:id="30" w:name="P2522"/>
      <w:bookmarkStart w:id="31" w:name="P2523"/>
      <w:bookmarkStart w:id="32" w:name="P2524"/>
      <w:bookmarkStart w:id="33" w:name="P2525"/>
      <w:bookmarkStart w:id="34" w:name="P2527"/>
      <w:bookmarkStart w:id="35" w:name="P2528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>
      <w:pPr>
        <w:pStyle w:val="Normal"/>
        <w:spacing w:lineRule="auto" w:line="240" w:before="0" w:after="0"/>
        <w:ind w:left="426" w:hanging="426"/>
        <w:contextualSpacing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ОБРАЗЕЦ</w:t>
      </w:r>
    </w:p>
    <w:p>
      <w:pPr>
        <w:pStyle w:val="Normal"/>
        <w:spacing w:lineRule="auto" w:line="240" w:before="0" w:after="0"/>
        <w:ind w:left="5811" w:firstLine="720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Приложение №1.3 </w:t>
      </w:r>
    </w:p>
    <w:p>
      <w:pPr>
        <w:pStyle w:val="ConsPlusNormal1"/>
        <w:ind w:left="5811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к Требованиям к оформлению и составлению               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сметной документации на выполнение работ 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строительству и реконструкции объектов капитального строительства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№___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дополнительному соглашению от ___ № ___</w:t>
      </w:r>
    </w:p>
    <w:p>
      <w:pPr>
        <w:pStyle w:val="ConsPlusNormal1"/>
        <w:ind w:left="5811" w:firstLine="7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</w:t>
      </w:r>
      <w:r>
        <w:rPr>
          <w:rFonts w:ascii="Times New Roman" w:hAnsi="Times New Roman"/>
        </w:rPr>
        <w:t xml:space="preserve">к договору от_______№_____ </w:t>
      </w:r>
    </w:p>
    <w:p>
      <w:pPr>
        <w:pStyle w:val="ConsPlusNormal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Сопоставительная ведомость изменения сметной стоимости</w:t>
      </w:r>
    </w:p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tbl>
      <w:tblPr>
        <w:tblW w:w="10206" w:type="dxa"/>
        <w:jc w:val="left"/>
        <w:tblInd w:w="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424"/>
        <w:gridCol w:w="850"/>
        <w:gridCol w:w="851"/>
        <w:gridCol w:w="1276"/>
        <w:gridCol w:w="1276"/>
        <w:gridCol w:w="1701"/>
        <w:gridCol w:w="1711"/>
        <w:gridCol w:w="2115"/>
      </w:tblGrid>
      <w:tr>
        <w:trPr>
          <w:trHeight w:val="433" w:hRule="atLeast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стоимость, тыс. руб.</w:t>
            </w:r>
          </w:p>
        </w:tc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Разница в сметной стоимости, руб.</w:t>
            </w:r>
          </w:p>
        </w:tc>
        <w:tc>
          <w:tcPr>
            <w:tcW w:w="2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Обоснование изменений сметной стоимости</w:t>
            </w:r>
          </w:p>
        </w:tc>
      </w:tr>
      <w:tr>
        <w:trPr/>
        <w:tc>
          <w:tcPr>
            <w:tcW w:w="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 w:eastAsia="Calibri"/>
                <w:sz w:val="18"/>
                <w:szCs w:val="18"/>
                <w:lang w:eastAsia="en-US"/>
              </w:rPr>
            </w:pPr>
            <w:r>
              <w:rPr>
                <w:rFonts w:eastAsia="Calibri" w:ascii="Times New Roman" w:hAnsi="Times New Roman"/>
                <w:sz w:val="18"/>
                <w:szCs w:val="18"/>
                <w:lang w:eastAsia="en-US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шифр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sz w:val="18"/>
                <w:szCs w:val="18"/>
              </w:rPr>
              <w:t>позиции сметного расчета (сметы) в ССР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подлежащая включению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подлежащая исключению</w:t>
            </w:r>
          </w:p>
        </w:tc>
        <w:tc>
          <w:tcPr>
            <w:tcW w:w="1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 w:eastAsia="Calibri"/>
                <w:sz w:val="18"/>
                <w:szCs w:val="18"/>
                <w:lang w:eastAsia="en-US"/>
              </w:rPr>
            </w:pPr>
            <w:r>
              <w:rPr>
                <w:rFonts w:eastAsia="Calibri" w:ascii="Times New Roman" w:hAnsi="Times New Roman"/>
                <w:sz w:val="18"/>
                <w:szCs w:val="18"/>
                <w:lang w:eastAsia="en-US"/>
              </w:rPr>
            </w:r>
          </w:p>
        </w:tc>
        <w:tc>
          <w:tcPr>
            <w:tcW w:w="21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 w:eastAsia="Calibri"/>
                <w:sz w:val="18"/>
                <w:szCs w:val="18"/>
                <w:lang w:eastAsia="en-US"/>
              </w:rPr>
            </w:pPr>
            <w:r>
              <w:rPr>
                <w:rFonts w:eastAsia="Calibri" w:ascii="Times New Roman" w:hAnsi="Times New Roman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left="357" w:firstLine="720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br w:type="page"/>
      </w:r>
    </w:p>
    <w:p>
      <w:pPr>
        <w:pStyle w:val="Normal"/>
        <w:spacing w:lineRule="auto" w:line="240" w:before="0" w:after="0"/>
        <w:ind w:left="357" w:firstLine="720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Приложение №1.4 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Требованиям к оформлению и составлению 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сметной документации на выполнение работ 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строительству и реконструкции объектов капитального строительства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№___</w:t>
      </w:r>
    </w:p>
    <w:p>
      <w:pPr>
        <w:pStyle w:val="ConsPlusNormal1"/>
        <w:ind w:left="5811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дополнительному соглашению от ___ № ___</w:t>
      </w:r>
    </w:p>
    <w:p>
      <w:pPr>
        <w:pStyle w:val="ConsPlusNormal1"/>
        <w:ind w:left="5811" w:firstLine="7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договору от_______№_____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Сопоставительная ведомость объемов работ</w:t>
      </w:r>
    </w:p>
    <w:p>
      <w:pPr>
        <w:pStyle w:val="ConsPlusNormal1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ConsPlusNormal1"/>
        <w:jc w:val="center"/>
        <w:rPr>
          <w:rFonts w:ascii="Times New Roman" w:hAnsi="Times New Roman" w:cs="Times New Roman"/>
          <w:b/>
          <w:color w:val="auto"/>
          <w:shd w:fill="auto" w:val="clear"/>
        </w:rPr>
      </w:pPr>
      <w:r>
        <w:rPr>
          <w:rFonts w:cs="Times New Roman" w:ascii="Times New Roman" w:hAnsi="Times New Roman"/>
          <w:b/>
          <w:color w:val="000000"/>
          <w:shd w:fill="auto" w:val="clear"/>
        </w:rPr>
      </w:r>
    </w:p>
    <w:p>
      <w:pPr>
        <w:pStyle w:val="ConsPlusNormal1"/>
        <w:jc w:val="both"/>
        <w:rPr>
          <w:b/>
          <w:color w:val="auto"/>
          <w:shd w:fill="auto" w:val="clear"/>
        </w:rPr>
      </w:pPr>
      <w:r>
        <w:rPr>
          <w:b/>
          <w:color w:val="000000"/>
          <w:shd w:fill="auto" w:val="clear"/>
        </w:rPr>
      </w:r>
    </w:p>
    <w:tbl>
      <w:tblPr>
        <w:tblW w:w="10773" w:type="dxa"/>
        <w:jc w:val="left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5"/>
        <w:gridCol w:w="709"/>
        <w:gridCol w:w="851"/>
        <w:gridCol w:w="1208"/>
        <w:gridCol w:w="916"/>
        <w:gridCol w:w="850"/>
        <w:gridCol w:w="853"/>
        <w:gridCol w:w="851"/>
        <w:gridCol w:w="851"/>
        <w:gridCol w:w="706"/>
        <w:gridCol w:w="567"/>
        <w:gridCol w:w="850"/>
        <w:gridCol w:w="1135"/>
      </w:tblGrid>
      <w:tr>
        <w:trPr>
          <w:trHeight w:val="880" w:hRule="atLeast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62" w:right="0" w:hanging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 xml:space="preserve">№№ </w:t>
            </w: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пп</w:t>
            </w:r>
          </w:p>
        </w:tc>
        <w:tc>
          <w:tcPr>
            <w:tcW w:w="3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Данные сметного расчета (сметы)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Наименование работ и затрат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63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Ед. изм.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Объем работ в сметной документации</w:t>
            </w: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Изменение объемов работ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Обоснование изменений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1360" w:right="0" w:hanging="1416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Примечание</w:t>
            </w:r>
          </w:p>
        </w:tc>
      </w:tr>
      <w:tr>
        <w:trPr>
          <w:trHeight w:val="62" w:hRule="atLeast"/>
        </w:trPr>
        <w:tc>
          <w:tcPr>
            <w:tcW w:w="4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797" w:right="0" w:firstLine="72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шифр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64" w:right="0" w:hanging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Наименование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 xml:space="preserve">№ </w:t>
            </w: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позиции в сметном расчете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70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>
          <w:trHeight w:val="1308" w:hRule="atLeast"/>
        </w:trPr>
        <w:tc>
          <w:tcPr>
            <w:tcW w:w="4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до изменений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с учетом изменений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8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firstLine="79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до изменений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с учетом изменений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-800" w:right="0" w:firstLine="72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увели</w:t>
            </w:r>
          </w:p>
          <w:p>
            <w:pPr>
              <w:pStyle w:val="ConsPlusNormal1"/>
              <w:widowControl w:val="false"/>
              <w:ind w:left="-800" w:right="0" w:firstLine="72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чение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left="0" w:right="0" w:hanging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  <w:t>снижение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32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color w:val="auto"/>
                <w:sz w:val="18"/>
                <w:szCs w:val="1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  <w:shd w:fill="auto" w:val="clear"/>
              </w:rPr>
            </w:r>
          </w:p>
        </w:tc>
      </w:tr>
    </w:tbl>
    <w:p>
      <w:pPr>
        <w:sectPr>
          <w:footerReference w:type="default" r:id="rId9"/>
          <w:footerReference w:type="first" r:id="rId10"/>
          <w:type w:val="nextPage"/>
          <w:pgSz w:w="11906" w:h="16838"/>
          <w:pgMar w:left="426" w:right="924" w:gutter="0" w:header="0" w:top="284" w:footer="709" w:bottom="766"/>
          <w:pgNumType w:fmt="decimal"/>
          <w:formProt w:val="false"/>
          <w:textDirection w:val="lrTb"/>
          <w:docGrid w:type="default" w:linePitch="360" w:charSpace="0"/>
        </w:sectPr>
        <w:pStyle w:val="ConsPlusNormal1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ind w:left="5811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Приложение № 1 </w:t>
      </w:r>
    </w:p>
    <w:p>
      <w:pPr>
        <w:pStyle w:val="Normal"/>
        <w:spacing w:lineRule="auto" w:line="240" w:before="0" w:after="0"/>
        <w:ind w:left="5811" w:firstLine="142"/>
        <w:jc w:val="right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к Требованиям к оформлению и составлению сметной документации </w:t>
      </w:r>
    </w:p>
    <w:p>
      <w:pPr>
        <w:pStyle w:val="Normal"/>
        <w:spacing w:lineRule="auto" w:line="240" w:before="0" w:after="0"/>
        <w:ind w:left="5811" w:firstLine="142"/>
        <w:jc w:val="right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на выполнение строительно-монтажных работ по строительству и реконструкции </w:t>
      </w:r>
    </w:p>
    <w:p>
      <w:pPr>
        <w:pStyle w:val="Normal"/>
        <w:spacing w:lineRule="auto" w:line="240" w:before="0" w:after="0"/>
        <w:ind w:left="5811" w:firstLine="142"/>
        <w:jc w:val="right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объектов капитального строительства</w:t>
      </w:r>
    </w:p>
    <w:p>
      <w:pPr>
        <w:pStyle w:val="Normal"/>
        <w:spacing w:lineRule="auto" w:line="240" w:before="0" w:after="0"/>
        <w:ind w:left="5811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ОБРАЗЕЦ (</w:t>
      </w:r>
      <w:r>
        <w:rPr>
          <w:rFonts w:ascii="Times New Roman" w:hAnsi="Times New Roman"/>
          <w:b/>
          <w:color w:val="000000"/>
          <w:sz w:val="20"/>
          <w:szCs w:val="20"/>
          <w:lang w:val="en-US"/>
        </w:rPr>
        <w:t>Р</w:t>
      </w:r>
      <w:r>
        <w:rPr>
          <w:rFonts w:ascii="Times New Roman" w:hAnsi="Times New Roman"/>
          <w:b/>
          <w:color w:val="000000"/>
          <w:sz w:val="20"/>
          <w:szCs w:val="20"/>
        </w:rPr>
        <w:t>ИМ)</w:t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3"/>
        <w:gridCol w:w="1316"/>
        <w:gridCol w:w="692"/>
        <w:gridCol w:w="2815"/>
        <w:gridCol w:w="849"/>
        <w:gridCol w:w="1099"/>
        <w:gridCol w:w="665"/>
        <w:gridCol w:w="1042"/>
        <w:gridCol w:w="1083"/>
        <w:gridCol w:w="665"/>
        <w:gridCol w:w="1042"/>
        <w:gridCol w:w="506"/>
        <w:gridCol w:w="687"/>
        <w:gridCol w:w="2239"/>
      </w:tblGrid>
      <w:tr>
        <w:trPr>
          <w:trHeight w:val="285" w:hRule="atLeast"/>
        </w:trPr>
        <w:tc>
          <w:tcPr>
            <w:tcW w:w="3141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СОГЛАСОВАНО:</w:t>
            </w:r>
          </w:p>
        </w:tc>
        <w:tc>
          <w:tcPr>
            <w:tcW w:w="281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8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4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УТВЕРЖДАЮ:</w:t>
            </w:r>
          </w:p>
        </w:tc>
      </w:tr>
      <w:tr>
        <w:trPr>
          <w:trHeight w:val="225" w:hRule="exact"/>
        </w:trPr>
        <w:tc>
          <w:tcPr>
            <w:tcW w:w="5956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39" w:type="dxa"/>
            <w:gridSpan w:val="5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45" w:hRule="atLeast"/>
        </w:trPr>
        <w:tc>
          <w:tcPr>
            <w:tcW w:w="113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81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3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449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"_____" _____________202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г</w:t>
            </w:r>
          </w:p>
        </w:tc>
        <w:tc>
          <w:tcPr>
            <w:tcW w:w="69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81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3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"_____" ________202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г</w:t>
            </w:r>
          </w:p>
        </w:tc>
      </w:tr>
      <w:tr>
        <w:trPr>
          <w:trHeight w:val="225" w:hRule="atLeast"/>
        </w:trPr>
        <w:tc>
          <w:tcPr>
            <w:tcW w:w="3141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Наименование редакции сметных нормативов  </w:t>
            </w:r>
          </w:p>
        </w:tc>
        <w:tc>
          <w:tcPr>
            <w:tcW w:w="12692" w:type="dxa"/>
            <w:gridSpan w:val="11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300" w:hRule="atLeast"/>
        </w:trPr>
        <w:tc>
          <w:tcPr>
            <w:tcW w:w="3141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Наименование программного продукта</w:t>
            </w:r>
          </w:p>
        </w:tc>
        <w:tc>
          <w:tcPr>
            <w:tcW w:w="3664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ПК "ГРАНД-Смета 202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109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2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3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2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6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7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3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165" w:hRule="exact"/>
        </w:trPr>
        <w:tc>
          <w:tcPr>
            <w:tcW w:w="1133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16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2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815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15833" w:type="dxa"/>
            <w:gridSpan w:val="14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(наименование стройки)</w:t>
            </w:r>
          </w:p>
        </w:tc>
      </w:tr>
      <w:tr>
        <w:trPr>
          <w:trHeight w:val="225" w:hRule="exact"/>
        </w:trPr>
        <w:tc>
          <w:tcPr>
            <w:tcW w:w="15833" w:type="dxa"/>
            <w:gridSpan w:val="1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15833" w:type="dxa"/>
            <w:gridSpan w:val="14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(наименование объекта капитального строительства)</w:t>
            </w:r>
          </w:p>
        </w:tc>
      </w:tr>
      <w:tr>
        <w:trPr>
          <w:trHeight w:val="480" w:hRule="atLeast"/>
        </w:trPr>
        <w:tc>
          <w:tcPr>
            <w:tcW w:w="15833" w:type="dxa"/>
            <w:gridSpan w:val="1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 xml:space="preserve">ЛОКАЛЬНЫЙ СМЕТНЫЙ РАСЧЕТ (СМЕТА) № </w:t>
            </w:r>
          </w:p>
        </w:tc>
      </w:tr>
    </w:tbl>
    <w:p>
      <w:pPr>
        <w:pStyle w:val="Normal"/>
        <w:spacing w:lineRule="auto" w:line="240" w:before="0" w:after="0"/>
        <w:ind w:left="6373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tbl>
      <w:tblPr>
        <w:tblW w:w="160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20"/>
        <w:gridCol w:w="1349"/>
        <w:gridCol w:w="11"/>
        <w:gridCol w:w="858"/>
        <w:gridCol w:w="11"/>
        <w:gridCol w:w="683"/>
        <w:gridCol w:w="10"/>
        <w:gridCol w:w="811"/>
        <w:gridCol w:w="8"/>
        <w:gridCol w:w="595"/>
        <w:gridCol w:w="13"/>
        <w:gridCol w:w="891"/>
        <w:gridCol w:w="8"/>
        <w:gridCol w:w="96"/>
        <w:gridCol w:w="16"/>
        <w:gridCol w:w="143"/>
        <w:gridCol w:w="9"/>
        <w:gridCol w:w="652"/>
        <w:gridCol w:w="9"/>
        <w:gridCol w:w="333"/>
        <w:gridCol w:w="11"/>
        <w:gridCol w:w="792"/>
        <w:gridCol w:w="10"/>
        <w:gridCol w:w="177"/>
        <w:gridCol w:w="10"/>
        <w:gridCol w:w="1384"/>
        <w:gridCol w:w="10"/>
        <w:gridCol w:w="76"/>
        <w:gridCol w:w="1"/>
        <w:gridCol w:w="7"/>
        <w:gridCol w:w="951"/>
        <w:gridCol w:w="11"/>
        <w:gridCol w:w="109"/>
        <w:gridCol w:w="11"/>
        <w:gridCol w:w="584"/>
        <w:gridCol w:w="8"/>
        <w:gridCol w:w="435"/>
        <w:gridCol w:w="11"/>
        <w:gridCol w:w="642"/>
        <w:gridCol w:w="24"/>
        <w:gridCol w:w="125"/>
        <w:gridCol w:w="22"/>
        <w:gridCol w:w="808"/>
        <w:gridCol w:w="360"/>
        <w:gridCol w:w="843"/>
        <w:gridCol w:w="48"/>
        <w:gridCol w:w="1000"/>
      </w:tblGrid>
      <w:tr>
        <w:trPr>
          <w:trHeight w:val="300" w:hRule="atLeast"/>
        </w:trPr>
        <w:tc>
          <w:tcPr>
            <w:tcW w:w="14996" w:type="dxa"/>
            <w:gridSpan w:val="46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Волжская ГЭС. ОРУ 220 кВ. Релейная защита и автоматика.Демонтажные работы</w:t>
            </w:r>
          </w:p>
        </w:tc>
        <w:tc>
          <w:tcPr>
            <w:tcW w:w="100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14996" w:type="dxa"/>
            <w:gridSpan w:val="46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iCs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(наименование работ и затрат)</w:t>
            </w:r>
          </w:p>
        </w:tc>
        <w:tc>
          <w:tcPr>
            <w:tcW w:w="100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Составлен </w:t>
            </w:r>
          </w:p>
        </w:tc>
        <w:tc>
          <w:tcPr>
            <w:tcW w:w="134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ресурсно-индексным</w:t>
            </w:r>
          </w:p>
        </w:tc>
        <w:tc>
          <w:tcPr>
            <w:tcW w:w="869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методом</w:t>
            </w:r>
          </w:p>
        </w:tc>
        <w:tc>
          <w:tcPr>
            <w:tcW w:w="69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21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07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8" w:type="dxa"/>
            <w:gridSpan w:val="7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30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1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Основание</w:t>
            </w:r>
          </w:p>
        </w:tc>
        <w:tc>
          <w:tcPr>
            <w:tcW w:w="5240" w:type="dxa"/>
            <w:gridSpan w:val="11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ЭТЛ-13622-ЛС.1.ВОР</w:t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7" w:type="dxa"/>
            <w:gridSpan w:val="6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9" w:type="dxa"/>
            <w:gridSpan w:val="5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30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1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10" w:hRule="atLeas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240" w:type="dxa"/>
            <w:gridSpan w:val="11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iCs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</w:rPr>
              <w:t>(проектная и (или) иная техническая документация)</w:t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iCs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7" w:type="dxa"/>
            <w:gridSpan w:val="6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9" w:type="dxa"/>
            <w:gridSpan w:val="5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30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1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95" w:hRule="exac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9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21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07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8" w:type="dxa"/>
            <w:gridSpan w:val="7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30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1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5369" w:type="dxa"/>
            <w:gridSpan w:val="11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 xml:space="preserve">Составлен(а) в текущем уровне цен ,    </w:t>
            </w:r>
            <w:r>
              <w:rPr>
                <w:rFonts w:cs="Arial" w:ascii="Arial" w:hAnsi="Arial"/>
                <w:b/>
                <w:bCs/>
                <w:sz w:val="16"/>
                <w:szCs w:val="16"/>
                <w:shd w:fill="auto" w:val="clear"/>
              </w:rPr>
              <w:t>2 кв. 2026 г.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1011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81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33" w:type="dxa"/>
            <w:gridSpan w:val="6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9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6" w:type="dxa"/>
            <w:gridSpan w:val="5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15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3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8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 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 </w:t>
            </w:r>
          </w:p>
        </w:tc>
        <w:tc>
          <w:tcPr>
            <w:tcW w:w="1507" w:type="dxa"/>
            <w:gridSpan w:val="4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 </w:t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8" w:type="dxa"/>
            <w:gridSpan w:val="7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30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1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40" w:hRule="atLeast"/>
        </w:trPr>
        <w:tc>
          <w:tcPr>
            <w:tcW w:w="2380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 xml:space="preserve">Сметная стоимость 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3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  <w:t>0.00</w:t>
            </w:r>
          </w:p>
        </w:tc>
        <w:tc>
          <w:tcPr>
            <w:tcW w:w="819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тыс.руб.</w:t>
            </w:r>
          </w:p>
        </w:tc>
        <w:tc>
          <w:tcPr>
            <w:tcW w:w="1507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264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5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2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5" w:type="dxa"/>
            <w:gridSpan w:val="7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1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40" w:hRule="atLeas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i/>
                <w:i/>
                <w:iCs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</w:rPr>
              <w:t>в том числе:</w:t>
            </w:r>
          </w:p>
        </w:tc>
        <w:tc>
          <w:tcPr>
            <w:tcW w:w="869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i/>
                <w:i/>
                <w:iCs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sz w:val="16"/>
                <w:szCs w:val="16"/>
              </w:rPr>
            </w:r>
          </w:p>
        </w:tc>
        <w:tc>
          <w:tcPr>
            <w:tcW w:w="69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21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07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8" w:type="dxa"/>
            <w:gridSpan w:val="7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30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1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40" w:hRule="atLeas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строительных работ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0,00</w:t>
            </w:r>
          </w:p>
        </w:tc>
        <w:tc>
          <w:tcPr>
            <w:tcW w:w="821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тыс.руб.</w:t>
            </w:r>
          </w:p>
        </w:tc>
        <w:tc>
          <w:tcPr>
            <w:tcW w:w="1507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8" w:type="dxa"/>
            <w:gridSpan w:val="7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16" w:type="dxa"/>
            <w:gridSpan w:val="8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Средства на оплату труда рабочих</w:t>
            </w:r>
          </w:p>
        </w:tc>
        <w:tc>
          <w:tcPr>
            <w:tcW w:w="80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30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 </w:t>
            </w:r>
          </w:p>
        </w:tc>
        <w:tc>
          <w:tcPr>
            <w:tcW w:w="1251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0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тыс.руб.</w:t>
            </w:r>
          </w:p>
        </w:tc>
      </w:tr>
      <w:tr>
        <w:trPr>
          <w:trHeight w:val="240" w:hRule="atLeas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3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монтажных работ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  <w:t>0.00</w:t>
            </w:r>
          </w:p>
        </w:tc>
        <w:tc>
          <w:tcPr>
            <w:tcW w:w="821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тыс.руб.</w:t>
            </w:r>
          </w:p>
        </w:tc>
        <w:tc>
          <w:tcPr>
            <w:tcW w:w="1507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8" w:type="dxa"/>
            <w:gridSpan w:val="7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16" w:type="dxa"/>
            <w:gridSpan w:val="8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Средства на оплату труда машинистов</w:t>
            </w:r>
          </w:p>
        </w:tc>
        <w:tc>
          <w:tcPr>
            <w:tcW w:w="80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30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 </w:t>
            </w:r>
          </w:p>
        </w:tc>
        <w:tc>
          <w:tcPr>
            <w:tcW w:w="1251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0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тыс.руб.</w:t>
            </w:r>
          </w:p>
        </w:tc>
      </w:tr>
      <w:tr>
        <w:trPr>
          <w:trHeight w:val="240" w:hRule="atLeas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3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оборудования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0,00</w:t>
            </w:r>
          </w:p>
        </w:tc>
        <w:tc>
          <w:tcPr>
            <w:tcW w:w="821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тыс.руб.</w:t>
            </w:r>
          </w:p>
        </w:tc>
        <w:tc>
          <w:tcPr>
            <w:tcW w:w="1507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8" w:type="dxa"/>
            <w:gridSpan w:val="7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16" w:type="dxa"/>
            <w:gridSpan w:val="8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Нормативные затраты труда рабочих</w:t>
            </w:r>
          </w:p>
        </w:tc>
        <w:tc>
          <w:tcPr>
            <w:tcW w:w="80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30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 </w:t>
            </w:r>
          </w:p>
        </w:tc>
        <w:tc>
          <w:tcPr>
            <w:tcW w:w="1251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00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чел.-ч.</w:t>
            </w:r>
          </w:p>
        </w:tc>
      </w:tr>
      <w:tr>
        <w:trPr>
          <w:trHeight w:val="240" w:hRule="atLeas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3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прочих затрат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0,00</w:t>
            </w:r>
          </w:p>
        </w:tc>
        <w:tc>
          <w:tcPr>
            <w:tcW w:w="821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тыс.руб.</w:t>
            </w:r>
          </w:p>
        </w:tc>
        <w:tc>
          <w:tcPr>
            <w:tcW w:w="1507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8" w:type="dxa"/>
            <w:gridSpan w:val="7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918" w:type="dxa"/>
            <w:gridSpan w:val="1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Нормативные затраты труда машинистов</w:t>
            </w:r>
          </w:p>
        </w:tc>
        <w:tc>
          <w:tcPr>
            <w:tcW w:w="830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 </w:t>
            </w:r>
          </w:p>
        </w:tc>
        <w:tc>
          <w:tcPr>
            <w:tcW w:w="1251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00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чел.-ч.</w:t>
            </w:r>
          </w:p>
        </w:tc>
      </w:tr>
      <w:tr>
        <w:trPr>
          <w:trHeight w:val="195" w:hRule="exact"/>
        </w:trPr>
        <w:tc>
          <w:tcPr>
            <w:tcW w:w="102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34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9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4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21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07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3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8" w:type="dxa"/>
            <w:gridSpan w:val="7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8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2" w:type="dxa"/>
            <w:gridSpan w:val="4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30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1" w:type="dxa"/>
            <w:gridSpan w:val="3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69" w:hRule="atLeast"/>
        </w:trPr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№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Обоснование</w:t>
            </w:r>
          </w:p>
        </w:tc>
        <w:tc>
          <w:tcPr>
            <w:tcW w:w="2987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Наименование работ и затрат</w:t>
            </w:r>
          </w:p>
        </w:tc>
        <w:tc>
          <w:tcPr>
            <w:tcW w:w="100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3546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5038" w:type="dxa"/>
            <w:gridSpan w:val="1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Сметная стоимость, руб.</w:t>
            </w:r>
          </w:p>
        </w:tc>
        <w:tc>
          <w:tcPr>
            <w:tcW w:w="48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69" w:hRule="atLeast"/>
        </w:trPr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987" w:type="dxa"/>
            <w:gridSpan w:val="8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08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3546" w:type="dxa"/>
            <w:gridSpan w:val="1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5038" w:type="dxa"/>
            <w:gridSpan w:val="19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48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873" w:hRule="atLeast"/>
        </w:trPr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987" w:type="dxa"/>
            <w:gridSpan w:val="8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08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2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 ед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.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изм</w:t>
            </w:r>
          </w:p>
        </w:tc>
        <w:tc>
          <w:tcPr>
            <w:tcW w:w="1332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139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всего с учетом коэффициентов</w:t>
            </w:r>
          </w:p>
        </w:tc>
        <w:tc>
          <w:tcPr>
            <w:tcW w:w="1045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 ед изм в базисном уровне цен</w:t>
            </w:r>
          </w:p>
        </w:tc>
        <w:tc>
          <w:tcPr>
            <w:tcW w:w="71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индекс</w:t>
            </w:r>
          </w:p>
        </w:tc>
        <w:tc>
          <w:tcPr>
            <w:tcW w:w="1096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 ед изм в текущем уровне цен</w:t>
            </w:r>
          </w:p>
        </w:tc>
        <w:tc>
          <w:tcPr>
            <w:tcW w:w="1339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всего в текущем уровне цен</w:t>
            </w:r>
          </w:p>
        </w:tc>
        <w:tc>
          <w:tcPr>
            <w:tcW w:w="48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87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8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2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32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9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45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71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96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39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8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sectPr>
          <w:footerReference w:type="default" r:id="rId11"/>
          <w:footerReference w:type="first" r:id="rId12"/>
          <w:type w:val="nextPage"/>
          <w:pgSz w:orient="landscape" w:w="16838" w:h="11906"/>
          <w:pgMar w:left="720" w:right="284" w:gutter="0" w:header="0" w:top="426" w:footer="709" w:bottom="92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ind w:left="5811" w:firstLine="72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5811" w:right="0" w:firstLine="720"/>
        <w:jc w:val="right"/>
        <w:rPr>
          <w:color w:val="auto"/>
          <w:sz w:val="24"/>
          <w:szCs w:val="24"/>
          <w:shd w:fill="auto" w:val="clear"/>
        </w:rPr>
      </w:pP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>Приложение№ 2 </w:t>
      </w:r>
    </w:p>
    <w:p>
      <w:pPr>
        <w:pStyle w:val="ConsPlusNormal1"/>
        <w:ind w:left="5811" w:right="0" w:firstLine="720"/>
        <w:jc w:val="right"/>
        <w:rPr>
          <w:rFonts w:ascii="Times New Roman" w:hAnsi="Times New Roman"/>
          <w:color w:val="auto"/>
          <w:shd w:fill="auto" w:val="clear"/>
        </w:rPr>
      </w:pPr>
      <w:r>
        <w:rPr>
          <w:rFonts w:ascii="Times New Roman" w:hAnsi="Times New Roman"/>
          <w:color w:val="000000"/>
          <w:shd w:fill="auto" w:val="clear"/>
        </w:rPr>
        <w:t>к Требованиям к оформлению и составлению</w:t>
      </w:r>
    </w:p>
    <w:p>
      <w:pPr>
        <w:pStyle w:val="ConsPlusNormal1"/>
        <w:ind w:left="5811" w:right="0" w:firstLine="720"/>
        <w:jc w:val="right"/>
        <w:rPr>
          <w:rFonts w:ascii="Times New Roman" w:hAnsi="Times New Roman"/>
          <w:color w:val="auto"/>
          <w:shd w:fill="auto" w:val="clear"/>
        </w:rPr>
      </w:pPr>
      <w:r>
        <w:rPr>
          <w:rFonts w:ascii="Times New Roman" w:hAnsi="Times New Roman"/>
          <w:color w:val="000000"/>
          <w:shd w:fill="auto" w:val="clear"/>
        </w:rPr>
        <w:t xml:space="preserve">сметной документации на работ </w:t>
      </w:r>
    </w:p>
    <w:p>
      <w:pPr>
        <w:pStyle w:val="ConsPlusNormal1"/>
        <w:ind w:left="5811" w:right="0" w:firstLine="720"/>
        <w:jc w:val="right"/>
        <w:rPr>
          <w:color w:val="auto"/>
          <w:shd w:fill="auto" w:val="clear"/>
        </w:rPr>
      </w:pPr>
      <w:r>
        <w:rPr>
          <w:rFonts w:ascii="Times New Roman" w:hAnsi="Times New Roman"/>
          <w:color w:val="000000"/>
          <w:shd w:fill="auto" w:val="clear"/>
        </w:rPr>
        <w:t xml:space="preserve"> </w:t>
      </w:r>
      <w:r>
        <w:rPr>
          <w:rFonts w:ascii="Times New Roman" w:hAnsi="Times New Roman"/>
          <w:color w:val="000000"/>
          <w:shd w:fill="auto" w:val="clear"/>
        </w:rPr>
        <w:t xml:space="preserve">по строительство и реконструкцию объектов </w:t>
      </w:r>
    </w:p>
    <w:p>
      <w:pPr>
        <w:pStyle w:val="ConsPlusNormal1"/>
        <w:ind w:left="5811" w:right="0" w:firstLine="720"/>
        <w:jc w:val="right"/>
        <w:rPr>
          <w:color w:val="auto"/>
          <w:shd w:fill="auto" w:val="clear"/>
        </w:rPr>
      </w:pPr>
      <w:r>
        <w:rPr>
          <w:rFonts w:ascii="Times New Roman" w:hAnsi="Times New Roman"/>
          <w:color w:val="000000"/>
          <w:shd w:fill="auto" w:val="clear"/>
        </w:rPr>
        <w:t xml:space="preserve">капитального строительства </w:t>
      </w:r>
      <w:r>
        <w:rPr>
          <w:b/>
          <w:bCs/>
          <w:color w:val="000000"/>
          <w:shd w:fill="auto" w:val="clear"/>
        </w:rPr>
        <w:t xml:space="preserve">     </w:t>
      </w:r>
    </w:p>
    <w:p>
      <w:pPr>
        <w:pStyle w:val="HEADERTEXT"/>
        <w:rPr>
          <w:b/>
          <w:bCs/>
          <w:color w:val="auto"/>
          <w:shd w:fill="auto" w:val="clear"/>
        </w:rPr>
      </w:pPr>
      <w:r>
        <w:rPr>
          <w:b/>
          <w:bCs/>
          <w:color w:val="000000"/>
          <w:shd w:fill="auto" w:val="clear"/>
        </w:rPr>
      </w:r>
    </w:p>
    <w:p>
      <w:pPr>
        <w:pStyle w:val="HEADERTEXT"/>
        <w:jc w:val="center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  <w:t xml:space="preserve"> </w:t>
      </w:r>
      <w:r>
        <w:rPr>
          <w:rFonts w:eastAsia="Times New Roman" w:ascii="Times New Roman" w:hAnsi="Times New Roman"/>
          <w:color w:val="000000"/>
          <w:shd w:fill="auto" w:val="clear"/>
        </w:rPr>
        <w:t xml:space="preserve">Конъюнктурный анализ </w:t>
      </w:r>
    </w:p>
    <w:tbl>
      <w:tblPr>
        <w:tblW w:w="9298" w:type="dxa"/>
        <w:jc w:val="left"/>
        <w:tblInd w:w="45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</w:tblPr>
      <w:tblGrid>
        <w:gridCol w:w="9298"/>
      </w:tblGrid>
      <w:tr>
        <w:trPr/>
        <w:tc>
          <w:tcPr>
            <w:tcW w:w="9298" w:type="dxa"/>
            <w:tcBorders>
              <w:bottom w:val="single" w:sz="6" w:space="0" w:color="000000"/>
            </w:tcBorders>
          </w:tcPr>
          <w:p>
            <w:pPr>
              <w:pStyle w:val="FORMATTEXT"/>
              <w:widowControl w:val="false"/>
              <w:rPr>
                <w:color w:val="auto"/>
                <w:sz w:val="12"/>
                <w:szCs w:val="12"/>
                <w:shd w:fill="auto" w:val="clear"/>
              </w:rPr>
            </w:pPr>
            <w:r>
              <w:rPr>
                <w:color w:val="000000"/>
                <w:sz w:val="12"/>
                <w:szCs w:val="12"/>
                <w:shd w:fill="auto" w:val="clear"/>
              </w:rPr>
            </w:r>
          </w:p>
        </w:tc>
      </w:tr>
      <w:tr>
        <w:trPr/>
        <w:tc>
          <w:tcPr>
            <w:tcW w:w="9298" w:type="dxa"/>
            <w:tcBorders>
              <w:top w:val="single" w:sz="6" w:space="0" w:color="000000"/>
            </w:tcBorders>
          </w:tcPr>
          <w:p>
            <w:pPr>
              <w:pStyle w:val="FORMATTEXT"/>
              <w:widowControl w:val="false"/>
              <w:jc w:val="center"/>
              <w:rPr>
                <w:i/>
                <w:i/>
                <w:iCs/>
                <w:color w:val="auto"/>
                <w:sz w:val="18"/>
                <w:szCs w:val="18"/>
                <w:shd w:fill="auto" w:val="clear"/>
              </w:rPr>
            </w:pPr>
            <w:r>
              <w:rPr>
                <w:i/>
                <w:iCs/>
                <w:color w:val="000000"/>
                <w:sz w:val="18"/>
                <w:szCs w:val="18"/>
                <w:shd w:fill="auto" w:val="clear"/>
              </w:rPr>
              <w:t>(наименование объекта строительства)</w:t>
            </w:r>
          </w:p>
        </w:tc>
      </w:tr>
    </w:tbl>
    <w:p>
      <w:pPr>
        <w:pStyle w:val="Normal"/>
        <w:widowControl w:val="false"/>
        <w:spacing w:lineRule="auto" w:line="240" w:before="0" w:after="0"/>
        <w:rPr>
          <w:rFonts w:ascii="Arial, sans-serif" w:hAnsi="Arial, sans-serif"/>
          <w:color w:val="auto"/>
          <w:sz w:val="24"/>
          <w:szCs w:val="24"/>
          <w:shd w:fill="auto" w:val="clear"/>
        </w:rPr>
      </w:pPr>
      <w:r>
        <w:rPr>
          <w:rFonts w:ascii="Arial, sans-serif" w:hAnsi="Arial, sans-serif"/>
          <w:color w:val="000000"/>
          <w:sz w:val="24"/>
          <w:szCs w:val="24"/>
          <w:shd w:fill="auto" w:val="clear"/>
        </w:rPr>
      </w:r>
    </w:p>
    <w:tbl>
      <w:tblPr>
        <w:tblW w:w="14564" w:type="dxa"/>
        <w:jc w:val="left"/>
        <w:tblInd w:w="-6" w:type="dxa"/>
        <w:tblLayout w:type="fixed"/>
        <w:tblCellMar>
          <w:top w:w="113" w:type="dxa"/>
          <w:left w:w="28" w:type="dxa"/>
          <w:bottom w:w="113" w:type="dxa"/>
          <w:right w:w="28" w:type="dxa"/>
        </w:tblCellMar>
      </w:tblPr>
      <w:tblGrid>
        <w:gridCol w:w="531"/>
        <w:gridCol w:w="664"/>
        <w:gridCol w:w="781"/>
        <w:gridCol w:w="898"/>
        <w:gridCol w:w="465"/>
        <w:gridCol w:w="763"/>
        <w:gridCol w:w="878"/>
        <w:gridCol w:w="729"/>
        <w:gridCol w:w="742"/>
        <w:gridCol w:w="638"/>
        <w:gridCol w:w="710"/>
        <w:gridCol w:w="780"/>
        <w:gridCol w:w="527"/>
        <w:gridCol w:w="597"/>
        <w:gridCol w:w="911"/>
        <w:gridCol w:w="705"/>
        <w:gridCol w:w="681"/>
        <w:gridCol w:w="1077"/>
        <w:gridCol w:w="782"/>
        <w:gridCol w:w="701"/>
      </w:tblGrid>
      <w:tr>
        <w:trPr>
          <w:trHeight w:val="1105" w:hRule="atLeast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N п/п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Код стро-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итель-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Наиме-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нование строи-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Полное наиме-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нование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Ед.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изм.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Ед. изм. стро-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итель-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Текущая отпуск-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ная цена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Теку-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щая отпуск-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Стои-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мость пере-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Заготовительно-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складские расходы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Сметная цена без НДС в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Год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Квар-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тал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Наименование произво-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дителя/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КПП орга-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низа-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ИНН орга-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низа-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Гипер-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ссылка на веб-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Насе-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ленный пункт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Статус органи-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зации</w:t>
            </w:r>
          </w:p>
        </w:tc>
      </w:tr>
      <w:tr>
        <w:trPr>
          <w:trHeight w:val="436" w:hRule="atLeast"/>
        </w:trPr>
        <w:tc>
          <w:tcPr>
            <w:tcW w:w="531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664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ного ресур-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са</w:t>
            </w:r>
          </w:p>
        </w:tc>
        <w:tc>
          <w:tcPr>
            <w:tcW w:w="781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тельного ресурса, затрат</w:t>
            </w:r>
          </w:p>
        </w:tc>
        <w:tc>
          <w:tcPr>
            <w:tcW w:w="89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строи-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тельного ресурса, затрат в обосно-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вываю-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щем документе</w:t>
            </w:r>
          </w:p>
        </w:tc>
        <w:tc>
          <w:tcPr>
            <w:tcW w:w="46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6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ного ресурса, затрат в обосно-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вываю-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щем доку-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менте</w:t>
            </w:r>
          </w:p>
        </w:tc>
        <w:tc>
          <w:tcPr>
            <w:tcW w:w="87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за ед.изм. в обосно-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вываю-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щем докумен-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те с НДС в руб.</w:t>
            </w:r>
          </w:p>
        </w:tc>
        <w:tc>
          <w:tcPr>
            <w:tcW w:w="72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ная цена за ед.изм. без НДС в руб. в соот-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ветст-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вии с графой 5</w:t>
            </w:r>
          </w:p>
        </w:tc>
        <w:tc>
          <w:tcPr>
            <w:tcW w:w="74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возки без НДС в руб. за ед.изм.</w:t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%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руб.</w:t>
            </w:r>
          </w:p>
        </w:tc>
        <w:tc>
          <w:tcPr>
            <w:tcW w:w="78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руб. за ед.изм.</w:t>
            </w:r>
          </w:p>
        </w:tc>
        <w:tc>
          <w:tcPr>
            <w:tcW w:w="52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59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911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поставщика</w:t>
            </w:r>
          </w:p>
        </w:tc>
        <w:tc>
          <w:tcPr>
            <w:tcW w:w="70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ции</w:t>
            </w:r>
          </w:p>
        </w:tc>
        <w:tc>
          <w:tcPr>
            <w:tcW w:w="681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ции</w:t>
            </w: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сайт произ-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води-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теля/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постав-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щика</w:t>
            </w:r>
          </w:p>
        </w:tc>
        <w:tc>
          <w:tcPr>
            <w:tcW w:w="78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распо-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ложения склада произ-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води-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теля/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постав-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щика</w:t>
            </w:r>
          </w:p>
        </w:tc>
        <w:tc>
          <w:tcPr>
            <w:tcW w:w="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(произ-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води-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тель (1)/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постав-</w:t>
            </w:r>
          </w:p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щик (2)</w:t>
            </w:r>
          </w:p>
        </w:tc>
      </w:tr>
      <w:tr>
        <w:trPr/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2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3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4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5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6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7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8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9</w:t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14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16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17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18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19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20</w:t>
            </w:r>
          </w:p>
        </w:tc>
      </w:tr>
      <w:tr>
        <w:trPr/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Поставщик 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</w:tr>
      <w:tr>
        <w:trPr/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Поставщик 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HEADERTEXT"/>
              <w:widowControl w:val="false"/>
              <w:jc w:val="center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</w:tr>
    </w:tbl>
    <w:p>
      <w:pPr>
        <w:sectPr>
          <w:footerReference w:type="default" r:id="rId13"/>
          <w:footerReference w:type="first" r:id="rId14"/>
          <w:type w:val="nextPage"/>
          <w:pgSz w:orient="landscape" w:w="16838" w:h="11906"/>
          <w:pgMar w:left="1276" w:right="709" w:gutter="0" w:header="0" w:top="851" w:footer="709" w:bottom="76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ind w:left="284" w:right="0" w:firstLine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left="284" w:firstLine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rPr>
          <w:rFonts w:ascii="Arial, sans-serif" w:hAnsi="Arial, sans-serif"/>
          <w:color w:val="auto"/>
          <w:sz w:val="24"/>
          <w:szCs w:val="24"/>
          <w:shd w:fill="auto" w:val="clear"/>
        </w:rPr>
      </w:pPr>
      <w:r>
        <w:rPr>
          <w:rFonts w:ascii="Arial, sans-serif" w:hAnsi="Arial, sans-serif"/>
          <w:color w:val="000000"/>
          <w:sz w:val="24"/>
          <w:szCs w:val="24"/>
          <w:shd w:fill="auto" w:val="clear"/>
        </w:rPr>
      </w:r>
    </w:p>
    <w:tbl>
      <w:tblPr>
        <w:tblW w:w="9450" w:type="dxa"/>
        <w:jc w:val="left"/>
        <w:tblInd w:w="28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</w:tblPr>
      <w:tblGrid>
        <w:gridCol w:w="1529"/>
        <w:gridCol w:w="7920"/>
      </w:tblGrid>
      <w:tr>
        <w:trPr/>
        <w:tc>
          <w:tcPr>
            <w:tcW w:w="15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, sans-serif" w:hAnsi="Arial, sans-serif"/>
                <w:color w:val="auto"/>
                <w:sz w:val="24"/>
                <w:szCs w:val="24"/>
                <w:shd w:fill="auto" w:val="clear"/>
              </w:rPr>
            </w:pPr>
            <w:r>
              <w:rPr>
                <w:rFonts w:ascii="Arial, sans-serif" w:hAnsi="Arial, sans-serif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792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, sans-serif" w:hAnsi="Arial, sans-serif"/>
                <w:color w:val="auto"/>
                <w:sz w:val="24"/>
                <w:szCs w:val="24"/>
                <w:shd w:fill="auto" w:val="clear"/>
              </w:rPr>
            </w:pPr>
            <w:r>
              <w:rPr>
                <w:rFonts w:ascii="Arial, sans-serif" w:hAnsi="Arial, sans-serif"/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1529" w:type="dxa"/>
            <w:tcBorders/>
          </w:tcPr>
          <w:p>
            <w:pPr>
              <w:pStyle w:val="HEADERTEXT"/>
              <w:widowControl w:val="false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Составил</w:t>
            </w:r>
          </w:p>
        </w:tc>
        <w:tc>
          <w:tcPr>
            <w:tcW w:w="7920" w:type="dxa"/>
            <w:tcBorders>
              <w:bottom w:val="single" w:sz="6" w:space="0" w:color="000000"/>
            </w:tcBorders>
          </w:tcPr>
          <w:p>
            <w:pPr>
              <w:pStyle w:val="HEADERTEXT"/>
              <w:widowControl w:val="false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</w:tr>
      <w:tr>
        <w:trPr/>
        <w:tc>
          <w:tcPr>
            <w:tcW w:w="1529" w:type="dxa"/>
            <w:tcBorders/>
          </w:tcPr>
          <w:p>
            <w:pPr>
              <w:pStyle w:val="HEADERTEXT"/>
              <w:widowControl w:val="false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920" w:type="dxa"/>
            <w:tcBorders>
              <w:top w:val="single" w:sz="6" w:space="0" w:color="000000"/>
            </w:tcBorders>
          </w:tcPr>
          <w:p>
            <w:pPr>
              <w:pStyle w:val="HEADERTEXT"/>
              <w:widowControl w:val="false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[должность, подпись (инициалы, фамилия)]</w:t>
            </w:r>
          </w:p>
        </w:tc>
      </w:tr>
      <w:tr>
        <w:trPr/>
        <w:tc>
          <w:tcPr>
            <w:tcW w:w="1529" w:type="dxa"/>
            <w:tcBorders/>
          </w:tcPr>
          <w:p>
            <w:pPr>
              <w:pStyle w:val="HEADERTEXT"/>
              <w:widowControl w:val="false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Проверил</w:t>
            </w:r>
          </w:p>
        </w:tc>
        <w:tc>
          <w:tcPr>
            <w:tcW w:w="7920" w:type="dxa"/>
            <w:tcBorders>
              <w:bottom w:val="single" w:sz="6" w:space="0" w:color="000000"/>
            </w:tcBorders>
          </w:tcPr>
          <w:p>
            <w:pPr>
              <w:pStyle w:val="HEADERTEXT"/>
              <w:widowControl w:val="false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</w:tr>
      <w:tr>
        <w:trPr/>
        <w:tc>
          <w:tcPr>
            <w:tcW w:w="1529" w:type="dxa"/>
            <w:tcBorders/>
          </w:tcPr>
          <w:p>
            <w:pPr>
              <w:pStyle w:val="HEADERTEXT"/>
              <w:widowControl w:val="false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</w:r>
          </w:p>
        </w:tc>
        <w:tc>
          <w:tcPr>
            <w:tcW w:w="7920" w:type="dxa"/>
            <w:tcBorders>
              <w:top w:val="single" w:sz="6" w:space="0" w:color="000000"/>
            </w:tcBorders>
          </w:tcPr>
          <w:p>
            <w:pPr>
              <w:pStyle w:val="HEADERTEXT"/>
              <w:widowControl w:val="false"/>
              <w:rPr>
                <w:rFonts w:ascii="Times New Roman" w:hAnsi="Times New Roman" w:eastAsia="Times New Roman"/>
                <w:color w:val="auto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hd w:fill="auto" w:val="clear"/>
              </w:rPr>
              <w:t>[должность, подпись (инициалы, фамилия)]</w:t>
            </w:r>
          </w:p>
        </w:tc>
      </w:tr>
    </w:tbl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  <w:t>Примечание.</w:t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  <w:t>1. В графе 1 указывается номер, состоящих из двух групп цифр, разделенных точкой, первая группа цифр которого соответствует номеру ресурса по порядку, вторая - порядковому номеру обосновывающего документа, например, 1.1.</w:t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  <w:t>2. В графе 2 для каждой позиции материальных ресурсов и оборудования указывается код строительного ресурса в соответствии с пунктами 23 и 24 Методики.</w:t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  <w:t>3. Анализируются сопоставимые элементы стоимости материальных ресурсов (отпускные цены, сметные с учетом транспортных затрат), затрат.</w:t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  <w:t>4. В случае, если текущая отпускная цена за ед.изм. в обосновывающем документе указана с учетом доставки до приобъектного склада, то графа 9 не заполняется.</w:t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  <w:t>5. Данные граф 2, 4, 9-11,20 для прочих затрат заполняются при их наличии.</w:t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  <w:t>6. При отсутствии в обосновывающих стоимость материальных ресурсов, оборудования, работ и услуг документах производителей и (или) поставщиков сведений по графам 16-20 соответствующие графы формы конъюнктурного анализа заполняются на основании информации из открытых и (или) официальных источников.</w:t>
      </w:r>
    </w:p>
    <w:p>
      <w:p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</w:r>
    </w:p>
    <w:p>
      <w:pPr>
        <w:sectPr>
          <w:footerReference w:type="default" r:id="rId15"/>
          <w:footerReference w:type="first" r:id="rId16"/>
          <w:type w:val="nextPage"/>
          <w:pgSz w:orient="landscape" w:w="16838" w:h="11906"/>
          <w:pgMar w:left="425" w:right="851" w:gutter="0" w:header="0" w:top="1276" w:footer="709" w:bottom="766"/>
          <w:pgNumType w:fmt="decimal"/>
          <w:formProt w:val="false"/>
          <w:textDirection w:val="lrTb"/>
          <w:docGrid w:type="default" w:linePitch="360" w:charSpace="0"/>
        </w:sectPr>
        <w:pStyle w:val="HEADERTEXT"/>
        <w:rPr>
          <w:rFonts w:ascii="Times New Roman" w:hAnsi="Times New Roman" w:eastAsia="Times New Roman"/>
          <w:color w:val="auto"/>
          <w:shd w:fill="auto" w:val="clear"/>
        </w:rPr>
      </w:pPr>
      <w:r>
        <w:rPr>
          <w:rFonts w:eastAsia="Times New Roman" w:ascii="Times New Roman" w:hAnsi="Times New Roman"/>
          <w:color w:val="000000"/>
          <w:shd w:fill="auto" w:val="clear"/>
        </w:rPr>
        <w:t>7. При отсутствии у производителя (поставщика) веб-сайта графа 18 не заполняется.".</w:t>
      </w:r>
    </w:p>
    <w:p>
      <w:pPr>
        <w:pStyle w:val="Normal"/>
        <w:spacing w:lineRule="auto" w:line="240" w:before="0" w:after="0"/>
        <w:ind w:left="6373" w:right="2947" w:firstLine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lineRule="auto" w:line="240" w:before="0" w:after="0"/>
        <w:jc w:val="right"/>
        <w:rPr/>
      </w:pPr>
      <w:r>
        <w:rPr>
          <w:rStyle w:val="Style15"/>
          <w:rFonts w:ascii="Times New Roman" w:hAnsi="Times New Roman"/>
          <w:iCs/>
          <w:shd w:fill="auto" w:val="clear"/>
        </w:rPr>
        <w:t>Приложение № 2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оформлению и составлению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сметной документации на выполнение проектных и изыскательских работ.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ConsPlusNormal1"/>
        <w:numPr>
          <w:ilvl w:val="0"/>
          <w:numId w:val="42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Настоящие требования разработаны для единого подхода к определению стоимости проектных и изыскательских работ (далее - ПИР).</w:t>
      </w:r>
    </w:p>
    <w:p>
      <w:pPr>
        <w:pStyle w:val="ConsPlusNormal1"/>
        <w:numPr>
          <w:ilvl w:val="0"/>
          <w:numId w:val="43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Затраты на проведение инженерных изысканий, подготовку проектной и рабочей документации определяются расчетами на основании сметных нормативов, сведения о которых включены в ФРСН.</w:t>
      </w:r>
    </w:p>
    <w:p>
      <w:pPr>
        <w:pStyle w:val="ListParagraph"/>
        <w:numPr>
          <w:ilvl w:val="0"/>
          <w:numId w:val="44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Сметы на ПИР составлять на основании технических требований (технического задания) заказчика, графиков производства работ, программы изысканий. </w:t>
      </w:r>
    </w:p>
    <w:p>
      <w:pPr>
        <w:pStyle w:val="ListParagraph"/>
        <w:numPr>
          <w:ilvl w:val="0"/>
          <w:numId w:val="45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Сметный расчет стоимости изыскательских работ составляется в соответствии с </w:t>
      </w:r>
    </w:p>
    <w:p>
      <w:pPr>
        <w:pStyle w:val="ListParagraph"/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>прилагаемой к сметному расчету программой изысканий. Программа изысканий составляется исполнителем на основе технического задания заказчика с учетом требований соответствующих нормативных документов, регламентирующих состав и объем изыскательских работ.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окончании изысканий составляется сметный расчет – исполнительная смета (необходимо предусмотреть условиями договора) на основе технического отчета по результатам изысканий в соответствии с составом и объемами фактически выполненных работ с учетом категории сложности их выполнения.</w:t>
      </w:r>
    </w:p>
    <w:p>
      <w:pPr>
        <w:pStyle w:val="ListParagraph"/>
        <w:numPr>
          <w:ilvl w:val="0"/>
          <w:numId w:val="46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Стоимость проектных работ на строительство, реконструкцию и техническое перевооружение объектов производственного назначения определяется на основе Справочников базовых цен на соответствующие работы, входящих в ФРСН, «Методических указаний по применению Справочников базовых цен на проектные работы в строительстве», утвержденных Приказом Министерства регионального развития РФ от 29.12.2009 № 620 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(далее - Методика №620) и Методики определения стоимости работ по подготовке проектной документации, утвержденной Приказом Министерства строительства и жилищно-коммунального хозяйства РФ от 1 октября 2021 г. N 707/пр. (далее – Методика №707) не противоречащим положениям Методики №620 и Справочникам базовых цен (далее – СБЦ) на проектные работы в строительстве . </w:t>
      </w:r>
    </w:p>
    <w:p>
      <w:pPr>
        <w:pStyle w:val="ListParagraph"/>
        <w:numPr>
          <w:ilvl w:val="0"/>
          <w:numId w:val="47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Стоимость изыскательских работ определять на основе «Методического пособия по определению стоимости инженерных изысканий для строительства», утвержденного письмом Госстроя России от 31.03.2004 № НЗ-2078/10 и внесенного в ФРСН нормативов или иного актуального документа.  </w:t>
      </w:r>
    </w:p>
    <w:p>
      <w:pPr>
        <w:pStyle w:val="ListParagraph"/>
        <w:numPr>
          <w:ilvl w:val="0"/>
          <w:numId w:val="48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определении стоимости изыскательских работ </w:t>
      </w:r>
      <w:r>
        <w:rPr>
          <w:rFonts w:ascii="Times New Roman" w:hAnsi="Times New Roman"/>
          <w:b/>
          <w:sz w:val="24"/>
          <w:szCs w:val="24"/>
        </w:rPr>
        <w:t>по согласованию с Заказчиком</w:t>
      </w:r>
      <w:r>
        <w:rPr>
          <w:rFonts w:ascii="Times New Roman" w:hAnsi="Times New Roman"/>
          <w:sz w:val="24"/>
          <w:szCs w:val="24"/>
        </w:rPr>
        <w:t xml:space="preserve"> возможно применять следующие коэффициенты в соответствии с письмом ПАО «ПНИИИС» от 03.04.2014 №11/298:</w:t>
      </w:r>
    </w:p>
    <w:p>
      <w:pPr>
        <w:pStyle w:val="ListParagraph"/>
        <w:numPr>
          <w:ilvl w:val="0"/>
          <w:numId w:val="5"/>
        </w:numPr>
        <w:tabs>
          <w:tab w:val="clear" w:pos="709"/>
          <w:tab w:val="left" w:pos="567" w:leader="none"/>
        </w:tabs>
        <w:spacing w:lineRule="auto" w:line="240" w:before="0" w:after="0"/>
        <w:ind w:left="567" w:firstLine="28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1,75 – «выполнение картографических работ с составлением планов (продольных профилей) в двух видах: на магнитном и бумажном носителях» (п. 15 е Общих указаний) - при наличии в технических требованиях указания о необходимости составления инженерно-топографических планов (продольных профилей) в двух видах (в электронном виде и на планшете на жесткой основе), либо при выявлении данных требований в процессе выполнения изысканий;</w:t>
      </w:r>
    </w:p>
    <w:p>
      <w:pPr>
        <w:pStyle w:val="ListParagraph"/>
        <w:numPr>
          <w:ilvl w:val="0"/>
          <w:numId w:val="5"/>
        </w:numPr>
        <w:tabs>
          <w:tab w:val="clear" w:pos="709"/>
          <w:tab w:val="left" w:pos="567" w:leader="none"/>
        </w:tabs>
        <w:spacing w:lineRule="auto" w:line="240" w:before="0" w:after="0"/>
        <w:ind w:left="567" w:firstLine="28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1,2 – «выполнение камеральных и картографических работ с применением компьютерных технологий» (п. 15 д Общих указаний) – применяется при условии, что топографические планы выполняются только в электронном виде (распечатка является вариантом электронной версии);</w:t>
      </w:r>
    </w:p>
    <w:p>
      <w:pPr>
        <w:pStyle w:val="ListParagraph"/>
        <w:numPr>
          <w:ilvl w:val="0"/>
          <w:numId w:val="5"/>
        </w:numPr>
        <w:tabs>
          <w:tab w:val="clear" w:pos="709"/>
          <w:tab w:val="left" w:pos="567" w:leader="none"/>
        </w:tabs>
        <w:spacing w:lineRule="auto" w:line="240" w:before="0" w:after="0"/>
        <w:ind w:left="567" w:firstLine="28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1,25 – «при выполнении полевых работ на территориях гидроэлектростанций» (п. 8 в Общих указаний) – на станциях Северного Кавказа и Амурской области;</w:t>
      </w:r>
    </w:p>
    <w:p>
      <w:pPr>
        <w:pStyle w:val="ListParagraph"/>
        <w:numPr>
          <w:ilvl w:val="0"/>
          <w:numId w:val="5"/>
        </w:numPr>
        <w:tabs>
          <w:tab w:val="clear" w:pos="709"/>
          <w:tab w:val="left" w:pos="567" w:leader="none"/>
        </w:tabs>
        <w:spacing w:lineRule="auto" w:line="240" w:before="0" w:after="0"/>
        <w:ind w:left="567" w:firstLine="28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1,15 – «при выполнении полевых работ на территориях гидроэлектростанций 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и ТЭЦ» </w:t>
      </w:r>
      <w:r>
        <w:rPr>
          <w:rFonts w:ascii="Times New Roman" w:hAnsi="Times New Roman"/>
          <w:sz w:val="24"/>
          <w:szCs w:val="24"/>
        </w:rPr>
        <w:t>(п. 8 в Общих указаний) – на всех гидроэлектростанциях и ТЭЦ, кроме станций Северного Кавказа и Амурской области</w:t>
      </w:r>
    </w:p>
    <w:p>
      <w:pPr>
        <w:pStyle w:val="ListParagraph"/>
        <w:numPr>
          <w:ilvl w:val="0"/>
          <w:numId w:val="49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Применение расценки, предусмотренной § 4 таблицы 73 «Изготовление копии профиля на кальке с оригинала, вычерченного в карандаше» обоснованно, если такой вид работ в действительности выполнялся (был предусмотрен заданием и/или программой работ).</w:t>
      </w:r>
    </w:p>
    <w:p>
      <w:pPr>
        <w:pStyle w:val="ListParagraph"/>
        <w:numPr>
          <w:ilvl w:val="0"/>
          <w:numId w:val="50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определении стоимости ПИР в сметных расчетах указывать полное наименование нормативного документа, на основании, которого составляется сметная документация с указанием всех реквизитов документа.</w:t>
      </w:r>
    </w:p>
    <w:p>
      <w:pPr>
        <w:pStyle w:val="ListParagraph"/>
        <w:numPr>
          <w:ilvl w:val="0"/>
          <w:numId w:val="51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использовании в сметах коэффициентов (доплат, процентов и т.д.) в графе «Номер частей, глав, таблиц, процентов…» указывать обоснование из методических указаний, общих положений сборников или других нормативных документов и приложений к ним.</w:t>
      </w:r>
    </w:p>
    <w:p>
      <w:pPr>
        <w:pStyle w:val="ListParagraph"/>
        <w:numPr>
          <w:ilvl w:val="0"/>
          <w:numId w:val="52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Проектная документация отдельных этапов строительства, реконструкции и различных видов объектов капитального строительства должна быть выполнена в соответствии с «Положением о составе разделов проектной документации и требованиях к их содержанию», утвержденным Постановлением Правительства РФ от 16.02.2008 №87.</w:t>
      </w:r>
    </w:p>
    <w:p>
      <w:pPr>
        <w:pStyle w:val="ListParagraph"/>
        <w:numPr>
          <w:ilvl w:val="0"/>
          <w:numId w:val="53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Пересчет сметной стоимости проектных (изыскательских) работ по состоянию на 01.01.2001г, 01.01.1995г. (1991г.) следует производить согласно индексам на указанные (проектные или изыскательские) работы, рекомендованным к применению письмом соответствующего органа исполнительной власти, уполномоченного в области сметного нормирования и ценообразования в сфере градостроительной деятельности.</w:t>
      </w:r>
    </w:p>
    <w:p>
      <w:pPr>
        <w:pStyle w:val="ListParagraph"/>
        <w:numPr>
          <w:ilvl w:val="0"/>
          <w:numId w:val="54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определении стоимости проектных работ от стоимости строительства по сборникам базовых цен на проектные работы для строительства, разработанным в уровне цен 2001 года необходимо руководствоваться пунктом 2.2 раздела </w:t>
      </w:r>
      <w:r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 xml:space="preserve"> МУ. При определении стоимости проектных работ от стоимости строительства по сборникам базовых цен на проектные работы для строительства (изд. 1994-1999 гг.) стоимость строительства следует приводить к уровню цен по состоянию на 01.01.1991. Для пересчета стоимости строительно-монтажных работ и прочих затрат из уровня цен по состоянию на 01.01.2000 в уровень цен по состоянию 01.01.1991 и обратно использовать соответствующее отношение индексов пересчета из уровня цен 1991-го и 2000 года в уровень цен I квартала 2010 года, опубликованных в последней официальной публикации индексов Министерства регионального развития Российской Федерации к уровню цен 1991 года (письмо от 20 января 2010 г. № 1289-СК/08). При отсутствии разделения стоимости строительства на «Строительно-монтажные работы», «Оборудование» и «Прочие затраты» применяется индекс на строительно-монтажные работы».</w:t>
      </w:r>
    </w:p>
    <w:p>
      <w:pPr>
        <w:pStyle w:val="ListParagraph"/>
        <w:numPr>
          <w:ilvl w:val="0"/>
          <w:numId w:val="55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  <w:shd w:fill="auto" w:val="clear"/>
        </w:rPr>
        <w:t>При составлении сметной документации на подготовку проектной документации рекомендуется дополнить Технические требования пунктом о составлении проектной организацией Ведомости объемов конструктивных решений (элементов) и комплексов (видов) работ, оборудования.</w:t>
      </w:r>
    </w:p>
    <w:p>
      <w:pPr>
        <w:pStyle w:val="ConsPlusNormal1"/>
        <w:widowControl/>
        <w:numPr>
          <w:ilvl w:val="0"/>
          <w:numId w:val="56"/>
        </w:numPr>
        <w:tabs>
          <w:tab w:val="clear" w:pos="709"/>
          <w:tab w:val="left" w:pos="1134" w:leader="none"/>
        </w:tabs>
        <w:spacing w:before="40" w:after="40"/>
        <w:ind w:left="0"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В сметных расчетах допускается использовать прогнозные индексы-дефляторы в соответствии с текущим прогнозом Министерства экономического развития РФ по строке ИПЦ (индекс потребительских цен), в среднем за год, вариант – базовый (указать реквизиты приказа при формировании ТТ) в размере … (указать размер применяемых индексов-дефляторов). </w:t>
      </w:r>
    </w:p>
    <w:p>
      <w:pPr>
        <w:pStyle w:val="ConsPlusNormal1"/>
        <w:widowControl/>
        <w:tabs>
          <w:tab w:val="clear" w:pos="709"/>
          <w:tab w:val="left" w:pos="1134" w:leader="none"/>
        </w:tabs>
        <w:spacing w:before="40" w:after="40"/>
        <w:ind w:left="567" w:hanging="0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Стоимость работ определяется по формуле: </w:t>
      </w:r>
    </w:p>
    <w:p>
      <w:pPr>
        <w:pStyle w:val="ConsPlusNormal1"/>
        <w:spacing w:before="40" w:after="40"/>
        <w:ind w:firstLine="1276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  </w:t>
      </w: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Цд</m:t>
        </m:r>
        <m:r>
          <w:rPr>
            <w:rFonts w:ascii="Cambria Math" w:hAnsi="Cambria Math"/>
          </w:rPr>
          <m:t xml:space="preserve">=</m:t>
        </m:r>
        <m:r>
          <w:rPr>
            <w:rFonts w:ascii="Cambria Math" w:hAnsi="Cambria Math"/>
          </w:rPr>
          <m:t xml:space="preserve">С</m:t>
        </m:r>
        <m:r>
          <w:rPr>
            <w:rFonts w:ascii="Cambria Math" w:hAnsi="Cambria Math"/>
          </w:rPr>
          <m:t xml:space="preserve">∗</m:t>
        </m:r>
        <m:r>
          <w:rPr>
            <w:rFonts w:ascii="Cambria Math" w:hAnsi="Cambria Math"/>
          </w:rPr>
          <m:t xml:space="preserve">Иинфл</m:t>
        </m:r>
        <m:d>
          <m:dPr>
            <m:begChr m:val="("/>
            <m:endChr m:val=")"/>
          </m:dPr>
          <m:e>
            <m:r>
              <w:rPr>
                <w:rFonts w:ascii="Cambria Math" w:hAnsi="Cambria Math"/>
              </w:rPr>
              <m:t xml:space="preserve">1</m:t>
            </m:r>
          </m:e>
        </m:d>
      </m:oMath>
    </w:p>
    <w:p>
      <w:pPr>
        <w:pStyle w:val="ConsPlusNormal1"/>
        <w:widowControl/>
        <w:spacing w:before="40" w:after="40"/>
        <w:ind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где</w:t>
      </w:r>
    </w:p>
    <w:p>
      <w:pPr>
        <w:pStyle w:val="ConsPlusNormal1"/>
        <w:widowControl/>
        <w:spacing w:before="40" w:after="40"/>
        <w:ind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Цд – стоимость договора;</w:t>
      </w:r>
    </w:p>
    <w:p>
      <w:pPr>
        <w:pStyle w:val="ConsPlusNormal1"/>
        <w:widowControl/>
        <w:spacing w:before="40" w:after="40"/>
        <w:ind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С - сметная стоимость подрядных работ, подлежащих выполнению подрядчиком; </w:t>
      </w:r>
    </w:p>
    <w:p>
      <w:pPr>
        <w:pStyle w:val="ConsPlusNormal1"/>
        <w:widowControl/>
        <w:spacing w:before="40" w:after="40"/>
        <w:ind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Иинф – индекс инфляции, рассчитываемый как среднее арифметическое значение между индексами прогнозной инфляции на даты начала и окончания работ. При расчете индекса прогнозной инфляции определение периода выполнения работ осуществляется исходя из продолжительности, установленной заказчиком в задании на выполнение проектных и изыскательских работ.</w:t>
      </w:r>
    </w:p>
    <w:p>
      <w:pPr>
        <w:pStyle w:val="ConsPlusNormal1"/>
        <w:spacing w:before="40" w:after="4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</w:r>
    </w:p>
    <w:p>
      <w:pPr>
        <w:pStyle w:val="ConsPlusNormal1"/>
        <w:spacing w:before="40" w:after="40"/>
        <w:ind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В случае, если срок выполнения работ превышает календарный год, то индекс инфляции определяется по формуле: </w:t>
      </w:r>
    </w:p>
    <w:p>
      <w:pPr>
        <w:pStyle w:val="ConsPlusNormal1"/>
        <w:widowControl/>
        <w:spacing w:before="40" w:after="40"/>
        <w:ind w:firstLine="426"/>
        <w:jc w:val="center"/>
        <w:rPr>
          <w:highlight w:val="none"/>
          <w:shd w:fill="auto" w:val="clear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r>
            <w:rPr>
              <w:rFonts w:ascii="Cambria Math" w:hAnsi="Cambria Math"/>
            </w:rPr>
            <m:t xml:space="preserve">И</m:t>
          </m:r>
          <m:r>
            <w:rPr>
              <w:rFonts w:ascii="Cambria Math" w:hAnsi="Cambria Math"/>
            </w:rPr>
            <m:t xml:space="preserve">инф</m:t>
          </m:r>
          <m:r>
            <w:rPr>
              <w:rFonts w:ascii="Cambria Math" w:hAnsi="Cambria Math"/>
            </w:rPr>
            <m:t xml:space="preserve">=</m:t>
          </m:r>
          <m:r>
            <w:rPr>
              <w:rFonts w:ascii="Cambria Math" w:hAnsi="Cambria Math"/>
            </w:rPr>
            <m:t xml:space="preserve">Д</m:t>
          </m:r>
          <m:r>
            <w:rPr>
              <w:rFonts w:ascii="Cambria Math" w:hAnsi="Cambria Math"/>
            </w:rPr>
            <m:t xml:space="preserve">1</m:t>
          </m:r>
          <m:r>
            <w:rPr>
              <w:rFonts w:ascii="Cambria Math" w:hAnsi="Cambria Math"/>
            </w:rPr>
            <m:t xml:space="preserve">∗</m:t>
          </m:r>
          <m:r>
            <w:rPr>
              <w:rFonts w:ascii="Cambria Math" w:hAnsi="Cambria Math"/>
            </w:rPr>
            <m:t xml:space="preserve">К</m:t>
          </m:r>
          <m:r>
            <w:rPr>
              <w:rFonts w:ascii="Cambria Math" w:hAnsi="Cambria Math"/>
            </w:rPr>
            <m:t xml:space="preserve">1</m:t>
          </m:r>
          <m:r>
            <w:rPr>
              <w:rFonts w:ascii="Cambria Math" w:hAnsi="Cambria Math"/>
            </w:rPr>
            <m:t xml:space="preserve">+</m:t>
          </m:r>
          <m:r>
            <w:rPr>
              <w:rFonts w:ascii="Cambria Math" w:hAnsi="Cambria Math"/>
            </w:rPr>
            <m:t xml:space="preserve">Д</m:t>
          </m:r>
          <m:r>
            <w:rPr>
              <w:rFonts w:ascii="Cambria Math" w:hAnsi="Cambria Math"/>
            </w:rPr>
            <m:t xml:space="preserve">2</m:t>
          </m:r>
          <m:r>
            <w:rPr>
              <w:rFonts w:ascii="Cambria Math" w:hAnsi="Cambria Math"/>
            </w:rPr>
            <m:t xml:space="preserve">∗</m:t>
          </m:r>
          <m:r>
            <w:rPr>
              <w:rFonts w:ascii="Cambria Math" w:hAnsi="Cambria Math"/>
            </w:rPr>
            <m:t xml:space="preserve">К</m:t>
          </m:r>
          <m:r>
            <w:rPr>
              <w:rFonts w:ascii="Cambria Math" w:hAnsi="Cambria Math"/>
            </w:rPr>
            <m:t xml:space="preserve">2</m:t>
          </m:r>
          <m:r>
            <w:rPr>
              <w:rFonts w:ascii="Cambria Math" w:hAnsi="Cambria Math"/>
            </w:rPr>
            <m:t xml:space="preserve">+</m:t>
          </m:r>
          <m:r>
            <w:rPr>
              <w:rFonts w:ascii="Cambria Math" w:hAnsi="Cambria Math"/>
            </w:rPr>
            <m:t xml:space="preserve">...</m:t>
          </m:r>
          <m:r>
            <w:rPr>
              <w:rFonts w:ascii="Cambria Math" w:hAnsi="Cambria Math"/>
            </w:rPr>
            <m:t xml:space="preserve">+</m:t>
          </m:r>
          <m:r>
            <w:rPr>
              <w:rFonts w:ascii="Cambria Math" w:hAnsi="Cambria Math"/>
            </w:rPr>
            <m:t xml:space="preserve">Д</m:t>
          </m:r>
          <m:r>
            <w:rPr>
              <w:rFonts w:ascii="Cambria Math" w:hAnsi="Cambria Math"/>
            </w:rPr>
            <m:t xml:space="preserve">i</m:t>
          </m:r>
          <m:r>
            <w:rPr>
              <w:rFonts w:ascii="Cambria Math" w:hAnsi="Cambria Math"/>
            </w:rPr>
            <m:t xml:space="preserve">∗</m:t>
          </m:r>
          <m:r>
            <w:rPr>
              <w:rFonts w:ascii="Cambria Math" w:hAnsi="Cambria Math"/>
            </w:rPr>
            <m:t xml:space="preserve">К</m:t>
          </m:r>
          <m:r>
            <w:rPr>
              <w:rFonts w:ascii="Cambria Math" w:hAnsi="Cambria Math"/>
            </w:rPr>
            <m:t xml:space="preserve">i</m:t>
          </m:r>
          <m:d>
            <m:dPr>
              <m:begChr m:val="("/>
              <m:endChr m:val=")"/>
            </m:dPr>
            <m:e>
              <m:r>
                <w:rPr>
                  <w:rFonts w:ascii="Cambria Math" w:hAnsi="Cambria Math"/>
                </w:rPr>
                <m:t xml:space="preserve">2</m:t>
              </m:r>
            </m:e>
          </m:d>
        </m:oMath>
      </m:oMathPara>
    </w:p>
    <w:p>
      <w:pPr>
        <w:pStyle w:val="ConsPlusNormal1"/>
        <w:widowControl/>
        <w:spacing w:before="40" w:after="40"/>
        <w:ind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где</w:t>
      </w:r>
    </w:p>
    <w:p>
      <w:pPr>
        <w:pStyle w:val="Dt-p"/>
        <w:shd w:val="clear" w:color="auto" w:fill="FFFFFF"/>
        <w:spacing w:beforeAutospacing="0" w:before="0" w:afterAutospacing="0" w:after="0"/>
        <w:ind w:firstLine="567"/>
        <w:jc w:val="both"/>
        <w:textAlignment w:val="baseline"/>
        <w:rPr>
          <w:highlight w:val="none"/>
          <w:shd w:fill="auto" w:val="clear"/>
        </w:rPr>
      </w:pPr>
      <w:r>
        <w:rPr>
          <w:color w:val="000000"/>
          <w:shd w:fill="auto" w:val="clear"/>
        </w:rPr>
        <w:t>Д1,Д2,Д</w:t>
      </w:r>
      <w:r>
        <w:rPr>
          <w:color w:val="000000"/>
          <w:shd w:fill="auto" w:val="clear"/>
          <w:lang w:val="en-US"/>
        </w:rPr>
        <w:t>i</w:t>
      </w:r>
      <w:r>
        <w:rPr>
          <w:color w:val="000000"/>
          <w:shd w:fill="auto" w:val="clear"/>
        </w:rPr>
        <w:t xml:space="preserve"> - доля сметной стоимости работ, подлежащих выполнению соответственно в 1-й, 2-й, 3-й, i-ый годы строительства;</w:t>
      </w:r>
      <w:bookmarkStart w:id="36" w:name="l170"/>
      <w:bookmarkEnd w:id="36"/>
    </w:p>
    <w:p>
      <w:pPr>
        <w:pStyle w:val="Dt-p"/>
        <w:shd w:val="clear" w:color="auto" w:fill="FFFFFF"/>
        <w:spacing w:beforeAutospacing="0" w:before="0" w:afterAutospacing="0" w:after="0"/>
        <w:ind w:firstLine="567"/>
        <w:jc w:val="both"/>
        <w:textAlignment w:val="baseline"/>
        <w:rPr>
          <w:highlight w:val="none"/>
          <w:shd w:fill="auto" w:val="clear"/>
        </w:rPr>
      </w:pPr>
      <w:r>
        <w:rPr>
          <w:color w:val="000000"/>
          <w:shd w:fill="auto" w:val="clear"/>
        </w:rPr>
        <w:t>i - год завершения строительства объекта;</w:t>
      </w:r>
    </w:p>
    <w:p>
      <w:pPr>
        <w:pStyle w:val="Dt-p"/>
        <w:shd w:val="clear" w:color="auto" w:fill="FFFFFF"/>
        <w:spacing w:beforeAutospacing="0" w:before="0" w:afterAutospacing="0" w:after="0"/>
        <w:ind w:firstLine="567"/>
        <w:jc w:val="both"/>
        <w:textAlignment w:val="baseline"/>
        <w:rPr>
          <w:highlight w:val="none"/>
          <w:shd w:fill="auto" w:val="clear"/>
        </w:rPr>
      </w:pPr>
      <w:r>
        <w:rPr>
          <w:color w:val="000000"/>
          <w:shd w:fill="auto" w:val="clear"/>
        </w:rPr>
        <w:t>К1 - индекс прогнозной инфляции за первый год строительства объекта, определяемый как среднее арифметическое между индексом прогнозной инфляции на дату начала строительства объекта и индексом прогнозной инфляции на декабрь первого года строительства объекта;</w:t>
      </w:r>
      <w:bookmarkStart w:id="37" w:name="l38"/>
      <w:bookmarkEnd w:id="37"/>
    </w:p>
    <w:p>
      <w:pPr>
        <w:pStyle w:val="Dt-p"/>
        <w:shd w:val="clear" w:color="auto" w:fill="FFFFFF"/>
        <w:spacing w:beforeAutospacing="0" w:before="0" w:afterAutospacing="0" w:after="0"/>
        <w:ind w:firstLine="567"/>
        <w:jc w:val="both"/>
        <w:textAlignment w:val="baseline"/>
        <w:rPr>
          <w:highlight w:val="none"/>
          <w:shd w:fill="auto" w:val="clear"/>
        </w:rPr>
      </w:pPr>
      <w:r>
        <w:rPr>
          <w:color w:val="000000"/>
          <w:shd w:fill="auto" w:val="clear"/>
        </w:rPr>
        <w:t>К2 - индекс прогнозной инфляции, учитывающий инфляцию за первый и второй годы строительства объекта. Рассчитывается как произведение индекса прогнозной инфляции, устанавливаемого нарастающим итогом на декабрь первого года строительства объекта, и индекса прогнозной инфляции на второй год строительства объекта, определенного как среднее арифметическое между индексом прогнозной инфляции на январь второго года строительства объекта и индекса прогнозной инфляции на декабрь второго года строительства объекта;</w:t>
      </w:r>
      <w:bookmarkStart w:id="38" w:name="l39"/>
      <w:bookmarkStart w:id="39" w:name="l171"/>
      <w:bookmarkEnd w:id="38"/>
      <w:bookmarkEnd w:id="39"/>
    </w:p>
    <w:p>
      <w:pPr>
        <w:pStyle w:val="ConsPlusNormal1"/>
        <w:spacing w:before="40" w:after="40"/>
        <w:ind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К3 - индекс прогнозной инфляции, учитывающий инфляцию за весь период строительства объекта. Указанный индекс рассчитывается как произведение индекса прогнозной инфляции, устанавливаемого нарастающим итогом на декабрь предшествующего года строительства объекта, и индекса прогнозной инфляции на последний год строительства объекта, определенного как среднее арифметическое между индексом прогнозной инфляции на январь последнего года строительства объекта и индексом прогнозной инфляции на дату окончания строительства объекта в последнем году.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</w:t>
      </w:r>
    </w:p>
    <w:p>
      <w:pPr>
        <w:pStyle w:val="ConsPlusNormal1"/>
        <w:spacing w:before="40" w:after="40"/>
        <w:ind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При этом:</w:t>
      </w:r>
    </w:p>
    <w:p>
      <w:pPr>
        <w:pStyle w:val="ConsPlusNormal1"/>
        <w:spacing w:before="40" w:after="40"/>
        <w:ind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1) если срок выполнения работ указан в целом по договору (дата начала работ – дата окончание работ), применяется единый дефлятор, в соответствии с формулой (1)</w:t>
      </w:r>
    </w:p>
    <w:p>
      <w:pPr>
        <w:pStyle w:val="ConsPlusNormal1"/>
        <w:spacing w:before="40" w:after="40"/>
        <w:ind w:firstLine="567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2) если договором предусмотрен график выполнения работ с разбивкой на этапы (дата начала работ по этапу – дата окончания работ по этапу), дефлятор применяется в соответствии с таким графиком, и рассчитывается на каждый этап, в соответствии с формулой (2).</w:t>
      </w:r>
    </w:p>
    <w:p>
      <w:pPr>
        <w:pStyle w:val="ConsPlusNormal1"/>
        <w:widowControl/>
        <w:spacing w:before="40" w:after="4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ListParagraph"/>
        <w:numPr>
          <w:ilvl w:val="0"/>
          <w:numId w:val="57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определении стоимости ПИР, затраты проектной организации, расположенной в районах, в которых, в соответствии с действующим законодательством производятся выплаты, обусловленные районным регулированием оплаты труда, в т.ч. выплаты по районным коэффициентам, а также надбавки за непрерывный стаж и других льгот, предусмотренных законодательством в районах Крайнего Севера и приравненных к ним местностям на основании: «Рекомендаций по определению коэффициента к базовым ценам на проектные работы, учитывающего дополнительные затраты организаций на льготные выплаты по заработной плате», одобренных и рекомендованных к применению письмом Госстроя России от 30.06.98 N 9-10-17/40 учитываются путем введения к итогу базовой цены повышающих коэффициентов. Размер примененных коэффициентов, доплат и т.д. указывать с обоснованиями из технической части, вводных указаний сборников или других нормативных документов</w:t>
      </w:r>
    </w:p>
    <w:p>
      <w:pPr>
        <w:pStyle w:val="ListParagraph"/>
        <w:numPr>
          <w:ilvl w:val="0"/>
          <w:numId w:val="58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разработки раздела «Оценка воздействия на окружающую среду» принимается в размере не более 4% от общей стоимости проектных работ.</w:t>
      </w:r>
    </w:p>
    <w:p>
      <w:pPr>
        <w:pStyle w:val="ConsPlusNormal1"/>
        <w:numPr>
          <w:ilvl w:val="0"/>
          <w:numId w:val="59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случае отсутствия в сметных нормативах, сведения о которых включены в ФРСН, показателей и нормативов цены проектных работ, стоимость работ по подготовке проектной документации определяется в соответствии с положениями Методики №620, либо по нормативному акту, пришедшему на смену данному документу.</w:t>
      </w:r>
    </w:p>
    <w:p>
      <w:pPr>
        <w:pStyle w:val="ConsPlusNormal1"/>
        <w:numPr>
          <w:ilvl w:val="0"/>
          <w:numId w:val="60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Стоимость работ, цены на которые отсутствуют в МНЗ и СБЦ, внесенных в </w:t>
      </w:r>
      <w:r>
        <w:rPr>
          <w:rFonts w:cs="Times New Roman" w:ascii="Times New Roman" w:hAnsi="Times New Roman"/>
          <w:sz w:val="24"/>
          <w:szCs w:val="24"/>
        </w:rPr>
        <w:t>ФРСН</w:t>
      </w:r>
      <w:r>
        <w:rPr>
          <w:rFonts w:ascii="Times New Roman" w:hAnsi="Times New Roman"/>
          <w:sz w:val="24"/>
          <w:szCs w:val="24"/>
        </w:rPr>
        <w:t xml:space="preserve">, возможно определять сметным расчетом по себестоимости и сложившемуся уровню рентабельности (форма </w:t>
      </w:r>
      <w:hyperlink r:id="rId17">
        <w:r>
          <w:rPr>
            <w:rStyle w:val="Hyperlink"/>
            <w:rFonts w:ascii="Times New Roman" w:hAnsi="Times New Roman"/>
            <w:sz w:val="24"/>
            <w:szCs w:val="24"/>
          </w:rPr>
          <w:t>3п</w:t>
        </w:r>
      </w:hyperlink>
      <w:r>
        <w:rPr>
          <w:rFonts w:ascii="Times New Roman" w:hAnsi="Times New Roman"/>
          <w:sz w:val="24"/>
          <w:szCs w:val="24"/>
        </w:rPr>
        <w:t>) по согласованию с Заказчиком.</w:t>
      </w:r>
    </w:p>
    <w:p>
      <w:pPr>
        <w:pStyle w:val="ConsPlusNormal1"/>
        <w:numPr>
          <w:ilvl w:val="0"/>
          <w:numId w:val="61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проведения государственной экспертизы проектных работ определяется согласно Постановлению Правительства РФ от 5 марта 2007 г. № 145 «О порядке организации и проведения государственной экспертизы проектной документации и результатов инженерных изысканий».</w:t>
      </w:r>
    </w:p>
    <w:p>
      <w:pPr>
        <w:pStyle w:val="ConsPlusNormal1"/>
        <w:widowControl/>
        <w:numPr>
          <w:ilvl w:val="0"/>
          <w:numId w:val="62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Сметы на ПИР предоставляются в форматах: «Excel» и «</w:t>
      </w:r>
      <w:r>
        <w:rPr>
          <w:rFonts w:cs="Times New Roman" w:ascii="Times New Roman" w:hAnsi="Times New Roman"/>
          <w:sz w:val="24"/>
          <w:szCs w:val="24"/>
          <w:lang w:val="en-US"/>
        </w:rPr>
        <w:t>pdf</w:t>
      </w:r>
      <w:r>
        <w:rPr>
          <w:rFonts w:cs="Times New Roman" w:ascii="Times New Roman" w:hAnsi="Times New Roman"/>
          <w:sz w:val="24"/>
          <w:szCs w:val="24"/>
        </w:rPr>
        <w:t>» (с подписями и печатью). Сметная документация в формате «Exce</w:t>
      </w:r>
      <w:r>
        <w:rPr>
          <w:rFonts w:cs="Times New Roman" w:ascii="Times New Roman" w:hAnsi="Times New Roman"/>
          <w:sz w:val="24"/>
          <w:szCs w:val="24"/>
          <w:lang w:val="en-US"/>
        </w:rPr>
        <w:t>l</w:t>
      </w:r>
      <w:r>
        <w:rPr>
          <w:rFonts w:cs="Times New Roman" w:ascii="Times New Roman" w:hAnsi="Times New Roman"/>
          <w:sz w:val="24"/>
          <w:szCs w:val="24"/>
        </w:rPr>
        <w:t>» должна быть представлена в одном файле с внесением ССРСС, ЛСР и других расчетов на отдельные листы (вкладки) документа.</w:t>
      </w:r>
    </w:p>
    <w:p>
      <w:pPr>
        <w:pStyle w:val="ConsPlusNormal1"/>
        <w:numPr>
          <w:ilvl w:val="0"/>
          <w:numId w:val="63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Результаты вычислений </w:t>
      </w:r>
      <w:r>
        <w:rPr>
          <w:rFonts w:cs="Times New Roman" w:ascii="Times New Roman" w:hAnsi="Times New Roman"/>
          <w:sz w:val="24"/>
          <w:szCs w:val="24"/>
        </w:rPr>
        <w:t xml:space="preserve">(построчные) </w:t>
      </w:r>
      <w:r>
        <w:rPr>
          <w:rFonts w:ascii="Times New Roman" w:hAnsi="Times New Roman"/>
          <w:sz w:val="24"/>
          <w:szCs w:val="24"/>
        </w:rPr>
        <w:t xml:space="preserve">и итоговые данные в </w:t>
      </w:r>
      <w:r>
        <w:rPr>
          <w:rFonts w:cs="Times New Roman" w:ascii="Times New Roman" w:hAnsi="Times New Roman"/>
          <w:sz w:val="24"/>
          <w:szCs w:val="24"/>
        </w:rPr>
        <w:t>ЛСР (ЛС), приводятся в рублях,</w:t>
      </w:r>
    </w:p>
    <w:p>
      <w:pPr>
        <w:pStyle w:val="ConsPlusNormal1"/>
        <w:numPr>
          <w:ilvl w:val="0"/>
          <w:numId w:val="8"/>
        </w:numPr>
        <w:tabs>
          <w:tab w:val="clear" w:pos="709"/>
          <w:tab w:val="left" w:pos="567" w:leader="none"/>
          <w:tab w:val="left" w:pos="1134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базисно-индексном методе, с округлением до двух знаков после запятой (до копеек);</w:t>
      </w:r>
    </w:p>
    <w:p>
      <w:pPr>
        <w:pStyle w:val="ConsPlusNormal1"/>
        <w:numPr>
          <w:ilvl w:val="0"/>
          <w:numId w:val="8"/>
        </w:numPr>
        <w:tabs>
          <w:tab w:val="clear" w:pos="709"/>
          <w:tab w:val="left" w:pos="567" w:leader="none"/>
          <w:tab w:val="left" w:pos="1134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ресурсно-индексном и ресурсным методах, а также сметных расчетах на отдельные виды затрат - с округлением до целых единиц;</w:t>
      </w:r>
    </w:p>
    <w:p>
      <w:pPr>
        <w:pStyle w:val="ConsPlusNormal1"/>
        <w:numPr>
          <w:ilvl w:val="0"/>
          <w:numId w:val="8"/>
        </w:numPr>
        <w:tabs>
          <w:tab w:val="clear" w:pos="709"/>
          <w:tab w:val="left" w:pos="567" w:leader="none"/>
          <w:tab w:val="left" w:pos="1134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 сводной смете - в рублях с округлением до целых единиц. </w:t>
      </w:r>
    </w:p>
    <w:p>
      <w:pPr>
        <w:pStyle w:val="ConsPlusNormal1"/>
        <w:numPr>
          <w:ilvl w:val="0"/>
          <w:numId w:val="64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 w:eastAsia="Geneva" w:cs="" w:cstheme="minorBidi"/>
          <w:sz w:val="24"/>
          <w:szCs w:val="24"/>
          <w:lang w:eastAsia="en-US"/>
        </w:rPr>
      </w:pPr>
      <w:r>
        <w:rPr>
          <w:rFonts w:eastAsia="Geneva" w:cs="" w:ascii="Times New Roman" w:hAnsi="Times New Roman" w:cstheme="minorBidi"/>
          <w:sz w:val="24"/>
          <w:szCs w:val="24"/>
          <w:lang w:eastAsia="en-US"/>
        </w:rPr>
        <w:t xml:space="preserve">Командировочные расходы, учтенные в смете, подтверждаются отдельным расчетом. Лимиты командировочных расходов при производстве ПИР </w:t>
      </w:r>
      <w:r>
        <w:rPr>
          <w:rFonts w:cs="Times New Roman" w:ascii="Times New Roman" w:hAnsi="Times New Roman"/>
          <w:color w:val="000000"/>
          <w:sz w:val="24"/>
          <w:szCs w:val="24"/>
          <w:u w:val="single"/>
        </w:rPr>
        <w:t>не более</w:t>
      </w:r>
      <w:r>
        <w:rPr>
          <w:rFonts w:eastAsia="Geneva" w:cs="" w:ascii="Times New Roman" w:hAnsi="Times New Roman" w:cstheme="minorBidi"/>
          <w:sz w:val="24"/>
          <w:szCs w:val="24"/>
          <w:lang w:eastAsia="en-US"/>
        </w:rPr>
        <w:t>:</w:t>
      </w:r>
    </w:p>
    <w:p>
      <w:pPr>
        <w:pStyle w:val="ListParagraph"/>
        <w:tabs>
          <w:tab w:val="clear" w:pos="709"/>
          <w:tab w:val="left" w:pos="851" w:leader="none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 w:eastAsia="Geneva"/>
          <w:sz w:val="24"/>
          <w:szCs w:val="24"/>
        </w:rPr>
      </w:pPr>
      <w:r>
        <w:rPr>
          <w:rFonts w:eastAsia="Geneva" w:ascii="Times New Roman" w:hAnsi="Times New Roman"/>
          <w:sz w:val="24"/>
          <w:szCs w:val="24"/>
        </w:rPr>
        <w:t>суточные - 700 руб./сутки;</w:t>
      </w:r>
    </w:p>
    <w:p>
      <w:pPr>
        <w:pStyle w:val="ListParagraph"/>
        <w:tabs>
          <w:tab w:val="clear" w:pos="709"/>
          <w:tab w:val="left" w:pos="851" w:leader="none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 w:eastAsia="Geneva"/>
          <w:sz w:val="24"/>
          <w:szCs w:val="24"/>
        </w:rPr>
      </w:pPr>
      <w:r>
        <w:rPr>
          <w:rFonts w:eastAsia="Geneva" w:ascii="Times New Roman" w:hAnsi="Times New Roman"/>
          <w:sz w:val="24"/>
          <w:szCs w:val="24"/>
        </w:rPr>
        <w:t>проживание – 5000 руб./сутки;</w:t>
      </w:r>
    </w:p>
    <w:p>
      <w:pPr>
        <w:pStyle w:val="ListParagraph"/>
        <w:tabs>
          <w:tab w:val="clear" w:pos="709"/>
          <w:tab w:val="left" w:pos="851" w:leader="none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 w:eastAsia="Geneva"/>
          <w:sz w:val="24"/>
          <w:szCs w:val="24"/>
        </w:rPr>
      </w:pPr>
      <w:r>
        <w:rPr>
          <w:rFonts w:eastAsia="Geneva" w:ascii="Times New Roman" w:hAnsi="Times New Roman"/>
          <w:sz w:val="24"/>
          <w:szCs w:val="24"/>
        </w:rPr>
        <w:t>проезд: поезд (купе) или самолет (класс–эконом с багажом до 20 (двадцати) кг, ручная кладь до 10 (десяти) кг).</w:t>
      </w:r>
    </w:p>
    <w:p>
      <w:pPr>
        <w:pStyle w:val="ConsPlusNormal1"/>
        <w:numPr>
          <w:ilvl w:val="0"/>
          <w:numId w:val="65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одновременной разработке проектной и полной или частичной разработке рабочей документации, суммарный процент базовой цены определяется по согласованию между Заказчиком и Подрядчиком в зависимости от архитектурных, функционально-технологических, конструктивных и инженерно-технических решений, содержащихся в проектной документации и степени их детализации.</w:t>
      </w:r>
    </w:p>
    <w:p>
      <w:pPr>
        <w:sectPr>
          <w:footerReference w:type="default" r:id="rId18"/>
          <w:footerReference w:type="first" r:id="rId19"/>
          <w:type w:val="nextPage"/>
          <w:pgSz w:w="11906" w:h="16838"/>
          <w:pgMar w:left="1134" w:right="709" w:gutter="0" w:header="0" w:top="709" w:footer="709" w:bottom="766"/>
          <w:pgNumType w:fmt="decimal"/>
          <w:formProt w:val="false"/>
          <w:textDirection w:val="lrTb"/>
          <w:docGrid w:type="default" w:linePitch="360" w:charSpace="0"/>
        </w:sectPr>
        <w:pStyle w:val="ConsPlusNormal1"/>
        <w:numPr>
          <w:ilvl w:val="0"/>
          <w:numId w:val="66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Выполнение обследований и обмерных работ на объектах, подлежащих реконструкции, расширению и техническому перевооружению рассчитывается по соответствующим Справочникам и относится в </w:t>
      </w:r>
      <w:r>
        <w:rPr>
          <w:rFonts w:ascii="Times New Roman" w:hAnsi="Times New Roman"/>
          <w:color w:val="000000"/>
          <w:sz w:val="24"/>
          <w:szCs w:val="24"/>
        </w:rPr>
        <w:t>главу 1 ССРСС.</w:t>
      </w:r>
      <w:r>
        <w:rPr>
          <w:rFonts w:ascii="Times New Roman" w:hAnsi="Times New Roman"/>
          <w:sz w:val="24"/>
          <w:szCs w:val="24"/>
        </w:rPr>
        <w:t xml:space="preserve"> Стоимость данных работ не включается в расчет стоимости проведения государственной экспертизы.</w:t>
      </w:r>
    </w:p>
    <w:p>
      <w:pPr>
        <w:pStyle w:val="Normal"/>
        <w:spacing w:lineRule="auto" w:line="240" w:before="0" w:after="0"/>
        <w:ind w:left="5811" w:hanging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Приложение № 1</w:t>
      </w:r>
    </w:p>
    <w:p>
      <w:pPr>
        <w:pStyle w:val="Normal"/>
        <w:spacing w:lineRule="auto" w:line="240" w:before="0" w:after="0"/>
        <w:ind w:left="5811" w:hanging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 Требованиям к оформлению и составлению сметной документации на выполнение проектных и изыскательских работ</w:t>
      </w:r>
    </w:p>
    <w:p>
      <w:pPr>
        <w:pStyle w:val="Normal"/>
        <w:spacing w:lineRule="auto" w:line="240" w:before="0" w:after="0"/>
        <w:ind w:left="5811" w:hanging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lineRule="auto" w:line="240" w:before="0" w:after="0"/>
        <w:ind w:left="5811" w:hanging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lineRule="auto" w:line="240" w:before="0" w:after="0"/>
        <w:ind w:left="5811" w:hanging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lineRule="auto" w:line="240" w:before="0" w:after="0"/>
        <w:ind w:left="5811" w:hanging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ПОЯСНИТЕЛЬНАЯ ЗАПИСКА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 заполнению формы №3п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при составлении смет на ПИР.</w:t>
      </w:r>
    </w:p>
    <w:p>
      <w:pPr>
        <w:pStyle w:val="Normal"/>
        <w:spacing w:lineRule="auto" w:line="240" w:before="0" w:after="0"/>
        <w:ind w:left="5811" w:hanging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ListParagraph"/>
        <w:numPr>
          <w:ilvl w:val="0"/>
          <w:numId w:val="7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bookmarkStart w:id="40" w:name="RANGE!A1%252525252525252525253AD25"/>
      <w:bookmarkEnd w:id="40"/>
      <w:r>
        <w:rPr>
          <w:rFonts w:ascii="Times New Roman" w:hAnsi="Times New Roman"/>
          <w:color w:val="000000"/>
          <w:sz w:val="24"/>
          <w:szCs w:val="24"/>
        </w:rPr>
        <w:t>При составлении калькуляции затрат (форма №3п), разработанным организацией, выполняющей ПИР, Заказчику предоставляется обоснование расчета. Сметные расчеты составляются в ценах текущего периода.</w:t>
      </w:r>
    </w:p>
    <w:p>
      <w:pPr>
        <w:pStyle w:val="ListParagraph"/>
        <w:numPr>
          <w:ilvl w:val="0"/>
          <w:numId w:val="7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Калькуляцией затрат (форма №3п) рекомендуется определять стоимость работ, цены на которые отсутствуют в МНЗ и СБЦ, внесенных в ФРСН.</w:t>
      </w:r>
    </w:p>
    <w:p>
      <w:pPr>
        <w:pStyle w:val="ListParagraph"/>
        <w:numPr>
          <w:ilvl w:val="0"/>
          <w:numId w:val="7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Стоимость работ и расходов в соответствии с калькуляцией затрат определяется согласно положениям Методики №707 с учетом следующего:</w:t>
      </w:r>
    </w:p>
    <w:p>
      <w:pPr>
        <w:pStyle w:val="ConsPlusNormal1"/>
        <w:numPr>
          <w:ilvl w:val="1"/>
          <w:numId w:val="7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Стоимость проектных работ и расходов (</w:t>
      </w: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Спр</m:t>
        </m:r>
      </m:oMath>
      <w:r>
        <w:rPr>
          <w:rFonts w:cs="Times New Roman" w:ascii="Times New Roman" w:hAnsi="Times New Roman"/>
          <w:sz w:val="24"/>
          <w:szCs w:val="24"/>
        </w:rPr>
        <w:t>) в соответствии с калькуляцией затрат определяется по формуле:</w:t>
      </w:r>
    </w:p>
    <w:p>
      <w:pPr>
        <w:pStyle w:val="ConsPlusNormal1"/>
        <w:tabs>
          <w:tab w:val="clear" w:pos="709"/>
          <w:tab w:val="left" w:pos="0" w:leader="none"/>
          <w:tab w:val="left" w:pos="1134" w:leader="none"/>
        </w:tabs>
        <w:ind w:hanging="0"/>
        <w:jc w:val="center"/>
        <w:rPr>
          <w:rFonts w:ascii="Times New Roman" w:hAnsi="Times New Roman" w:cs="Times New Roman"/>
          <w:i/>
          <w:i/>
          <w:sz w:val="24"/>
          <w:szCs w:val="24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w:rPr>
                  <w:rFonts w:ascii="Cambria Math" w:hAnsi="Cambria Math"/>
                </w:rPr>
                <m:t xml:space="preserve">С</m:t>
              </m:r>
            </m:e>
            <m:sub>
              <m:r>
                <w:rPr>
                  <w:rFonts w:ascii="Cambria Math" w:hAnsi="Cambria Math"/>
                </w:rPr>
                <m:t xml:space="preserve">пр</m:t>
              </m:r>
            </m:sub>
          </m:sSub>
          <m:r>
            <w:rPr>
              <w:rFonts w:ascii="Cambria Math" w:hAnsi="Cambria Math"/>
            </w:rPr>
            <m:t xml:space="preserve">=</m:t>
          </m:r>
          <m:sSub>
            <m:e>
              <m:r>
                <w:rPr>
                  <w:rFonts w:ascii="Cambria Math" w:hAnsi="Cambria Math"/>
                </w:rPr>
                <m:t xml:space="preserve">В</m:t>
              </m:r>
            </m:e>
            <m:sub>
              <m:r>
                <w:rPr>
                  <w:rFonts w:ascii="Cambria Math" w:hAnsi="Cambria Math"/>
                </w:rPr>
                <m:t xml:space="preserve">ср</m:t>
              </m:r>
            </m:sub>
          </m:sSub>
          <m:r>
            <w:rPr>
              <w:rFonts w:ascii="Cambria Math" w:hAnsi="Cambria Math"/>
            </w:rPr>
            <m:t xml:space="preserve">×</m:t>
          </m:r>
          <m:sSub>
            <m:e>
              <m:r>
                <w:rPr>
                  <w:rFonts w:ascii="Cambria Math" w:hAnsi="Cambria Math"/>
                </w:rPr>
                <m:t xml:space="preserve">Т</m:t>
              </m:r>
            </m:e>
            <m:sub>
              <m:r>
                <w:rPr>
                  <w:rFonts w:ascii="Cambria Math" w:hAnsi="Cambria Math"/>
                </w:rPr>
                <m:t xml:space="preserve">п</m:t>
              </m:r>
            </m:sub>
          </m:sSub>
          <m:r>
            <w:rPr>
              <w:rFonts w:ascii="Cambria Math" w:hAnsi="Cambria Math"/>
            </w:rPr>
            <m:t xml:space="preserve">×</m:t>
          </m:r>
          <m:sSub>
            <m:e>
              <m:r>
                <w:rPr>
                  <w:rFonts w:ascii="Cambria Math" w:hAnsi="Cambria Math"/>
                </w:rPr>
                <m:t xml:space="preserve">Ч</m:t>
              </m:r>
            </m:e>
            <m:sub>
              <m:r>
                <w:rPr>
                  <w:rFonts w:ascii="Cambria Math" w:hAnsi="Cambria Math"/>
                </w:rPr>
                <m:t xml:space="preserve">общ</m:t>
              </m:r>
            </m:sub>
          </m:sSub>
          <m:r>
            <w:rPr>
              <w:rFonts w:ascii="Cambria Math" w:hAnsi="Cambria Math"/>
            </w:rPr>
            <m:t xml:space="preserve">×</m:t>
          </m:r>
          <m:sSub>
            <m:e>
              <m:r>
                <w:rPr>
                  <w:rFonts w:ascii="Cambria Math" w:hAnsi="Cambria Math"/>
                </w:rPr>
                <m:t xml:space="preserve">К</m:t>
              </m:r>
            </m:e>
            <m:sub>
              <m:r>
                <w:rPr>
                  <w:rFonts w:ascii="Cambria Math" w:hAnsi="Cambria Math"/>
                </w:rPr>
                <m:t xml:space="preserve">кв</m:t>
              </m:r>
              <m:r>
                <w:rPr>
                  <w:rFonts w:ascii="Cambria Math" w:hAnsi="Cambria Math"/>
                </w:rPr>
                <m:t xml:space="preserve">−</m:t>
              </m:r>
              <m:r>
                <w:rPr>
                  <w:rFonts w:ascii="Cambria Math" w:hAnsi="Cambria Math"/>
                </w:rPr>
                <m:t xml:space="preserve">уч</m:t>
              </m:r>
            </m:sub>
          </m:sSub>
        </m:oMath>
      </m:oMathPara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где: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Спр</m:t>
        </m:r>
      </m:oMath>
      <w:r>
        <w:rPr>
          <w:rFonts w:cs="Times New Roman" w:ascii="Times New Roman" w:hAnsi="Times New Roman"/>
          <w:sz w:val="24"/>
          <w:szCs w:val="24"/>
          <w:vertAlign w:val="subscript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стоимость проектных работ, определенная в соответствии с калькуляцией затрат, рублей;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Вср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среднедневная выработка одного непосредственного исполнителя, рублей;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Тп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плановая продолжительность выполнения проектных работ, предусмотренных калькуляцией затрат, дни;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Чобщ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общая численность непосредственных исполнителей-проектировщиков, занятых в выполнении проектных работ, предусмотренных калькуляцией затрат, чел.;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Ккв-уч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корректирующий коэффициент, учитывающий степень участия исполнителей различной квалификации в выполнении проектных работ, предусмотренных калькуляцией затрат (далее - коэффициент квалификации-участия);</w:t>
      </w:r>
    </w:p>
    <w:p>
      <w:pPr>
        <w:pStyle w:val="ConsPlusNormal1"/>
        <w:numPr>
          <w:ilvl w:val="1"/>
          <w:numId w:val="7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среднедневная выработка (</w:t>
      </w: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В</m:t>
        </m:r>
        <m:r>
          <m:rPr>
            <m:lit/>
            <m:nor/>
          </m:rPr>
          <w:rPr>
            <w:rFonts w:ascii="Cambria Math" w:hAnsi="Cambria Math"/>
          </w:rPr>
          <m:t xml:space="preserve">ср</m:t>
        </m:r>
      </m:oMath>
      <w:r>
        <w:rPr>
          <w:rFonts w:cs="Times New Roman" w:ascii="Times New Roman" w:hAnsi="Times New Roman"/>
          <w:sz w:val="24"/>
          <w:szCs w:val="24"/>
        </w:rPr>
        <w:t>) определяется по формуле:</w:t>
      </w:r>
    </w:p>
    <w:p>
      <w:pPr>
        <w:pStyle w:val="ConsPlusNormal1"/>
        <w:tabs>
          <w:tab w:val="clear" w:pos="709"/>
          <w:tab w:val="left" w:pos="1134" w:leader="none"/>
        </w:tabs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tabs>
          <w:tab w:val="clear" w:pos="709"/>
          <w:tab w:val="left" w:pos="0" w:leader="none"/>
          <w:tab w:val="left" w:pos="1134" w:leader="none"/>
        </w:tabs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w:rPr>
                  <w:rFonts w:ascii="Cambria Math" w:hAnsi="Cambria Math"/>
                </w:rPr>
                <m:t xml:space="preserve">В</m:t>
              </m:r>
            </m:e>
            <m:sub>
              <m:r>
                <w:rPr>
                  <w:rFonts w:ascii="Cambria Math" w:hAnsi="Cambria Math"/>
                </w:rPr>
                <m:t xml:space="preserve">ср</m:t>
              </m:r>
            </m:sub>
          </m:sSub>
          <m:r>
            <w:rPr>
              <w:rFonts w:ascii="Cambria Math" w:hAnsi="Cambria Math"/>
            </w:rPr>
            <m:t xml:space="preserve">=</m:t>
          </m:r>
          <m:f>
            <m:num>
              <m:sSub>
                <m:e>
                  <m:r>
                    <w:rPr>
                      <w:rFonts w:ascii="Cambria Math" w:hAnsi="Cambria Math"/>
                    </w:rPr>
                    <m:t xml:space="preserve">ЗП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ср</m:t>
                  </m:r>
                </m:sub>
              </m:sSub>
              <m:r>
                <w:rPr>
                  <w:rFonts w:ascii="Cambria Math" w:hAnsi="Cambria Math"/>
                </w:rPr>
                <m:t xml:space="preserve">×</m:t>
              </m:r>
              <m:d>
                <m:dPr>
                  <m:begChr m:val="("/>
                  <m:endChr m:val=")"/>
                </m:dPr>
                <m:e>
                  <m:r>
                    <w:rPr>
                      <w:rFonts w:ascii="Cambria Math" w:hAnsi="Cambria Math"/>
                    </w:rPr>
                    <m:t xml:space="preserve">1</m:t>
                  </m:r>
                  <m:r>
                    <w:rPr>
                      <w:rFonts w:ascii="Cambria Math" w:hAnsi="Cambria Math"/>
                    </w:rPr>
                    <m:t xml:space="preserve">+</m:t>
                  </m:r>
                  <m:r>
                    <w:rPr>
                      <w:rFonts w:ascii="Cambria Math" w:hAnsi="Cambria Math"/>
                    </w:rPr>
                    <m:t xml:space="preserve">Р</m:t>
                  </m:r>
                </m:e>
              </m:d>
            </m:num>
            <m:den>
              <m:sSub>
                <m:e>
                  <m:r>
                    <w:rPr>
                      <w:rFonts w:ascii="Cambria Math" w:hAnsi="Cambria Math"/>
                    </w:rPr>
                    <m:t xml:space="preserve">К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з</m:t>
                  </m:r>
                </m:sub>
              </m:sSub>
            </m:den>
          </m:f>
        </m:oMath>
      </m:oMathPara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где: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Р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- коэффициент уровня рентабельности (сметной прибыли), принимается Р = 0,1 (1%) согласно </w:t>
      </w:r>
      <w:hyperlink w:anchor="P1643">
        <w:r>
          <w:rPr>
            <w:rStyle w:val="Hyperlink"/>
            <w:rFonts w:cs="Times New Roman" w:ascii="Times New Roman" w:hAnsi="Times New Roman"/>
            <w:sz w:val="24"/>
            <w:szCs w:val="24"/>
          </w:rPr>
          <w:t>таблице 1.2</w:t>
        </w:r>
      </w:hyperlink>
      <w:r>
        <w:rPr>
          <w:rFonts w:cs="Times New Roman" w:ascii="Times New Roman" w:hAnsi="Times New Roman"/>
          <w:sz w:val="24"/>
          <w:szCs w:val="24"/>
        </w:rPr>
        <w:t>, приведенной в приложении N 2 к Методике №707;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ЗП</m:t>
        </m:r>
        <m:r>
          <m:rPr>
            <m:lit/>
            <m:nor/>
          </m:rPr>
          <w:rPr>
            <w:rFonts w:ascii="Cambria Math" w:hAnsi="Cambria Math"/>
          </w:rPr>
          <m:t xml:space="preserve">ср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среднедневная заработная плата, тыс. руб. Принимается по данным Росстата о среднемесячной номинальной начисленной заработной плате работающих в экономике, по видам экономической деятельности в Российской Федерации для деятельности в области архитектуры (</w:t>
      </w:r>
      <w:hyperlink r:id="rId20">
        <w:r>
          <w:rPr>
            <w:rStyle w:val="Hyperlink"/>
            <w:rFonts w:cs="Times New Roman" w:ascii="Times New Roman" w:hAnsi="Times New Roman"/>
            <w:sz w:val="24"/>
            <w:szCs w:val="24"/>
          </w:rPr>
          <w:t>код 71.11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согласно ОК 029-2014 (КДЕС ред. 2) "Общероссийский классификатор видов экономической деятельности" (далее - Общероссийский классификатор) за год, предшествующий году определения сметной стоимости объекта проектирования (среднее значение за период январь - декабрь), исходя из усредненного на основании производственного календаря количества рабочих дней в месяце для года, предшествующего году определения сметной стоимости проектных работ и с учетом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Классификатора объектов административно-территориального деления (ОКАТО) Проектной организации. </w:t>
      </w:r>
      <w:r>
        <w:rPr>
          <w:rFonts w:cs="Times New Roman" w:ascii="Times New Roman" w:hAnsi="Times New Roman"/>
          <w:sz w:val="24"/>
          <w:szCs w:val="24"/>
        </w:rPr>
        <w:t xml:space="preserve">Для работ по проектированию объектов, являющихся особо опасными, технически сложными, уникальными объектами согласно </w:t>
      </w:r>
      <w:hyperlink r:id="rId21">
        <w:r>
          <w:rPr>
            <w:rStyle w:val="Hyperlink"/>
            <w:rFonts w:cs="Times New Roman" w:ascii="Times New Roman" w:hAnsi="Times New Roman"/>
            <w:sz w:val="24"/>
            <w:szCs w:val="24"/>
          </w:rPr>
          <w:t>статье 48.1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Градостроительного кодекса Российской Федерации, а также для работ по подготовке проектной документации, содержащей материалы в форме информационной модели, среднемесячная заработная плата принимается для деятельности в области инженерно-технического проектирования (</w:t>
      </w:r>
      <w:hyperlink r:id="rId22">
        <w:r>
          <w:rPr>
            <w:rStyle w:val="Hyperlink"/>
            <w:rFonts w:cs="Times New Roman" w:ascii="Times New Roman" w:hAnsi="Times New Roman"/>
            <w:sz w:val="24"/>
            <w:szCs w:val="24"/>
          </w:rPr>
          <w:t>код 71.12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согласно ОК 029-2014 (КДЕС ред. 2) Общероссийского классификатора)</w:t>
      </w:r>
      <w:r>
        <w:rPr>
          <w:rStyle w:val="FootnoteReference"/>
          <w:rFonts w:cs="Times New Roman" w:ascii="Times New Roman" w:hAnsi="Times New Roman"/>
          <w:sz w:val="24"/>
          <w:szCs w:val="24"/>
        </w:rPr>
        <w:footnoteReference w:id="2"/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К</m:t>
        </m:r>
        <m:r>
          <w:rPr>
            <w:rFonts w:ascii="Cambria Math" w:hAnsi="Cambria Math"/>
          </w:rPr>
          <m:t xml:space="preserve">з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коэффициент, учитывающий долю оплаты труда производственного персонала в себестоимости проектных работ: К3 принимается в размере 40,06%;</w:t>
      </w:r>
    </w:p>
    <w:p>
      <w:pPr>
        <w:pStyle w:val="ConsPlusNormal1"/>
        <w:numPr>
          <w:ilvl w:val="1"/>
          <w:numId w:val="7"/>
        </w:numPr>
        <w:tabs>
          <w:tab w:val="clear" w:pos="709"/>
          <w:tab w:val="left" w:pos="1134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коэффициент, квалификации-участия (</w:t>
      </w: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К</m:t>
            </m:r>
          </m:e>
          <m:sub>
            <m:r>
              <w:rPr>
                <w:rFonts w:ascii="Cambria Math" w:hAnsi="Cambria Math"/>
              </w:rPr>
              <m:t xml:space="preserve">кв</m:t>
            </m:r>
            <m:r>
              <w:rPr>
                <w:rFonts w:ascii="Cambria Math" w:hAnsi="Cambria Math"/>
              </w:rPr>
              <m:t xml:space="preserve">−</m:t>
            </m:r>
            <m:r>
              <w:rPr>
                <w:rFonts w:ascii="Cambria Math" w:hAnsi="Cambria Math"/>
              </w:rPr>
              <m:t xml:space="preserve">уч</m:t>
            </m:r>
          </m:sub>
        </m:sSub>
      </m:oMath>
      <w:r>
        <w:rPr>
          <w:rFonts w:cs="Times New Roman" w:ascii="Times New Roman" w:hAnsi="Times New Roman"/>
          <w:sz w:val="24"/>
          <w:szCs w:val="24"/>
        </w:rPr>
        <w:t>), определяется по формуле:</w:t>
      </w:r>
    </w:p>
    <w:p>
      <w:pPr>
        <w:pStyle w:val="ConsPlusNormal1"/>
        <w:tabs>
          <w:tab w:val="clear" w:pos="709"/>
          <w:tab w:val="left" w:pos="1134" w:leader="none"/>
        </w:tabs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tabs>
          <w:tab w:val="clear" w:pos="709"/>
          <w:tab w:val="left" w:pos="1134" w:leader="none"/>
        </w:tabs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w:rPr>
                  <w:rFonts w:ascii="Cambria Math" w:hAnsi="Cambria Math"/>
                </w:rPr>
                <m:t xml:space="preserve">К</m:t>
              </m:r>
            </m:e>
            <m:sub>
              <m:r>
                <w:rPr>
                  <w:rFonts w:ascii="Cambria Math" w:hAnsi="Cambria Math"/>
                </w:rPr>
                <m:t xml:space="preserve">кв</m:t>
              </m:r>
              <m:r>
                <w:rPr>
                  <w:rFonts w:ascii="Cambria Math" w:hAnsi="Cambria Math"/>
                </w:rPr>
                <m:t xml:space="preserve">−</m:t>
              </m:r>
              <m:r>
                <w:rPr>
                  <w:rFonts w:ascii="Cambria Math" w:hAnsi="Cambria Math"/>
                </w:rPr>
                <m:t xml:space="preserve">уч</m:t>
              </m:r>
            </m:sub>
          </m:sSub>
          <m:r>
            <w:rPr>
              <w:rFonts w:ascii="Cambria Math" w:hAnsi="Cambria Math"/>
            </w:rPr>
            <m:t xml:space="preserve">=</m:t>
          </m:r>
          <m:f>
            <m:num>
              <m:nary>
                <m:naryPr>
                  <m:chr m:val="∑"/>
                </m:naryPr>
                <m:sub>
                  <m:r>
                    <w:rPr>
                      <w:rFonts w:ascii="Cambria Math" w:hAnsi="Cambria Math"/>
                    </w:rPr>
                    <m:t xml:space="preserve">i</m:t>
                  </m:r>
                  <m:r>
                    <w:rPr>
                      <w:rFonts w:ascii="Cambria Math" w:hAnsi="Cambria Math"/>
                    </w:rPr>
                    <m:t xml:space="preserve">=</m:t>
                  </m:r>
                  <m:r>
                    <w:rPr>
                      <w:rFonts w:ascii="Cambria Math" w:hAnsi="Cambria Math"/>
                    </w:rPr>
                    <m:t xml:space="preserve">1</m:t>
                  </m:r>
                </m:sub>
                <m:sup>
                  <m:r>
                    <w:rPr>
                      <w:rFonts w:ascii="Cambria Math" w:hAnsi="Cambria Math"/>
                    </w:rPr>
                    <m:t xml:space="preserve">n</m:t>
                  </m:r>
                </m:sup>
                <m:e>
                  <m:f>
                    <m:num>
                      <m:sSub>
                        <m:e>
                          <m:r>
                            <w:rPr>
                              <w:rFonts w:ascii="Cambria Math" w:hAnsi="Cambria Math"/>
                            </w:rPr>
                            <m:t xml:space="preserve"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 xml:space="preserve">ф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i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w:rPr>
                              <w:rFonts w:ascii="Cambria Math" w:hAnsi="Cambria Math"/>
                            </w:rPr>
                            <m:t xml:space="preserve">Т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 xml:space="preserve">общ</m:t>
                          </m:r>
                        </m:sub>
                      </m:sSub>
                    </m:den>
                  </m:f>
                </m:e>
              </m:nary>
              <m:r>
                <w:rPr>
                  <w:rFonts w:ascii="Cambria Math" w:hAnsi="Cambria Math"/>
                </w:rPr>
                <m:t xml:space="preserve">×</m:t>
              </m:r>
              <m:sSub>
                <m:e>
                  <m:r>
                    <w:rPr>
                      <w:rFonts w:ascii="Cambria Math" w:hAnsi="Cambria Math"/>
                    </w:rPr>
                    <m:t xml:space="preserve">Ч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i</m:t>
                  </m:r>
                </m:sub>
              </m:sSub>
              <m:r>
                <w:rPr>
                  <w:rFonts w:ascii="Cambria Math" w:hAnsi="Cambria Math"/>
                </w:rPr>
                <m:t xml:space="preserve">×</m:t>
              </m:r>
              <m:sSub>
                <m:e>
                  <m:r>
                    <w:rPr>
                      <w:rFonts w:ascii="Cambria Math" w:hAnsi="Cambria Math"/>
                    </w:rPr>
                    <m:t xml:space="preserve">И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i</m:t>
                  </m:r>
                </m:sub>
              </m:sSub>
            </m:num>
            <m:den>
              <m:sSub>
                <m:e>
                  <m:r>
                    <w:rPr>
                      <w:rFonts w:ascii="Cambria Math" w:hAnsi="Cambria Math"/>
                    </w:rPr>
                    <m:t xml:space="preserve">Ч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общ</m:t>
                  </m:r>
                </m:sub>
              </m:sSub>
            </m:den>
          </m:f>
        </m:oMath>
      </m:oMathPara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где: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И</m:t>
            </m:r>
          </m:e>
          <m:sub>
            <m:r>
              <w:rPr>
                <w:rFonts w:ascii="Cambria Math" w:hAnsi="Cambria Math"/>
              </w:rPr>
              <m:t xml:space="preserve">i</m:t>
            </m:r>
          </m:sub>
        </m:sSub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- индекс квалификации непосредственных исполнителей согласно </w:t>
      </w:r>
      <w:hyperlink w:anchor="P1654">
        <w:r>
          <w:rPr>
            <w:rStyle w:val="Hyperlink"/>
            <w:rFonts w:cs="Times New Roman" w:ascii="Times New Roman" w:hAnsi="Times New Roman"/>
            <w:sz w:val="24"/>
            <w:szCs w:val="24"/>
          </w:rPr>
          <w:t>таблицам 1.3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- </w:t>
      </w:r>
      <w:hyperlink w:anchor="P1701">
        <w:r>
          <w:rPr>
            <w:rStyle w:val="Hyperlink"/>
            <w:rFonts w:cs="Times New Roman" w:ascii="Times New Roman" w:hAnsi="Times New Roman"/>
            <w:sz w:val="24"/>
            <w:szCs w:val="24"/>
          </w:rPr>
          <w:t>1.4</w:t>
        </w:r>
      </w:hyperlink>
      <w:r>
        <w:rPr>
          <w:rFonts w:cs="Times New Roman" w:ascii="Times New Roman" w:hAnsi="Times New Roman"/>
          <w:sz w:val="24"/>
          <w:szCs w:val="24"/>
        </w:rPr>
        <w:t xml:space="preserve">, приведенным в приложении N 2 к Методике №707. Для отдельных отраслей индексы, приведенные в </w:t>
      </w:r>
      <w:hyperlink w:anchor="P1654">
        <w:r>
          <w:rPr>
            <w:rStyle w:val="Hyperlink"/>
            <w:rFonts w:cs="Times New Roman" w:ascii="Times New Roman" w:hAnsi="Times New Roman"/>
            <w:sz w:val="24"/>
            <w:szCs w:val="24"/>
          </w:rPr>
          <w:t>таблицах 1.3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- </w:t>
      </w:r>
      <w:hyperlink w:anchor="P1701">
        <w:r>
          <w:rPr>
            <w:rStyle w:val="Hyperlink"/>
            <w:rFonts w:cs="Times New Roman" w:ascii="Times New Roman" w:hAnsi="Times New Roman"/>
            <w:sz w:val="24"/>
            <w:szCs w:val="24"/>
          </w:rPr>
          <w:t>1.4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приложения N 2 к Методике №707, подлежат уточнению при предоставлении соответствующих обоснований (бухгалтерских справок и аналогичных документов), документально подтвержденных уполномоченными лицами проектной организации;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Ч</m:t>
            </m:r>
          </m:e>
          <m:sub>
            <m:r>
              <w:rPr>
                <w:rFonts w:ascii="Cambria Math" w:hAnsi="Cambria Math"/>
              </w:rPr>
              <m:t xml:space="preserve">i</m:t>
            </m:r>
          </m:sub>
        </m:sSub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численность исполнителей одинаковой квалификации, чел.;</w:t>
      </w:r>
    </w:p>
    <w:p>
      <w:pPr>
        <w:pStyle w:val="ConsPlusNormal1"/>
        <w:tabs>
          <w:tab w:val="clear" w:pos="709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T</m:t>
            </m:r>
          </m:e>
          <m:sub>
            <m:r>
              <w:rPr>
                <w:rFonts w:ascii="Cambria Math" w:hAnsi="Cambria Math"/>
              </w:rPr>
              <m:t xml:space="preserve">ф</m:t>
            </m:r>
            <m:r>
              <w:rPr>
                <w:rFonts w:ascii="Cambria Math" w:hAnsi="Cambria Math"/>
              </w:rPr>
              <m:t xml:space="preserve">i</m:t>
            </m:r>
          </m:sub>
        </m:sSub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фактическое время работы исполнителей одинаковой квалификации, дни.</w:t>
      </w:r>
    </w:p>
    <w:p>
      <w:pPr>
        <w:pStyle w:val="ConsPlusNormal1"/>
        <w:tabs>
          <w:tab w:val="clear" w:pos="709"/>
          <w:tab w:val="left" w:pos="1134" w:leader="none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Численность и должностные категории (квалификация) исполнителей, фактическое время работы исполнителей одинаковой квалификации определяются на основании положений документов по стандартизации согласно </w:t>
      </w:r>
      <w:hyperlink r:id="rId23">
        <w:r>
          <w:rPr>
            <w:rStyle w:val="Hyperlink"/>
            <w:rFonts w:cs="Times New Roman" w:ascii="Times New Roman" w:hAnsi="Times New Roman"/>
            <w:sz w:val="24"/>
            <w:szCs w:val="24"/>
          </w:rPr>
          <w:t>статье 14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Федерального закона от 29 июня 2015 г. N 162-ФЗ "О стандартизации в Российской Федерации" (Собрание законодательства Российской Федерации, 2015, N 27, ст. 3953; 2021, N 1, ст. 62), стандартов процесса подготовки проектной документации согласно </w:t>
      </w:r>
      <w:hyperlink r:id="rId24">
        <w:r>
          <w:rPr>
            <w:rStyle w:val="Hyperlink"/>
            <w:rFonts w:cs="Times New Roman" w:ascii="Times New Roman" w:hAnsi="Times New Roman"/>
            <w:sz w:val="24"/>
            <w:szCs w:val="24"/>
          </w:rPr>
          <w:t>пункту 10 части 8 статьи 55.20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Градостроительного кодекса Российской Федерации (Собрание законодательства Российской Федерации, 2005, N 1, ст. 16; 2018, N 32, ст. 5133), норм проектирования, данных о трудоемкости объектов-аналогов, результатов опроса, проведенного среди не менее трех проектных организаций, специализирующихся на выполнение проектных работ, на которые подготавливается смета, таблиц технологического процесса выполнения проектных работ по объекту, продолжительности выполняемых работ, указанных в календарном плане к договору на выполнение проектных работ, данных о времени и количестве исполнителей определенной квалификации, принимающих участие в выполнении проектных работ, которые должны быть подписаны руководителем проектной организации, предоставляющей такие данные, и заверены ее печатью;</w:t>
      </w:r>
    </w:p>
    <w:p>
      <w:pPr>
        <w:pStyle w:val="ConsPlusNormal1"/>
        <w:tabs>
          <w:tab w:val="clear" w:pos="709"/>
          <w:tab w:val="left" w:pos="1134" w:leader="none"/>
        </w:tabs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Для пересчета стоимости работ в текущий уровень цен применяются соответствующие индексы изменения сметной стоимости, выпущенные письмом Минстроя России, актуальным на момент составления сметной документации, с учетом периода выполнения работ.</w:t>
      </w:r>
    </w:p>
    <w:p>
      <w:pPr>
        <w:pStyle w:val="ConsPlusNormal1"/>
        <w:tabs>
          <w:tab w:val="clear" w:pos="709"/>
          <w:tab w:val="left" w:pos="1134" w:leader="none"/>
        </w:tabs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i/>
          <w:sz w:val="24"/>
          <w:szCs w:val="24"/>
          <w:shd w:fill="auto" w:val="clear"/>
        </w:rPr>
        <w:t xml:space="preserve">Например, в 1 квартале 2025 года, стоимость проектных работ рассчитывается по калькуляции затрат в уровне цен по состоянию на 31.12.2024 и включается в смету на проектные работы с последующим применением соответствующих индексов изменения сметной стоимости на 1 квартал 2025 года к уровню цен по состоянию на 01.01.2025, сообщаемых письмом Минстроя России от 01.02.2025г. №5170-ИФ/09. </w:t>
      </w:r>
    </w:p>
    <w:p>
      <w:pPr>
        <w:pStyle w:val="ListParagraph"/>
        <w:numPr>
          <w:ilvl w:val="1"/>
          <w:numId w:val="11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Общий срок проектирования объекта в месяцах не должен превышать нормативные сроки установленные положениями Приказа Минстроя РФ от 15.05.2020г. № 264/пр «Об установлении срока, необходимого для выполнения инженерных изысканий, осуществления архитектурно-строительного проектирования и строительства зданий, сооружений, в целях расчета срока договора аренды земельного участка, находящегося в государственной или муниципальной собственности» которые устанавливают зависимость срока проектирования объекта в месяцах от его общей площади. </w:t>
      </w:r>
    </w:p>
    <w:p>
      <w:pPr>
        <w:pStyle w:val="Normal"/>
        <w:tabs>
          <w:tab w:val="clear" w:pos="709"/>
          <w:tab w:val="left" w:pos="1134" w:leader="none"/>
        </w:tabs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объектов, сроки проектирования которых невозможно определить в соответствии с указанным Приказом, допустимо применение иных документов, не противоречащих действующему законодательству.</w:t>
      </w:r>
    </w:p>
    <w:p>
      <w:pPr>
        <w:pStyle w:val="ListParagraph"/>
        <w:numPr>
          <w:ilvl w:val="1"/>
          <w:numId w:val="11"/>
        </w:numPr>
        <w:tabs>
          <w:tab w:val="clear" w:pos="709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проектных работ, определяемых в соответствии с калькуляцией затрат, не учитывает командировочные расходы, непосредственно связанные с проектированием объекта, определяемые дополнительно.</w:t>
      </w:r>
    </w:p>
    <w:p>
      <w:pPr>
        <w:pStyle w:val="ListParagraph"/>
        <w:numPr>
          <w:ilvl w:val="0"/>
          <w:numId w:val="7"/>
        </w:numPr>
        <w:tabs>
          <w:tab w:val="clear" w:pos="709"/>
          <w:tab w:val="left" w:pos="993" w:leader="none"/>
        </w:tabs>
        <w:spacing w:before="0" w:after="0"/>
        <w:ind w:left="0"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Для обоснования командировочных расходов предоставляется отдельно выполненный расчет (форма 4п) с расшифровкой затрат на проезд, проживание, суточные расходы. Размер расходов на проезд и стоимость проживания в гостинице определяется на момент составления расчета.</w:t>
      </w:r>
    </w:p>
    <w:p>
      <w:pPr>
        <w:pStyle w:val="Normal"/>
        <w:tabs>
          <w:tab w:val="clear" w:pos="709"/>
          <w:tab w:val="left" w:pos="1080" w:leader="none"/>
          <w:tab w:val="left" w:pos="1134" w:leader="none"/>
        </w:tabs>
        <w:spacing w:lineRule="auto" w:line="240" w:before="0"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>
      <w:pPr>
        <w:pStyle w:val="ConsPlusNormal1"/>
        <w:tabs>
          <w:tab w:val="clear" w:pos="709"/>
          <w:tab w:val="left" w:pos="284" w:leader="none"/>
          <w:tab w:val="left" w:pos="1134" w:leader="none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Лимиты командировочных расходов при производстве ПИР не более: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851" w:leader="none"/>
          <w:tab w:val="left" w:pos="1080" w:leader="none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суточные - 700 руб./сутки;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851" w:leader="none"/>
          <w:tab w:val="left" w:pos="1080" w:leader="none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проживание – 5000 руб./сутки;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851" w:leader="none"/>
          <w:tab w:val="left" w:pos="1080" w:leader="none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проезд: поезд (купе) или самолет (класс–эконом с багажом до 20 (двадцати) кг, ручная кладь до 10 (десяти) кг).</w:t>
      </w:r>
    </w:p>
    <w:p>
      <w:pPr>
        <w:pStyle w:val="ListParagraph"/>
        <w:tabs>
          <w:tab w:val="clear" w:pos="709"/>
          <w:tab w:val="left" w:pos="1080" w:leader="none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учете командировочных расходов стоимость проезда (авиа-, ж/д, …) и проживания определяются по наиболее экономичному варианту, определенному на основании сбора информации о текущих ценах (далее - конъюнктурный анализ) в соответствии с Приложением № 3 к Требованиям к оформлению и составлению сметной документации на работы по строительству.  </w:t>
      </w:r>
    </w:p>
    <w:p>
      <w:pPr>
        <w:sectPr>
          <w:footerReference w:type="default" r:id="rId25"/>
          <w:footerReference w:type="first" r:id="rId26"/>
          <w:footnotePr>
            <w:numFmt w:val="decimal"/>
            <w:numRestart w:val="eachSect"/>
          </w:footnotePr>
          <w:type w:val="nextPage"/>
          <w:pgSz w:w="11906" w:h="16838"/>
          <w:pgMar w:left="1418" w:right="851" w:gutter="0" w:header="0" w:top="1134" w:footer="709" w:bottom="1134"/>
          <w:pgNumType w:fmt="decimal"/>
          <w:formProt w:val="false"/>
          <w:textDirection w:val="lrTb"/>
          <w:docGrid w:type="default" w:linePitch="360" w:charSpace="0"/>
        </w:sectPr>
        <w:pStyle w:val="ListParagraph"/>
        <w:tabs>
          <w:tab w:val="clear" w:pos="709"/>
          <w:tab w:val="left" w:pos="1080" w:leader="none"/>
          <w:tab w:val="left" w:pos="1134" w:leader="none"/>
        </w:tabs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наличии командированных расходов необходимо составлять общий реестр стоимости проездных билетов с разбивкой по сметам, к которым они относятся.</w:t>
      </w:r>
    </w:p>
    <w:p>
      <w:pPr>
        <w:pStyle w:val="Normal"/>
        <w:spacing w:lineRule="auto" w:line="240" w:before="0" w:after="0"/>
        <w:ind w:left="5811" w:right="-2" w:hanging="0"/>
        <w:contextualSpacing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Приложение № 2</w:t>
      </w:r>
    </w:p>
    <w:p>
      <w:pPr>
        <w:pStyle w:val="Normal"/>
        <w:spacing w:lineRule="auto" w:line="240" w:before="0" w:after="0"/>
        <w:ind w:left="5811" w:right="-2" w:hanging="0"/>
        <w:contextualSpacing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 Требованиям к оформлению и составлению сметной документации на выполнение ПИР</w:t>
      </w:r>
    </w:p>
    <w:p>
      <w:pPr>
        <w:pStyle w:val="Normal"/>
        <w:shd w:val="clear" w:color="auto" w:fill="FFFFFF"/>
        <w:spacing w:lineRule="auto" w:line="240" w:before="0" w:after="0"/>
        <w:ind w:left="720" w:firstLine="284"/>
        <w:contextualSpacing/>
        <w:jc w:val="center"/>
        <w:rPr>
          <w:rFonts w:ascii="Times New Roman" w:hAnsi="Times New Roman"/>
          <w:b/>
          <w:bCs/>
          <w:iCs/>
          <w:spacing w:val="-4"/>
        </w:rPr>
      </w:pPr>
      <w:r>
        <w:rPr>
          <w:rFonts w:ascii="Times New Roman" w:hAnsi="Times New Roman"/>
          <w:b/>
          <w:bCs/>
          <w:iCs/>
          <w:spacing w:val="-4"/>
        </w:rPr>
      </w:r>
    </w:p>
    <w:tbl>
      <w:tblPr>
        <w:tblW w:w="935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56"/>
      </w:tblGrid>
      <w:tr>
        <w:trPr/>
        <w:tc>
          <w:tcPr>
            <w:tcW w:w="93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Образец сметы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основные и дополнительные проектные работы,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также сопутствующие работы (форма 2п)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СМЕТА №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проектные работы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(наименование объекта)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Заказчик ________________________________________________________________________________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(наименование организации)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Проектная организация ___________________________________________________________________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(наименование организации)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Составлена в уровне цен на ___________ 20__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tbl>
            <w:tblPr>
              <w:tblW w:w="9521" w:type="dxa"/>
              <w:jc w:val="left"/>
              <w:tblInd w:w="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noHBand="0" w:noVBand="1" w:firstColumn="1" w:lastRow="0" w:lastColumn="0" w:firstRow="1"/>
            </w:tblPr>
            <w:tblGrid>
              <w:gridCol w:w="454"/>
              <w:gridCol w:w="1811"/>
              <w:gridCol w:w="3419"/>
              <w:gridCol w:w="1988"/>
              <w:gridCol w:w="1849"/>
            </w:tblGrid>
            <w:tr>
              <w:trPr/>
              <w:tc>
                <w:tcPr>
                  <w:tcW w:w="4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N пп</w:t>
                  </w:r>
                </w:p>
              </w:tc>
              <w:tc>
                <w:tcPr>
                  <w:tcW w:w="1811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Наименование объекта проектирования или вида проектных работ</w:t>
                  </w:r>
                </w:p>
              </w:tc>
              <w:tc>
                <w:tcPr>
                  <w:tcW w:w="3419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Наименование, номера глав, таблиц, параграфов и пунктов МНЗ (СБЦ) на проектные работы</w:t>
                  </w:r>
                </w:p>
              </w:tc>
              <w:tc>
                <w:tcPr>
                  <w:tcW w:w="1988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Расчет стоимости</w:t>
                  </w:r>
                </w:p>
              </w:tc>
              <w:tc>
                <w:tcPr>
                  <w:tcW w:w="1849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left="187" w:hanging="0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Сметная стоимость, руб.</w:t>
                  </w:r>
                </w:p>
              </w:tc>
            </w:tr>
            <w:tr>
              <w:trPr>
                <w:trHeight w:val="255" w:hRule="atLeast"/>
              </w:trPr>
              <w:tc>
                <w:tcPr>
                  <w:tcW w:w="45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811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bookmarkStart w:id="41" w:name="P3725"/>
                  <w:bookmarkEnd w:id="41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41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bookmarkStart w:id="42" w:name="P3726"/>
                  <w:bookmarkEnd w:id="42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8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bookmarkStart w:id="43" w:name="P3727"/>
                  <w:bookmarkEnd w:id="43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84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left="187" w:hanging="0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bookmarkStart w:id="44" w:name="P3728"/>
                  <w:bookmarkEnd w:id="44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</w:tr>
            <w:tr>
              <w:trPr/>
              <w:tc>
                <w:tcPr>
                  <w:tcW w:w="45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811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341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98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84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left="187" w:hanging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45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811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341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98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84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left="187" w:hanging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45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811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341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98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84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left="187" w:hanging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45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5230" w:type="dxa"/>
                  <w:gridSpan w:val="2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Итого без учета НДС</w:t>
                  </w:r>
                </w:p>
              </w:tc>
              <w:tc>
                <w:tcPr>
                  <w:tcW w:w="198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84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left="187" w:hanging="0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 w:eastAsia="Calibri" w:eastAsiaTheme="minorHAnsi"/>
                <w:lang w:eastAsia="en-US"/>
              </w:rPr>
            </w:pPr>
            <w:r>
              <w:rPr>
                <w:rFonts w:eastAsia="Calibri" w:eastAsiaTheme="minorHAnsi" w:ascii="Times New Roman" w:hAnsi="Times New Roman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проектной организации _____________________________________________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[подпись (инициалы, фамилия)]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 инженер проекта _______________________________________________________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[подпись (инициалы, фамилия)]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___________________ отдела __________________________________________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</w:rPr>
              <w:t xml:space="preserve">                             </w:t>
            </w:r>
            <w:r>
              <w:rPr>
                <w:rFonts w:ascii="Times New Roman" w:hAnsi="Times New Roman"/>
                <w:i/>
                <w:iCs/>
              </w:rPr>
              <w:t>(наименование)                            [подпись (инициалы, фамилия)]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Заказчик _____________________________________________________________________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i/>
                <w:i/>
                <w:iCs/>
              </w:rPr>
            </w:pPr>
            <w:bookmarkStart w:id="45" w:name="_Hlk149126469"/>
            <w:r>
              <w:rPr>
                <w:rFonts w:ascii="Times New Roman" w:hAnsi="Times New Roman"/>
                <w:i/>
                <w:iCs/>
              </w:rPr>
              <w:t>[должность, подпись (инициалы, фамилия)]</w:t>
            </w:r>
            <w:bookmarkEnd w:id="45"/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sectPr>
          <w:footerReference w:type="default" r:id="rId27"/>
          <w:footerReference w:type="first" r:id="rId28"/>
          <w:footnotePr>
            <w:numFmt w:val="decimal"/>
            <w:numRestart w:val="eachSect"/>
          </w:footnotePr>
          <w:type w:val="nextPage"/>
          <w:pgSz w:w="11906" w:h="16838"/>
          <w:pgMar w:left="1418" w:right="851" w:gutter="0" w:header="0" w:top="1134" w:footer="709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auto" w:line="240" w:before="0" w:after="0"/>
        <w:ind w:left="5811" w:hanging="0"/>
        <w:contextualSpacing/>
        <w:rPr>
          <w:rFonts w:ascii="Times New Roman" w:hAnsi="Times New Roman"/>
          <w:sz w:val="20"/>
        </w:rPr>
      </w:pPr>
      <w:bookmarkStart w:id="46" w:name="P3839"/>
      <w:bookmarkStart w:id="47" w:name="P3838"/>
      <w:bookmarkStart w:id="48" w:name="P3837"/>
      <w:bookmarkStart w:id="49" w:name="P3836"/>
      <w:bookmarkStart w:id="50" w:name="P3835"/>
      <w:bookmarkStart w:id="51" w:name="P3834"/>
      <w:bookmarkStart w:id="52" w:name="P3833"/>
      <w:bookmarkStart w:id="53" w:name="P3832"/>
      <w:bookmarkStart w:id="54" w:name="P3831"/>
      <w:bookmarkStart w:id="55" w:name="P3816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r>
        <w:rPr>
          <w:rFonts w:ascii="Times New Roman" w:hAnsi="Times New Roman"/>
          <w:sz w:val="20"/>
        </w:rPr>
        <w:t>Приложение № 3</w:t>
      </w:r>
    </w:p>
    <w:p>
      <w:pPr>
        <w:pStyle w:val="Normal"/>
        <w:spacing w:lineRule="auto" w:line="240" w:before="0" w:after="0"/>
        <w:ind w:left="5811" w:hanging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 Требованиям к оформлению и составлению сметной документации на выполнение ПИР</w:t>
      </w:r>
    </w:p>
    <w:tbl>
      <w:tblPr>
        <w:tblW w:w="14853" w:type="dxa"/>
        <w:jc w:val="left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229"/>
        <w:gridCol w:w="238"/>
        <w:gridCol w:w="2186"/>
        <w:gridCol w:w="1095"/>
        <w:gridCol w:w="306"/>
        <w:gridCol w:w="215"/>
        <w:gridCol w:w="1583"/>
      </w:tblGrid>
      <w:tr>
        <w:trPr>
          <w:trHeight w:val="20" w:hRule="atLeast"/>
        </w:trPr>
        <w:tc>
          <w:tcPr>
            <w:tcW w:w="922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</w:t>
            </w:r>
            <w:r>
              <w:rPr>
                <w:rFonts w:ascii="Times New Roman" w:hAnsi="Times New Roman"/>
              </w:rPr>
              <w:t xml:space="preserve">к Договору    от___ ______202___  №_________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СОГЛАСОВАНО:                                                                                   УТВЕРЖДЕНО:                                                                                                                                                                </w:t>
            </w:r>
          </w:p>
        </w:tc>
        <w:tc>
          <w:tcPr>
            <w:tcW w:w="238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</w:p>
        </w:tc>
        <w:tc>
          <w:tcPr>
            <w:tcW w:w="2186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1401" w:type="dxa"/>
            <w:gridSpan w:val="2"/>
            <w:tcBorders/>
            <w:shd w:color="auto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627" w:leader="none"/>
              </w:tabs>
              <w:spacing w:lineRule="auto" w:line="240" w:before="0" w:after="0"/>
              <w:ind w:left="-526" w:hanging="1332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8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70" w:hRule="atLeast"/>
        </w:trPr>
        <w:tc>
          <w:tcPr>
            <w:tcW w:w="9229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38" w:type="dxa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81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21" w:type="dxa"/>
            <w:gridSpan w:val="2"/>
            <w:tcBorders/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11653" w:type="dxa"/>
            <w:gridSpan w:val="3"/>
            <w:tcBorders/>
          </w:tcPr>
          <w:tbl>
            <w:tblPr>
              <w:tblW w:w="9575" w:type="dxa"/>
              <w:jc w:val="left"/>
              <w:tblInd w:w="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noHBand="0" w:noVBand="0" w:firstColumn="0" w:lastRow="0" w:lastColumn="0" w:firstRow="0"/>
            </w:tblPr>
            <w:tblGrid>
              <w:gridCol w:w="968"/>
              <w:gridCol w:w="2704"/>
              <w:gridCol w:w="1780"/>
              <w:gridCol w:w="2047"/>
              <w:gridCol w:w="2076"/>
            </w:tblGrid>
            <w:tr>
              <w:trPr/>
              <w:tc>
                <w:tcPr>
                  <w:tcW w:w="9575" w:type="dxa"/>
                  <w:gridSpan w:val="5"/>
                  <w:tcBorders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СВОДНАЯ СМЕТА №</w:t>
                  </w:r>
                </w:p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на проектные работы и инженерные изыскания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_________________________________________________________________________________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i/>
                      <w:i/>
                      <w:iCs/>
                    </w:rPr>
                  </w:pPr>
                  <w:r>
                    <w:rPr>
                      <w:rFonts w:ascii="Times New Roman" w:hAnsi="Times New Roman"/>
                      <w:i/>
                      <w:iCs/>
                    </w:rPr>
                    <w:t>(наименование объекта)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Заказчик ___________________________________________________________________________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i/>
                      <w:i/>
                      <w:iCs/>
                    </w:rPr>
                  </w:pPr>
                  <w:r>
                    <w:rPr>
                      <w:rFonts w:ascii="Times New Roman" w:hAnsi="Times New Roman"/>
                      <w:i/>
                      <w:iCs/>
                    </w:rPr>
                    <w:t>(наименование организации)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Проектная организация ______________________________________________________________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i/>
                      <w:i/>
                      <w:iCs/>
                    </w:rPr>
                  </w:pPr>
                  <w:r>
                    <w:rPr>
                      <w:rFonts w:ascii="Times New Roman" w:hAnsi="Times New Roman"/>
                      <w:i/>
                      <w:iCs/>
                    </w:rPr>
                    <w:t>(наименование организации)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Составлена в уровне цен на ___________ 20__ г.</w:t>
                  </w:r>
                </w:p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</w:tr>
            <w:tr>
              <w:trPr>
                <w:trHeight w:val="365" w:hRule="atLeast"/>
              </w:trPr>
              <w:tc>
                <w:tcPr>
                  <w:tcW w:w="96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N№ п/п</w:t>
                  </w:r>
                </w:p>
              </w:tc>
              <w:tc>
                <w:tcPr>
                  <w:tcW w:w="270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Наименование смет на проектные работы и инженерные изыскания, затрат</w:t>
                  </w:r>
                </w:p>
              </w:tc>
              <w:tc>
                <w:tcPr>
                  <w:tcW w:w="17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Обоснование</w:t>
                  </w:r>
                </w:p>
              </w:tc>
              <w:tc>
                <w:tcPr>
                  <w:tcW w:w="412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Сметная стоимость, руб.</w:t>
                  </w:r>
                </w:p>
              </w:tc>
            </w:tr>
            <w:tr>
              <w:trPr>
                <w:trHeight w:val="74" w:hRule="atLeast"/>
              </w:trPr>
              <w:tc>
                <w:tcPr>
                  <w:tcW w:w="968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</w:tc>
              <w:tc>
                <w:tcPr>
                  <w:tcW w:w="2704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</w:tc>
              <w:tc>
                <w:tcPr>
                  <w:tcW w:w="1780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инженерных изысканий</w:t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проектных работ</w:t>
                  </w:r>
                </w:p>
              </w:tc>
            </w:tr>
            <w:tr>
              <w:trPr>
                <w:trHeight w:val="19" w:hRule="atLeast"/>
              </w:trPr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firstLine="2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5</w:t>
                  </w:r>
                </w:p>
              </w:tc>
            </w:tr>
            <w:tr>
              <w:trPr>
                <w:trHeight w:val="274" w:hRule="atLeast"/>
              </w:trPr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I</w:t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Инженерные изыскания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</w:tr>
            <w:tr>
              <w:trPr>
                <w:trHeight w:val="493" w:hRule="atLeast"/>
              </w:trPr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Наименование сметы на инженерные изыскания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&lt;X&gt;</w:t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</w:tr>
            <w:tr>
              <w:trPr>
                <w:trHeight w:val="281" w:hRule="atLeast"/>
              </w:trPr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II</w:t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Проектная документация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Наименование сметы на проектные работы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&lt;X&gt;</w:t>
                  </w:r>
                </w:p>
              </w:tc>
            </w:tr>
            <w:tr>
              <w:trPr>
                <w:trHeight w:val="323" w:hRule="atLeast"/>
              </w:trPr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III</w:t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Рабочая документация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Наименование сметы на проектные работы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&lt;X&gt;</w:t>
                  </w:r>
                </w:p>
              </w:tc>
            </w:tr>
            <w:tr>
              <w:trPr/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Итого по видам работ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&lt;X&gt;</w:t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&lt;X&gt;</w:t>
                  </w:r>
                </w:p>
              </w:tc>
            </w:tr>
            <w:tr>
              <w:trPr/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412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cs="Times New Roman" w:ascii="Times New Roman" w:hAnsi="Times New Roman"/>
                      <w:sz w:val="22"/>
                      <w:szCs w:val="22"/>
                    </w:rPr>
                    <w:t>&lt;X&gt;</w:t>
                  </w:r>
                </w:p>
              </w:tc>
            </w:tr>
          </w:tbl>
          <w:p>
            <w:pPr>
              <w:pStyle w:val="ConsPlusNormal1"/>
              <w:widowControl w:val="false"/>
              <w:ind w:right="-5522" w:firstLine="7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199" w:type="dxa"/>
            <w:gridSpan w:val="4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 проектной организации 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[подпись (инициалы, фамилия)]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Главный инженер проекта _______________________________________________________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[подпись (инициалы, фамилия)]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Начальник ___________________ отдела 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</w:rPr>
        <w:t xml:space="preserve">                             </w:t>
      </w:r>
      <w:r>
        <w:rPr>
          <w:rFonts w:ascii="Times New Roman" w:hAnsi="Times New Roman"/>
          <w:i/>
          <w:iCs/>
        </w:rPr>
        <w:t>(наименование)                            [подпись (инициалы, фамилия)]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Заказчик _____________________________________________________________________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[должность, подпись (инициалы, фамилия)]</w:t>
      </w:r>
    </w:p>
    <w:p>
      <w:pPr>
        <w:pStyle w:val="Normal"/>
        <w:spacing w:lineRule="auto" w:line="240" w:before="0" w:after="0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  <w:r>
        <w:br w:type="page"/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№1</w:t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пояснительной записке</w:t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заполнению формы 3П</w:t>
      </w:r>
    </w:p>
    <w:p>
      <w:pPr>
        <w:pStyle w:val="Normal"/>
        <w:spacing w:lineRule="auto" w:line="240" w:before="0" w:after="0"/>
        <w:ind w:left="6373" w:hanging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Образец сметы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проектные работы в соответствии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 калькуляцией затрат (форма 3п)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СМЕТА 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проектные работы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ind w:right="1246" w:firstLine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(наименование объекта)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ind w:right="142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Заказчик ________________________________________________________________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(наименование организации)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ind w:right="1246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Проектная организация 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(наименование организации)</w:t>
      </w:r>
    </w:p>
    <w:p>
      <w:pPr>
        <w:pStyle w:val="Normal"/>
        <w:spacing w:lineRule="auto" w:line="240" w:before="0" w:after="0"/>
        <w:ind w:right="1246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Составлена в уровне цен на ___________ 20__ г.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Расчет коэффициента, учитывающего степень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участия исполнителей-проектировщиков различной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квалификации в выполнении проектных работ (Ккв-уч)</w:t>
      </w:r>
    </w:p>
    <w:tbl>
      <w:tblPr>
        <w:tblW w:w="10055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557"/>
        <w:gridCol w:w="1407"/>
        <w:gridCol w:w="1570"/>
        <w:gridCol w:w="1985"/>
        <w:gridCol w:w="1559"/>
        <w:gridCol w:w="1418"/>
        <w:gridCol w:w="1558"/>
      </w:tblGrid>
      <w:tr>
        <w:trPr/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 п/п</w:t>
            </w:r>
          </w:p>
        </w:tc>
        <w:tc>
          <w:tcPr>
            <w:tcW w:w="14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Наименование должностей исполнителей</w:t>
            </w:r>
          </w:p>
        </w:tc>
        <w:tc>
          <w:tcPr>
            <w:tcW w:w="15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firstLine="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Фактическое время участия исполнителя в работе, Тф (дни)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firstLine="5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Плановая продолжительность выполнения проектных работ, предусмотренных калькуляцией, Тп (дни)</w:t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5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Численность исполнителей одной квалификации Чi (чел)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Индекс уровня квалификации специалистов исполнителей работы И</w:t>
            </w:r>
            <w:r>
              <w:rPr>
                <w:rFonts w:cs="Times New Roman" w:ascii="Times New Roman" w:hAnsi="Times New Roman"/>
                <w:lang w:val="en-US"/>
              </w:rPr>
              <w:t>i</w:t>
            </w:r>
          </w:p>
        </w:tc>
        <w:tc>
          <w:tcPr>
            <w:tcW w:w="15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firstLine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Коэффициент квалификации (участия) специалистов одной квалификации,</w:t>
            </w:r>
          </w:p>
          <w:p>
            <w:pPr>
              <w:pStyle w:val="ConsPlusNormal1"/>
              <w:widowControl w:val="false"/>
              <w:ind w:firstLine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∑</w:t>
            </w:r>
            <w:r>
              <w:rPr>
                <w:rFonts w:cs="Times New Roman" w:ascii="Times New Roman" w:hAnsi="Times New Roman"/>
              </w:rPr>
              <w:t>(гр.3/итог гр.4 х гр.5 х гр.6) / ∑гр.5</w:t>
            </w:r>
          </w:p>
        </w:tc>
      </w:tr>
      <w:tr>
        <w:trPr/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8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40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57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</w:tr>
      <w:tr>
        <w:trPr/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7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51"/>
              <w:jc w:val="center"/>
              <w:rPr>
                <w:rFonts w:ascii="Times New Roman" w:hAnsi="Times New Roman" w:cs="Times New Roman"/>
              </w:rPr>
            </w:pPr>
            <w:hyperlink w:anchor="P3816">
              <w:r>
                <w:rPr>
                  <w:rStyle w:val="Hyperlink"/>
                  <w:rFonts w:cs="Times New Roman" w:ascii="Times New Roman" w:hAnsi="Times New Roman"/>
                </w:rPr>
                <w:t>*</w:t>
              </w:r>
            </w:hyperlink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7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51"/>
              <w:jc w:val="center"/>
              <w:rPr>
                <w:rFonts w:ascii="Times New Roman" w:hAnsi="Times New Roman" w:cs="Times New Roman"/>
              </w:rPr>
            </w:pPr>
            <w:hyperlink w:anchor="P3816">
              <w:r>
                <w:rPr>
                  <w:rStyle w:val="Hyperlink"/>
                  <w:rFonts w:cs="Times New Roman" w:ascii="Times New Roman" w:hAnsi="Times New Roman"/>
                </w:rPr>
                <w:t>*</w:t>
              </w:r>
            </w:hyperlink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7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51"/>
              <w:jc w:val="center"/>
              <w:rPr>
                <w:rFonts w:ascii="Times New Roman" w:hAnsi="Times New Roman" w:cs="Times New Roman"/>
              </w:rPr>
            </w:pPr>
            <w:hyperlink w:anchor="P3816">
              <w:r>
                <w:rPr>
                  <w:rStyle w:val="Hyperlink"/>
                  <w:rFonts w:cs="Times New Roman" w:ascii="Times New Roman" w:hAnsi="Times New Roman"/>
                </w:rPr>
                <w:t>*</w:t>
              </w:r>
            </w:hyperlink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Итого</w:t>
            </w:r>
          </w:p>
        </w:tc>
        <w:tc>
          <w:tcPr>
            <w:tcW w:w="157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hyperlink w:anchor="P3816">
              <w:r>
                <w:rPr>
                  <w:rStyle w:val="Hyperlink"/>
                  <w:rFonts w:cs="Times New Roman" w:ascii="Times New Roman" w:hAnsi="Times New Roman"/>
                </w:rPr>
                <w:t>*</w:t>
              </w:r>
            </w:hyperlink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hyperlink w:anchor="P3816">
              <w:r>
                <w:rPr>
                  <w:rStyle w:val="Hyperlink"/>
                  <w:rFonts w:cs="Times New Roman" w:ascii="Times New Roman" w:hAnsi="Times New Roman"/>
                </w:rPr>
                <w:t>*</w:t>
              </w:r>
            </w:hyperlink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sectPr>
          <w:footerReference w:type="default" r:id="rId29"/>
          <w:footerReference w:type="first" r:id="rId30"/>
          <w:footnotePr>
            <w:numFmt w:val="decimal"/>
            <w:numRestart w:val="eachSect"/>
          </w:footnotePr>
          <w:type w:val="nextPage"/>
          <w:pgSz w:w="11906" w:h="16838"/>
          <w:pgMar w:left="1418" w:right="851" w:gutter="0" w:header="0" w:top="1134" w:footer="709" w:bottom="1134"/>
          <w:pgNumType w:fmt="decimal"/>
          <w:formProt w:val="false"/>
          <w:textDirection w:val="lrTb"/>
          <w:docGrid w:type="default" w:linePitch="360" w:charSpace="0"/>
        </w:sect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Примечание: &lt;*&gt; Графы для расчета коэффициента в таблице не заполняются</w:t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Расчет стоимости проектных работ в соответствии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 калькуляцией затрат на проектирование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5501" w:type="dxa"/>
        <w:jc w:val="left"/>
        <w:tblInd w:w="-71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1833"/>
        <w:gridCol w:w="1276"/>
        <w:gridCol w:w="1700"/>
        <w:gridCol w:w="1845"/>
        <w:gridCol w:w="1133"/>
        <w:gridCol w:w="1702"/>
        <w:gridCol w:w="1415"/>
        <w:gridCol w:w="1702"/>
        <w:gridCol w:w="1619"/>
        <w:gridCol w:w="1274"/>
      </w:tblGrid>
      <w:tr>
        <w:trPr/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Среднемесячная зарплата исполнителей, руб.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Кол-во рабочих дней в месяце, дни</w:t>
            </w:r>
          </w:p>
        </w:tc>
        <w:tc>
          <w:tcPr>
            <w:tcW w:w="17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Среднедневная зарплата исполнителей, руб.</w:t>
            </w:r>
          </w:p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</w:t>
            </w:r>
            <w:hyperlink w:anchor="P3831">
              <w:r>
                <w:rPr>
                  <w:rStyle w:val="Hyperlink"/>
                  <w:rFonts w:cs="Times New Roman" w:ascii="Times New Roman" w:hAnsi="Times New Roman"/>
                </w:rPr>
                <w:t>гр 1</w:t>
              </w:r>
            </w:hyperlink>
            <w:r>
              <w:rPr>
                <w:rFonts w:cs="Times New Roman" w:ascii="Times New Roman" w:hAnsi="Times New Roman"/>
              </w:rPr>
              <w:t xml:space="preserve"> / </w:t>
            </w:r>
            <w:hyperlink w:anchor="P3832">
              <w:r>
                <w:rPr>
                  <w:rStyle w:val="Hyperlink"/>
                  <w:rFonts w:cs="Times New Roman" w:ascii="Times New Roman" w:hAnsi="Times New Roman"/>
                </w:rPr>
                <w:t>гр 2</w:t>
              </w:r>
            </w:hyperlink>
            <w:r>
              <w:rPr>
                <w:rFonts w:cs="Times New Roman" w:ascii="Times New Roman" w:hAnsi="Times New Roman"/>
              </w:rPr>
              <w:t>)</w:t>
            </w:r>
          </w:p>
        </w:tc>
        <w:tc>
          <w:tcPr>
            <w:tcW w:w="18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Удельный вес зарплаты в себестоимости работ - Кз, %</w:t>
            </w:r>
          </w:p>
        </w:tc>
        <w:tc>
          <w:tcPr>
            <w:tcW w:w="11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Рентабель-ность, %</w:t>
            </w:r>
          </w:p>
        </w:tc>
        <w:tc>
          <w:tcPr>
            <w:tcW w:w="17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Среднедневная единичная выработка, руб. (</w:t>
            </w:r>
            <w:hyperlink w:anchor="P3833">
              <w:r>
                <w:rPr>
                  <w:rStyle w:val="Hyperlink"/>
                  <w:rFonts w:cs="Times New Roman" w:ascii="Times New Roman" w:hAnsi="Times New Roman"/>
                </w:rPr>
                <w:t>гр. 3</w:t>
              </w:r>
            </w:hyperlink>
            <w:r>
              <w:rPr>
                <w:rFonts w:cs="Times New Roman" w:ascii="Times New Roman" w:hAnsi="Times New Roman"/>
              </w:rPr>
              <w:t xml:space="preserve"> x (1 + </w:t>
            </w:r>
            <w:hyperlink w:anchor="P3835">
              <w:r>
                <w:rPr>
                  <w:rStyle w:val="Hyperlink"/>
                  <w:rFonts w:cs="Times New Roman" w:ascii="Times New Roman" w:hAnsi="Times New Roman"/>
                </w:rPr>
                <w:t>гр. 5</w:t>
              </w:r>
            </w:hyperlink>
            <w:r>
              <w:rPr>
                <w:rFonts w:cs="Times New Roman" w:ascii="Times New Roman" w:hAnsi="Times New Roman"/>
              </w:rPr>
              <w:t xml:space="preserve">)) / </w:t>
            </w:r>
            <w:hyperlink w:anchor="P3834">
              <w:r>
                <w:rPr>
                  <w:rStyle w:val="Hyperlink"/>
                  <w:rFonts w:cs="Times New Roman" w:ascii="Times New Roman" w:hAnsi="Times New Roman"/>
                </w:rPr>
                <w:t>гр. 4</w:t>
              </w:r>
            </w:hyperlink>
          </w:p>
        </w:tc>
        <w:tc>
          <w:tcPr>
            <w:tcW w:w="14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Продолжи-тельность разработки (дни)</w:t>
            </w:r>
          </w:p>
        </w:tc>
        <w:tc>
          <w:tcPr>
            <w:tcW w:w="17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Численность исполнителей (чел.)</w:t>
            </w:r>
          </w:p>
        </w:tc>
        <w:tc>
          <w:tcPr>
            <w:tcW w:w="16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Коэффициент квалификации (участия) </w:t>
            </w:r>
          </w:p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Ккв-уч</w:t>
            </w:r>
          </w:p>
        </w:tc>
        <w:tc>
          <w:tcPr>
            <w:tcW w:w="127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Стоимость работ, руб. </w:t>
            </w:r>
          </w:p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 = (</w:t>
            </w:r>
            <w:hyperlink w:anchor="P3836">
              <w:r>
                <w:rPr>
                  <w:rStyle w:val="Hyperlink"/>
                  <w:rFonts w:cs="Times New Roman" w:ascii="Times New Roman" w:hAnsi="Times New Roman"/>
                </w:rPr>
                <w:t>гр. 6</w:t>
              </w:r>
            </w:hyperlink>
            <w:r>
              <w:rPr>
                <w:rFonts w:cs="Times New Roman" w:ascii="Times New Roman" w:hAnsi="Times New Roman"/>
              </w:rPr>
              <w:t xml:space="preserve"> x </w:t>
            </w:r>
            <w:hyperlink w:anchor="P3837">
              <w:r>
                <w:rPr>
                  <w:rStyle w:val="Hyperlink"/>
                  <w:rFonts w:cs="Times New Roman" w:ascii="Times New Roman" w:hAnsi="Times New Roman"/>
                </w:rPr>
                <w:t>гр. 7</w:t>
              </w:r>
            </w:hyperlink>
            <w:r>
              <w:rPr>
                <w:rFonts w:cs="Times New Roman" w:ascii="Times New Roman" w:hAnsi="Times New Roman"/>
              </w:rPr>
              <w:t xml:space="preserve"> x </w:t>
            </w:r>
            <w:hyperlink w:anchor="P3838">
              <w:r>
                <w:rPr>
                  <w:rStyle w:val="Hyperlink"/>
                  <w:rFonts w:cs="Times New Roman" w:ascii="Times New Roman" w:hAnsi="Times New Roman"/>
                </w:rPr>
                <w:t>гр. 8</w:t>
              </w:r>
            </w:hyperlink>
            <w:r>
              <w:rPr>
                <w:rFonts w:cs="Times New Roman" w:ascii="Times New Roman" w:hAnsi="Times New Roman"/>
              </w:rPr>
              <w:t xml:space="preserve"> x </w:t>
            </w:r>
            <w:hyperlink w:anchor="P3839">
              <w:r>
                <w:rPr>
                  <w:rStyle w:val="Hyperlink"/>
                  <w:rFonts w:cs="Times New Roman" w:ascii="Times New Roman" w:hAnsi="Times New Roman"/>
                </w:rPr>
                <w:t>гр. 9</w:t>
              </w:r>
            </w:hyperlink>
            <w:r>
              <w:rPr>
                <w:rFonts w:cs="Times New Roman" w:ascii="Times New Roman" w:hAnsi="Times New Roman"/>
              </w:rPr>
              <w:t>)</w:t>
            </w:r>
          </w:p>
        </w:tc>
      </w:tr>
      <w:tr>
        <w:trPr/>
        <w:tc>
          <w:tcPr>
            <w:tcW w:w="18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70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184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113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141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161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  <w:tc>
          <w:tcPr>
            <w:tcW w:w="127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</w:tr>
      <w:tr>
        <w:trPr/>
        <w:tc>
          <w:tcPr>
            <w:tcW w:w="18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4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1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1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ConsPlusNormal1"/>
        <w:jc w:val="both"/>
        <w:rPr>
          <w:rFonts w:ascii="Times New Roman" w:hAnsi="Times New Roman" w:eastAsia="Calibri" w:cs="Times New Roman" w:eastAsiaTheme="minorHAnsi"/>
          <w:sz w:val="24"/>
          <w:szCs w:val="24"/>
        </w:rPr>
      </w:pPr>
      <w:r>
        <w:rPr>
          <w:rFonts w:eastAsia="Calibri" w:cs="Times New Roman" w:eastAsiaTheme="minorHAns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 w:eastAsia="Calibri" w:eastAsiaTheme="minorHAnsi"/>
        </w:rPr>
      </w:pPr>
      <w:r>
        <w:rPr>
          <w:rFonts w:ascii="Times New Roman" w:hAnsi="Times New Roman"/>
        </w:rPr>
        <w:t>Руководитель</w:t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проектной организации _______________________________________________________________________________</w:t>
      </w:r>
    </w:p>
    <w:p>
      <w:pPr>
        <w:pStyle w:val="Normal"/>
        <w:spacing w:lineRule="auto" w:line="240" w:before="0" w:after="0"/>
        <w:ind w:right="2947" w:hanging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[подпись (инициалы, фамилия)]</w:t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Главный инженер</w:t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проекта _______________________________________________________________________________________________</w:t>
      </w:r>
    </w:p>
    <w:p>
      <w:pPr>
        <w:pStyle w:val="Normal"/>
        <w:spacing w:lineRule="auto" w:line="240" w:before="0" w:after="0"/>
        <w:ind w:right="2947" w:hanging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[подпись (инициалы, фамилия)]</w:t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  <w:bookmarkStart w:id="56" w:name="_MON_1758635370_Копия_1_Копия_1_Копия_1_"/>
      <w:bookmarkStart w:id="57" w:name="_MON_1758635370_Копия_1_Копия_1_Копия_1_"/>
      <w:bookmarkStart w:id="58" w:name="_MON_1758635370_Копия_1_Копия_1_Копия_1_"/>
      <w:bookmarkStart w:id="59" w:name="_MON_1758635370_Копия_1_Копия_1_Копия_1_"/>
      <w:bookmarkStart w:id="60" w:name="_MON_1758635370_Копия_1_Копия_1"/>
      <w:bookmarkStart w:id="61" w:name="_MON_1758635370"/>
      <w:bookmarkStart w:id="62" w:name="_MON_1758635370_Копия_1"/>
      <w:bookmarkStart w:id="63" w:name="_MON_1758635370_Копия_1_Копия_1_Копия_1"/>
      <w:bookmarkStart w:id="64" w:name="_MON_1758635370_Копия_1_Копия_1_Копия_1_"/>
      <w:bookmarkStart w:id="65" w:name="_MON_1758635370_Копия_1_Копия_1_Копия_1_"/>
      <w:bookmarkStart w:id="66" w:name="_MON_1758635370_Копия_1_Копия_1_Копия_1_"/>
      <w:bookmarkStart w:id="67" w:name="_MON_1758635370_Копия_1_Копия_1_Копия_1_"/>
      <w:bookmarkStart w:id="68" w:name="_MON_1758635370_Копия_1_Копия_1_Копия_1_"/>
      <w:bookmarkStart w:id="69" w:name="_MON_1758635370_Копия_1_Копия_1_Копия_1_"/>
      <w:bookmarkStart w:id="70" w:name="_MON_1758635370_Копия_1_Копия_1_Копия_1_"/>
      <w:bookmarkStart w:id="71" w:name="_MON_1758635370_Копия_1_Копия_1"/>
      <w:bookmarkStart w:id="72" w:name="_MON_1758635370"/>
      <w:bookmarkStart w:id="73" w:name="_MON_1758635370_Копия_1"/>
      <w:bookmarkStart w:id="74" w:name="_MON_1758635370_Копия_1_Копия_1_Копия_1"/>
      <w:bookmarkStart w:id="75" w:name="_MON_1758635370_Копия_1_Копия_1_Копия_1_"/>
      <w:bookmarkStart w:id="76" w:name="_MON_1758635370_Копия_1_Копия_1_Копия_1_"/>
      <w:bookmarkStart w:id="77" w:name="_MON_1758635370_Копия_1_Копия_1_Копия_1_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</w:p>
    <w:p>
      <w:pPr>
        <w:sectPr>
          <w:footerReference w:type="default" r:id="rId33"/>
          <w:footerReference w:type="first" r:id="rId34"/>
          <w:footnotePr>
            <w:numFmt w:val="decimal"/>
            <w:numRestart w:val="eachSect"/>
          </w:footnotePr>
          <w:type w:val="nextPage"/>
          <w:pgSz w:orient="landscape" w:w="16838" w:h="11906"/>
          <w:pgMar w:left="1418" w:right="851" w:gutter="0" w:header="0" w:top="1134" w:footer="709" w:bottom="1134"/>
          <w:pgNumType w:fmt="decimal"/>
          <w:formProt w:val="false"/>
          <w:textDirection w:val="lrTb"/>
          <w:docGrid w:type="default" w:linePitch="360" w:charSpace="0"/>
        </w:sectPr>
        <w:pStyle w:val="ConsPlusNormal1"/>
        <w:ind w:hanging="0"/>
        <w:jc w:val="both"/>
        <w:rPr>
          <w:rFonts w:ascii="Times New Roman" w:hAnsi="Times New Roman" w:cs="Times New Roman"/>
          <w:sz w:val="22"/>
          <w:szCs w:val="22"/>
        </w:rPr>
      </w:pPr>
      <w:bookmarkStart w:id="78" w:name="_MON_1758635370_Копия_1_Копия_1_Копия_1_"/>
      <w:bookmarkEnd w:id="78"/>
      <w:r>
        <w:rPr/>
        <w:object>
          <v:shapetype id="_x0000_tole_rId31" coordsize="21600,21600" o:spt="ole_rId31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31" type="_x0000_tole_rId31" style="width:79.45pt;height:50.65pt;mso-wrap-distance-right:0pt" filled="f" o:ole="">
            <v:imagedata r:id="rId32" o:title=""/>
          </v:shape>
          <o:OLEObject Type="Embed" ProgID="Excel.Sheet.12" ShapeID="ole_rId31" DrawAspect="Icon" ObjectID="_864759051" r:id="rId31"/>
        </w:objec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bookmarkStart w:id="79" w:name="P3865"/>
      <w:bookmarkEnd w:id="79"/>
      <w:r>
        <w:rPr>
          <w:rFonts w:ascii="Times New Roman" w:hAnsi="Times New Roman"/>
        </w:rPr>
        <w:t>Образец сметного расчета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командировочные расходы по работам,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связанным с проектированием объекта (форма 4п)</w:t>
      </w:r>
    </w:p>
    <w:p>
      <w:pPr>
        <w:pStyle w:val="ConsPlusNormal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tbl>
      <w:tblPr>
        <w:tblW w:w="15038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491"/>
        <w:gridCol w:w="1626"/>
        <w:gridCol w:w="1698"/>
        <w:gridCol w:w="1973"/>
        <w:gridCol w:w="2664"/>
        <w:gridCol w:w="1271"/>
        <w:gridCol w:w="1917"/>
        <w:gridCol w:w="2006"/>
        <w:gridCol w:w="1390"/>
      </w:tblGrid>
      <w:tr>
        <w:trPr>
          <w:trHeight w:val="644" w:hRule="atLeast"/>
        </w:trPr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 п/п</w:t>
            </w:r>
          </w:p>
        </w:tc>
        <w:tc>
          <w:tcPr>
            <w:tcW w:w="16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Пункт назначения</w:t>
            </w:r>
          </w:p>
        </w:tc>
        <w:tc>
          <w:tcPr>
            <w:tcW w:w="16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Количество специалистов</w:t>
            </w:r>
          </w:p>
        </w:tc>
        <w:tc>
          <w:tcPr>
            <w:tcW w:w="19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Проезд к месту командировки (туда и обратно)</w:t>
            </w:r>
          </w:p>
        </w:tc>
        <w:tc>
          <w:tcPr>
            <w:tcW w:w="2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Проживание в номере гостиницы класса "3 звезды", </w:t>
            </w:r>
          </w:p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чел/сутки.</w:t>
            </w:r>
          </w:p>
        </w:tc>
        <w:tc>
          <w:tcPr>
            <w:tcW w:w="127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Суточные</w:t>
            </w:r>
          </w:p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сутки/руб.</w:t>
            </w:r>
          </w:p>
        </w:tc>
        <w:tc>
          <w:tcPr>
            <w:tcW w:w="19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Продолжительность командировки, сутки</w:t>
            </w:r>
          </w:p>
        </w:tc>
        <w:tc>
          <w:tcPr>
            <w:tcW w:w="2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Продолжительность проживания в гостинице, сутки</w:t>
            </w:r>
          </w:p>
        </w:tc>
        <w:tc>
          <w:tcPr>
            <w:tcW w:w="13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Итого затрат, рубли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62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69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266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20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139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2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9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6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0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9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2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9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6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0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9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2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9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6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0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9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381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Итого по сметному расчету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6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0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9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ConsPlusNormal1"/>
        <w:jc w:val="both"/>
        <w:rPr>
          <w:rFonts w:ascii="Times New Roman" w:hAnsi="Times New Roman" w:eastAsia="Calibri" w:cs="Times New Roman" w:eastAsiaTheme="minorHAnsi"/>
          <w:sz w:val="22"/>
          <w:szCs w:val="22"/>
        </w:rPr>
      </w:pPr>
      <w:r>
        <w:rPr>
          <w:rFonts w:eastAsia="Calibri" w:cs="Times New Roman" w:eastAsiaTheme="minorHAnsi" w:ascii="Times New Roman" w:hAnsi="Times New Roman"/>
          <w:sz w:val="22"/>
          <w:szCs w:val="22"/>
        </w:rPr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 w:eastAsia="Calibri" w:eastAsiaTheme="minorHAnsi"/>
        </w:rPr>
      </w:pPr>
      <w:r>
        <w:rPr>
          <w:rFonts w:ascii="Times New Roman" w:hAnsi="Times New Roman"/>
        </w:rPr>
        <w:t>Руководитель</w:t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проектной организации ________________________________________________________________________________</w:t>
      </w:r>
    </w:p>
    <w:p>
      <w:pPr>
        <w:pStyle w:val="Normal"/>
        <w:spacing w:lineRule="auto" w:line="240" w:before="0" w:after="0"/>
        <w:ind w:right="2947" w:hanging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[подпись (инициалы, фамилия)]</w:t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Главный инженер</w:t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проекта _____________________________________________________________________________________________</w:t>
      </w:r>
    </w:p>
    <w:p>
      <w:pPr>
        <w:pStyle w:val="Normal"/>
        <w:spacing w:lineRule="auto" w:line="240" w:before="0" w:after="0"/>
        <w:ind w:right="2947" w:hanging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[подпись (инициалы, фамилия)]</w:t>
      </w:r>
    </w:p>
    <w:p>
      <w:pPr>
        <w:pStyle w:val="Normal"/>
        <w:spacing w:lineRule="auto" w:line="240" w:before="0" w:after="0"/>
        <w:ind w:right="2947" w:hanging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</w:p>
    <w:p>
      <w:pPr>
        <w:pStyle w:val="Normal"/>
        <w:spacing w:lineRule="auto" w:line="240" w:before="0" w:after="0"/>
        <w:ind w:right="2947" w:hanging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</w:p>
    <w:p>
      <w:pPr>
        <w:pStyle w:val="Normal"/>
        <w:spacing w:lineRule="auto" w:line="240" w:before="0" w:after="0"/>
        <w:ind w:right="2947" w:hanging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</w:p>
    <w:p>
      <w:pPr>
        <w:sectPr>
          <w:footerReference w:type="default" r:id="rId37"/>
          <w:footerReference w:type="first" r:id="rId38"/>
          <w:footnotePr>
            <w:numFmt w:val="decimal"/>
            <w:numRestart w:val="eachSect"/>
          </w:footnotePr>
          <w:type w:val="nextPage"/>
          <w:pgSz w:orient="landscape" w:w="16838" w:h="11906"/>
          <w:pgMar w:left="1418" w:right="851" w:gutter="0" w:header="0" w:top="1134" w:footer="709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  <w:i/>
          <w:i/>
          <w:iCs/>
        </w:rPr>
      </w:pPr>
      <w:bookmarkStart w:id="80" w:name="_Hlk146878269"/>
      <w:r>
        <w:rPr/>
        <w:object>
          <v:shapetype id="_x0000_tole_rId35" coordsize="21600,21600" o:spt="ole_rId3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35" type="_x0000_tole_rId35" style="width:79.45pt;height:50.65pt;mso-wrap-distance-right:0pt" filled="f" o:ole="">
            <v:imagedata r:id="rId36" o:title=""/>
          </v:shape>
          <o:OLEObject Type="Embed" ProgID="Excel.Sheet.12" ShapeID="ole_rId35" DrawAspect="Icon" ObjectID="_340140417" r:id="rId35"/>
        </w:object>
      </w:r>
      <w:bookmarkEnd w:id="80"/>
    </w:p>
    <w:p>
      <w:pPr>
        <w:pStyle w:val="Normal"/>
        <w:spacing w:lineRule="auto" w:line="240" w:before="0" w:after="0"/>
        <w:ind w:left="5812" w:hanging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ListParagraph"/>
        <w:spacing w:lineRule="auto" w:line="240" w:before="0" w:after="0"/>
        <w:ind w:left="1429" w:hanging="0"/>
        <w:contextualSpacing/>
        <w:jc w:val="right"/>
        <w:rPr/>
      </w:pPr>
      <w:r>
        <w:rPr>
          <w:rStyle w:val="Style15"/>
          <w:rFonts w:ascii="Times New Roman" w:hAnsi="Times New Roman"/>
          <w:iCs/>
          <w:shd w:fill="auto" w:val="clear"/>
        </w:rPr>
        <w:t>Приложение № 3</w:t>
      </w:r>
    </w:p>
    <w:p>
      <w:pPr>
        <w:pStyle w:val="ListParagraph"/>
        <w:widowControl w:val="false"/>
        <w:pBdr>
          <w:bottom w:val="single" w:sz="4" w:space="1" w:color="000000"/>
        </w:pBdr>
        <w:tabs>
          <w:tab w:val="clear" w:pos="709"/>
          <w:tab w:val="left" w:pos="426" w:leader="none"/>
        </w:tabs>
        <w:spacing w:lineRule="auto" w:line="240" w:before="0" w:after="0"/>
        <w:ind w:left="0" w:hanging="0"/>
        <w:contextualSpacing/>
        <w:jc w:val="right"/>
        <w:rPr/>
      </w:pPr>
      <w:r>
        <w:rPr>
          <w:rStyle w:val="Style15"/>
          <w:rFonts w:ascii="Times New Roman" w:hAnsi="Times New Roman"/>
          <w:iCs/>
          <w:shd w:fill="auto" w:val="clear"/>
        </w:rPr>
        <w:t xml:space="preserve">к Основным положениям </w:t>
        <w:br/>
        <w:t xml:space="preserve">по установлению требований к оформлению </w:t>
        <w:br/>
        <w:t xml:space="preserve">и составлению сметной документации </w:t>
      </w:r>
    </w:p>
    <w:p>
      <w:pPr>
        <w:pStyle w:val="ListParagraph"/>
        <w:tabs>
          <w:tab w:val="clear" w:pos="709"/>
          <w:tab w:val="left" w:pos="1134" w:leader="none"/>
        </w:tabs>
        <w:spacing w:lineRule="auto" w:line="240" w:before="0" w:after="0"/>
        <w:ind w:left="1429" w:hanging="0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ConsPlusNormal1"/>
        <w:widowControl/>
        <w:tabs>
          <w:tab w:val="clear" w:pos="709"/>
          <w:tab w:val="left" w:pos="900" w:leader="none"/>
          <w:tab w:val="left" w:pos="1134" w:leader="none"/>
        </w:tabs>
        <w:ind w:left="720" w:hanging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условия ценообразования к договору</w:t>
      </w:r>
    </w:p>
    <w:p>
      <w:pPr>
        <w:pStyle w:val="ConsPlusNormal1"/>
        <w:widowControl/>
        <w:tabs>
          <w:tab w:val="clear" w:pos="709"/>
          <w:tab w:val="left" w:pos="1134" w:leader="none"/>
        </w:tabs>
        <w:ind w:left="72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tabs>
          <w:tab w:val="clear" w:pos="709"/>
          <w:tab w:val="left" w:pos="13892" w:leader="none"/>
        </w:tabs>
        <w:spacing w:lineRule="auto" w:line="240" w:before="0" w:after="0"/>
        <w:ind w:left="720" w:right="253" w:hanging="0"/>
        <w:contextualSpacing/>
        <w:jc w:val="center"/>
        <w:rPr>
          <w:rFonts w:ascii="Times New Roman" w:hAnsi="Times New Roman"/>
          <w:sz w:val="20"/>
          <w:szCs w:val="20"/>
        </w:rPr>
      </w:pPr>
      <w:r>
        <w:rPr/>
        <w:object>
          <v:shapetype id="_x0000_tole_rId39" coordsize="21600,21600" o:spt="ole_rId39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39" type="_x0000_tole_rId39" style="width:76.8pt;height:49.6pt;mso-wrap-distance-right:0pt" filled="f" o:ole="">
            <v:imagedata r:id="rId40" o:title=""/>
          </v:shape>
          <o:OLEObject Type="Embed" ProgID="Excel.Sheet.12" ShapeID="ole_rId39" DrawAspect="Icon" ObjectID="_1434899330" r:id="rId39"/>
        </w:object>
      </w:r>
    </w:p>
    <w:sectPr>
      <w:footerReference w:type="default" r:id="rId41"/>
      <w:footerReference w:type="first" r:id="rId42"/>
      <w:footnotePr>
        <w:numFmt w:val="decimal"/>
        <w:numRestart w:val="eachSect"/>
      </w:footnotePr>
      <w:type w:val="nextPage"/>
      <w:pgSz w:w="11906" w:h="16838"/>
      <w:pgMar w:left="1304" w:right="924" w:gutter="0" w:header="0" w:top="851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roman"/>
    <w:pitch w:val="variable"/>
  </w:font>
  <w:font w:name="Arial">
    <w:altName w:val=" sans-serif"/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536980325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129668391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436953679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9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19135296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11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907162800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12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848413124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13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988457718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17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750354730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20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263507554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21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23</w:t>
    </w:r>
    <w:r>
      <w:rPr/>
      <w:fldChar w:fldCharType="end"/>
    </w:r>
  </w:p>
  <w:p>
    <w:pPr>
      <w:pStyle w:val="Footer"/>
      <w:rPr/>
    </w:pPr>
    <w:r>
      <w:rPr/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24</w:t>
    </w:r>
    <w:r>
      <w:rPr/>
      <w:fldChar w:fldCharType="end"/>
    </w:r>
  </w:p>
  <w:p>
    <w:pPr>
      <w:pStyle w:val="Footer"/>
      <w:rPr/>
    </w:pPr>
    <w:r>
      <w:rPr/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25</w:t>
    </w:r>
    <w:r>
      <w:rPr/>
      <w:fldChar w:fldCharType="end"/>
    </w:r>
  </w:p>
  <w:p>
    <w:pPr>
      <w:pStyle w:val="Footer"/>
      <w:rPr/>
    </w:pPr>
    <w:r>
      <w:rPr/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26</w:t>
    </w:r>
    <w:r>
      <w:rPr/>
      <w:fldChar w:fldCharType="end"/>
    </w:r>
  </w:p>
  <w:p>
    <w:pPr>
      <w:pStyle w:val="Footer"/>
      <w:rPr/>
    </w:pPr>
    <w:r>
      <w:rPr/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rStyle w:val="Style3"/>
        </w:rPr>
        <w:footnoteRef/>
      </w:r>
      <w:r>
        <w:rPr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На официальном сайте единой межведомственной информационно-статистической системы (ЕМИСС) https://www.fedstat.ru указанная информация представлена по показателю «Среднемесячная номинальная начисленная заработная плата работающих в экономике с 2017 г.», в графе «Классификатор видов экономической деятельности» следует выбрать «Деятельность в области архитектуры и инженерно-технического проектирования; технических испытаний, исследований и анализа».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Для работ по проектированию объектов, являющихся особо опасными, технически сложными, уникальными объектами следует выбрать «Деятельность в области архитектуры, инженерных изысканий и предоставление технических консультаций в этих областях».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/>
    </w:lvl>
    <w:lvl w:ilvl="1">
      <w:start w:val="1"/>
      <w:numFmt w:val="decimal"/>
      <w:lvlText w:val="%1.%2."/>
      <w:lvlJc w:val="left"/>
      <w:pPr>
        <w:tabs>
          <w:tab w:val="num" w:pos="1844"/>
        </w:tabs>
        <w:ind w:left="1844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dstrike w:val="false"/>
        <w:strike w:val="false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hanging="567"/>
      </w:pPr>
      <w:rPr/>
    </w:lvl>
    <w:lvl w:ilvl="4">
      <w:start w:val="1"/>
      <w:numFmt w:val="lowerLetter"/>
      <w:lvlText w:val="%5)"/>
      <w:lvlJc w:val="left"/>
      <w:pPr>
        <w:tabs>
          <w:tab w:val="num" w:pos="1718"/>
        </w:tabs>
        <w:ind w:left="1718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i w:val="false"/>
        <w:rFonts w:ascii="Garamond" w:hAnsi="Garamond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0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07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4"/>
        <w:i w:val="false"/>
        <w:b w:val="false"/>
        <w:szCs w:val="24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2" w:hanging="450"/>
      </w:pPr>
      <w:rPr>
        <w:sz w:val="22"/>
        <w:b w:val="false"/>
        <w:szCs w:val="22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82" w:hanging="72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42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6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22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82" w:hanging="108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62" w:hanging="1440"/>
      </w:pPr>
      <w:rPr>
        <w:sz w:val="28"/>
      </w:rPr>
    </w:lvl>
  </w:abstractNum>
  <w:abstractNum w:abstractNumId="7">
    <w:lvl w:ilvl="0">
      <w:start w:val="1"/>
      <w:numFmt w:val="decimal"/>
      <w:lvlText w:val="%1."/>
      <w:lvlJc w:val="center"/>
      <w:pPr>
        <w:tabs>
          <w:tab w:val="num" w:pos="1272"/>
        </w:tabs>
        <w:ind w:left="1272" w:hanging="279"/>
      </w:pPr>
      <w:rPr>
        <w:sz w:val="24"/>
        <w:i w:val="false"/>
        <w:u w:val="none"/>
        <w:b w:val="false"/>
        <w:szCs w:val="24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844"/>
        </w:tabs>
        <w:ind w:left="1844" w:hanging="567"/>
      </w:pPr>
      <w:rPr>
        <w:sz w:val="24"/>
        <w:u w:val="none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dstrike w:val="false"/>
        <w:strike w:val="false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hanging="567"/>
      </w:pPr>
      <w:rPr/>
    </w:lvl>
    <w:lvl w:ilvl="4">
      <w:start w:val="1"/>
      <w:numFmt w:val="lowerLetter"/>
      <w:lvlText w:val="%5)"/>
      <w:lvlJc w:val="left"/>
      <w:pPr>
        <w:tabs>
          <w:tab w:val="num" w:pos="1718"/>
        </w:tabs>
        <w:ind w:left="1718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13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397"/>
        </w:tabs>
        <w:ind w:left="0" w:hanging="0"/>
      </w:pPr>
      <w:rPr>
        <w:i w:val="false"/>
        <w:b w:val="fals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284" w:hanging="0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 w:cs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1"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0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2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3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4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5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6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7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8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 w:val="false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12"/>
    <w:lvlOverride w:ilvl="0">
      <w:startOverride w:val="1"/>
    </w:lvlOverride>
  </w:num>
  <w:num w:numId="41">
    <w:abstractNumId w:val="12"/>
  </w:num>
  <w:num w:numId="42">
    <w:abstractNumId w:val="12"/>
    <w:lvlOverride w:ilvl="0">
      <w:startOverride w:val="1"/>
    </w:lvlOverride>
  </w:num>
  <w:num w:numId="43">
    <w:abstractNumId w:val="12"/>
  </w:num>
  <w:num w:numId="44">
    <w:abstractNumId w:val="12"/>
  </w:num>
  <w:num w:numId="45">
    <w:abstractNumId w:val="12"/>
  </w:num>
  <w:num w:numId="46">
    <w:abstractNumId w:val="12"/>
  </w:num>
  <w:num w:numId="47">
    <w:abstractNumId w:val="12"/>
  </w:num>
  <w:num w:numId="48">
    <w:abstractNumId w:val="12"/>
  </w:num>
  <w:num w:numId="49">
    <w:abstractNumId w:val="12"/>
  </w:num>
  <w:num w:numId="50">
    <w:abstractNumId w:val="12"/>
  </w:num>
  <w:num w:numId="51">
    <w:abstractNumId w:val="12"/>
  </w:num>
  <w:num w:numId="52">
    <w:abstractNumId w:val="12"/>
  </w:num>
  <w:num w:numId="53">
    <w:abstractNumId w:val="12"/>
  </w:num>
  <w:num w:numId="54">
    <w:abstractNumId w:val="12"/>
  </w:num>
  <w:num w:numId="55">
    <w:abstractNumId w:val="12"/>
  </w:num>
  <w:num w:numId="56">
    <w:abstractNumId w:val="12"/>
  </w:num>
  <w:num w:numId="57">
    <w:abstractNumId w:val="12"/>
  </w:num>
  <w:num w:numId="58">
    <w:abstractNumId w:val="12"/>
  </w:num>
  <w:num w:numId="59">
    <w:abstractNumId w:val="12"/>
  </w:num>
  <w:num w:numId="60">
    <w:abstractNumId w:val="12"/>
  </w:num>
  <w:num w:numId="61">
    <w:abstractNumId w:val="12"/>
  </w:num>
  <w:num w:numId="62">
    <w:abstractNumId w:val="12"/>
  </w:num>
  <w:num w:numId="63">
    <w:abstractNumId w:val="12"/>
  </w:num>
  <w:num w:numId="64">
    <w:abstractNumId w:val="12"/>
  </w:num>
  <w:num w:numId="65">
    <w:abstractNumId w:val="12"/>
  </w:num>
  <w:num w:numId="66">
    <w:abstractNumId w:val="12"/>
  </w:num>
</w:numbering>
</file>

<file path=word/settings.xml><?xml version="1.0" encoding="utf-8"?>
<w:settings xmlns:w="http://schemas.openxmlformats.org/wordprocessingml/2006/main">
  <w:zoom w:percent="104"/>
  <w:defaultTabStop w:val="709"/>
  <w:autoHyphenation w:val="true"/>
  <w:footnotePr>
    <w:numFmt w:val="decimal"/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d2f0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1"/>
    <w:uiPriority w:val="9"/>
    <w:qFormat/>
    <w:rsid w:val="00bb18d9"/>
    <w:pPr>
      <w:keepNext w:val="true"/>
      <w:keepLines/>
      <w:spacing w:lineRule="auto" w:line="240"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4745f"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qFormat/>
    <w:rsid w:val="00bb18d9"/>
    <w:pPr>
      <w:keepNext w:val="true"/>
      <w:keepLines/>
      <w:spacing w:lineRule="auto" w:line="240" w:before="200" w:after="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bb18d9"/>
    <w:pPr>
      <w:keepNext w:val="true"/>
      <w:keepLines/>
      <w:spacing w:lineRule="auto" w:line="240"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Heading5">
    <w:name w:val="Heading 5"/>
    <w:basedOn w:val="Normal"/>
    <w:next w:val="Normal"/>
    <w:link w:val="5"/>
    <w:uiPriority w:val="9"/>
    <w:qFormat/>
    <w:rsid w:val="00bb18d9"/>
    <w:pPr>
      <w:keepNext w:val="true"/>
      <w:keepLines/>
      <w:spacing w:lineRule="auto" w:line="240" w:before="200" w:after="0"/>
      <w:outlineLvl w:val="4"/>
    </w:pPr>
    <w:rPr>
      <w:rFonts w:ascii="Cambria" w:hAnsi="Cambria"/>
      <w:color w:val="243F60"/>
      <w:sz w:val="20"/>
      <w:szCs w:val="20"/>
    </w:rPr>
  </w:style>
  <w:style w:type="paragraph" w:styleId="Heading6">
    <w:name w:val="Heading 6"/>
    <w:basedOn w:val="Normal"/>
    <w:next w:val="Normal"/>
    <w:link w:val="6"/>
    <w:uiPriority w:val="9"/>
    <w:qFormat/>
    <w:rsid w:val="00bb18d9"/>
    <w:pPr>
      <w:keepNext w:val="true"/>
      <w:keepLines/>
      <w:spacing w:lineRule="auto" w:line="240"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rsid w:val="00bb18d9"/>
    <w:pPr>
      <w:keepNext w:val="true"/>
      <w:keepLines/>
      <w:spacing w:lineRule="auto" w:line="240"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rsid w:val="00bb18d9"/>
    <w:pPr>
      <w:keepNext w:val="true"/>
      <w:keepLines/>
      <w:spacing w:lineRule="auto" w:line="240"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rsid w:val="00bb18d9"/>
    <w:pPr>
      <w:keepNext w:val="true"/>
      <w:keepLines/>
      <w:spacing w:lineRule="auto" w:line="240"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qFormat/>
    <w:rsid w:val="00cb04da"/>
    <w:rPr>
      <w:sz w:val="16"/>
      <w:szCs w:val="16"/>
    </w:rPr>
  </w:style>
  <w:style w:type="character" w:styleId="Style" w:customStyle="1">
    <w:name w:val="Текст примечания Знак"/>
    <w:link w:val="Annotationtext"/>
    <w:qFormat/>
    <w:rsid w:val="00cb04da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" w:customStyle="1">
    <w:name w:val="Текст выноски Знак"/>
    <w:link w:val="BalloonText"/>
    <w:uiPriority w:val="99"/>
    <w:semiHidden/>
    <w:qFormat/>
    <w:rsid w:val="00cb04da"/>
    <w:rPr>
      <w:rFonts w:ascii="Tahoma" w:hAnsi="Tahoma" w:cs="Tahoma"/>
      <w:sz w:val="16"/>
      <w:szCs w:val="16"/>
    </w:rPr>
  </w:style>
  <w:style w:type="character" w:styleId="2" w:customStyle="1">
    <w:name w:val="Заголовок 2 Знак"/>
    <w:uiPriority w:val="9"/>
    <w:qFormat/>
    <w:rsid w:val="00d4745f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Hyperlink">
    <w:name w:val="Hyperlink"/>
    <w:uiPriority w:val="99"/>
    <w:rsid w:val="00d4745f"/>
    <w:rPr>
      <w:color w:val="0000FF"/>
      <w:u w:val="single"/>
    </w:rPr>
  </w:style>
  <w:style w:type="character" w:styleId="Apple-style-span" w:customStyle="1">
    <w:name w:val="apple-style-span"/>
    <w:basedOn w:val="DefaultParagraphFont"/>
    <w:qFormat/>
    <w:rsid w:val="00b4339d"/>
    <w:rPr/>
  </w:style>
  <w:style w:type="character" w:styleId="Apple-converted-space" w:customStyle="1">
    <w:name w:val="apple-converted-space"/>
    <w:basedOn w:val="DefaultParagraphFont"/>
    <w:qFormat/>
    <w:rsid w:val="00b4339d"/>
    <w:rPr/>
  </w:style>
  <w:style w:type="character" w:styleId="Style2" w:customStyle="1">
    <w:name w:val="Текст сноски Знак"/>
    <w:uiPriority w:val="99"/>
    <w:qFormat/>
    <w:rsid w:val="0080406e"/>
    <w:rPr>
      <w:rFonts w:ascii="Times New Roman" w:hAnsi="Times New Roman" w:eastAsia="Calibri" w:cs="Times New Roman"/>
      <w:sz w:val="20"/>
      <w:szCs w:val="20"/>
      <w:lang w:eastAsia="ru-RU"/>
    </w:rPr>
  </w:style>
  <w:style w:type="character" w:styleId="Style3">
    <w:name w:val="Символ сноски"/>
    <w:uiPriority w:val="99"/>
    <w:unhideWhenUsed/>
    <w:qFormat/>
    <w:rsid w:val="0080406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Подпункт Знак1"/>
    <w:link w:val="Style27"/>
    <w:qFormat/>
    <w:locked/>
    <w:rsid w:val="00192f26"/>
    <w:rPr>
      <w:rFonts w:ascii="Times New Roman" w:hAnsi="Times New Roman"/>
      <w:b/>
      <w:sz w:val="28"/>
    </w:rPr>
  </w:style>
  <w:style w:type="character" w:styleId="Style4" w:customStyle="1">
    <w:name w:val="Верхний колонтитул Знак"/>
    <w:basedOn w:val="DefaultParagraphFont"/>
    <w:uiPriority w:val="99"/>
    <w:qFormat/>
    <w:rsid w:val="00ff6229"/>
    <w:rPr/>
  </w:style>
  <w:style w:type="character" w:styleId="Style5" w:customStyle="1">
    <w:name w:val="Нижний колонтитул Знак"/>
    <w:basedOn w:val="DefaultParagraphFont"/>
    <w:uiPriority w:val="99"/>
    <w:qFormat/>
    <w:rsid w:val="00ff6229"/>
    <w:rPr/>
  </w:style>
  <w:style w:type="character" w:styleId="Linenumber">
    <w:name w:val="line number"/>
    <w:basedOn w:val="DefaultParagraphFont"/>
    <w:uiPriority w:val="99"/>
    <w:semiHidden/>
    <w:unhideWhenUsed/>
    <w:qFormat/>
    <w:rsid w:val="00ff6229"/>
    <w:rPr/>
  </w:style>
  <w:style w:type="character" w:styleId="Style6" w:customStyle="1">
    <w:name w:val="Схема документа Знак"/>
    <w:link w:val="DocumentMap"/>
    <w:uiPriority w:val="99"/>
    <w:semiHidden/>
    <w:qFormat/>
    <w:rsid w:val="0040689f"/>
    <w:rPr>
      <w:rFonts w:ascii="Tahoma" w:hAnsi="Tahoma" w:cs="Tahoma"/>
      <w:sz w:val="16"/>
      <w:szCs w:val="16"/>
    </w:rPr>
  </w:style>
  <w:style w:type="character" w:styleId="11" w:customStyle="1">
    <w:name w:val="Заголовок 1 Знак"/>
    <w:uiPriority w:val="9"/>
    <w:qFormat/>
    <w:rsid w:val="00bb18d9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3" w:customStyle="1">
    <w:name w:val="Заголовок 3 Знак"/>
    <w:uiPriority w:val="9"/>
    <w:qFormat/>
    <w:rsid w:val="00bb18d9"/>
    <w:rPr>
      <w:rFonts w:ascii="Cambria" w:hAnsi="Cambria" w:eastAsia="Times New Roman" w:cs="Times New Roman"/>
      <w:b/>
      <w:bCs/>
      <w:color w:val="4F81BD"/>
      <w:sz w:val="20"/>
      <w:szCs w:val="20"/>
    </w:rPr>
  </w:style>
  <w:style w:type="character" w:styleId="4" w:customStyle="1">
    <w:name w:val="Заголовок 4 Знак"/>
    <w:uiPriority w:val="9"/>
    <w:qFormat/>
    <w:rsid w:val="00bb18d9"/>
    <w:rPr>
      <w:rFonts w:ascii="Cambria" w:hAnsi="Cambria" w:eastAsia="Times New Roman" w:cs="Times New Roman"/>
      <w:b/>
      <w:bCs/>
      <w:i/>
      <w:iCs/>
      <w:color w:val="4F81BD"/>
      <w:sz w:val="20"/>
      <w:szCs w:val="20"/>
    </w:rPr>
  </w:style>
  <w:style w:type="character" w:styleId="5" w:customStyle="1">
    <w:name w:val="Заголовок 5 Знак"/>
    <w:uiPriority w:val="9"/>
    <w:qFormat/>
    <w:rsid w:val="00bb18d9"/>
    <w:rPr>
      <w:rFonts w:ascii="Cambria" w:hAnsi="Cambria" w:eastAsia="Times New Roman" w:cs="Times New Roman"/>
      <w:color w:val="243F60"/>
      <w:sz w:val="20"/>
      <w:szCs w:val="20"/>
    </w:rPr>
  </w:style>
  <w:style w:type="character" w:styleId="6" w:customStyle="1">
    <w:name w:val="Заголовок 6 Знак"/>
    <w:uiPriority w:val="9"/>
    <w:qFormat/>
    <w:rsid w:val="00bb18d9"/>
    <w:rPr>
      <w:rFonts w:ascii="Cambria" w:hAnsi="Cambria" w:eastAsia="Times New Roman" w:cs="Times New Roman"/>
      <w:i/>
      <w:iCs/>
      <w:color w:val="243F60"/>
      <w:sz w:val="20"/>
      <w:szCs w:val="20"/>
    </w:rPr>
  </w:style>
  <w:style w:type="character" w:styleId="7" w:customStyle="1">
    <w:name w:val="Заголовок 7 Знак"/>
    <w:uiPriority w:val="9"/>
    <w:qFormat/>
    <w:rsid w:val="00bb18d9"/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styleId="8" w:customStyle="1">
    <w:name w:val="Заголовок 8 Знак"/>
    <w:uiPriority w:val="9"/>
    <w:qFormat/>
    <w:rsid w:val="00bb18d9"/>
    <w:rPr>
      <w:rFonts w:ascii="Cambria" w:hAnsi="Cambria" w:eastAsia="Times New Roman" w:cs="Times New Roman"/>
      <w:color w:val="4F81BD"/>
      <w:sz w:val="20"/>
      <w:szCs w:val="20"/>
    </w:rPr>
  </w:style>
  <w:style w:type="character" w:styleId="9" w:customStyle="1">
    <w:name w:val="Заголовок 9 Знак"/>
    <w:uiPriority w:val="9"/>
    <w:qFormat/>
    <w:rsid w:val="00bb18d9"/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styleId="Style7" w:customStyle="1">
    <w:name w:val="Название Знак"/>
    <w:link w:val="15"/>
    <w:uiPriority w:val="10"/>
    <w:qFormat/>
    <w:rsid w:val="00bb18d9"/>
    <w:rPr>
      <w:rFonts w:ascii="Cambria" w:hAnsi="Cambria" w:eastAsia="Times New Roman" w:cs="Times New Roman"/>
      <w:color w:val="17365D"/>
      <w:spacing w:val="5"/>
      <w:kern w:val="2"/>
      <w:sz w:val="52"/>
      <w:szCs w:val="52"/>
    </w:rPr>
  </w:style>
  <w:style w:type="character" w:styleId="Style8" w:customStyle="1">
    <w:name w:val="Подзаголовок Знак"/>
    <w:uiPriority w:val="11"/>
    <w:qFormat/>
    <w:rsid w:val="00bb18d9"/>
    <w:rPr>
      <w:rFonts w:ascii="Cambria" w:hAnsi="Cambria" w:eastAsia="Times New Roman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uiPriority w:val="22"/>
    <w:qFormat/>
    <w:rsid w:val="00bb18d9"/>
    <w:rPr>
      <w:b/>
      <w:bCs/>
    </w:rPr>
  </w:style>
  <w:style w:type="character" w:styleId="Emphasis">
    <w:name w:val="Emphasis"/>
    <w:uiPriority w:val="20"/>
    <w:qFormat/>
    <w:rsid w:val="00bb18d9"/>
    <w:rPr>
      <w:i/>
      <w:iCs/>
    </w:rPr>
  </w:style>
  <w:style w:type="character" w:styleId="21" w:customStyle="1">
    <w:name w:val="Цитата 2 Знак"/>
    <w:link w:val="Quote"/>
    <w:uiPriority w:val="29"/>
    <w:qFormat/>
    <w:rsid w:val="00bb18d9"/>
    <w:rPr>
      <w:rFonts w:ascii="Calibri" w:hAnsi="Calibri" w:eastAsia="Calibri" w:cs="Times New Roman"/>
      <w:i/>
      <w:iCs/>
      <w:color w:val="000000"/>
      <w:sz w:val="20"/>
      <w:szCs w:val="20"/>
    </w:rPr>
  </w:style>
  <w:style w:type="character" w:styleId="Style9" w:customStyle="1">
    <w:name w:val="Выделенная цитата Знак"/>
    <w:link w:val="IntenseQuote"/>
    <w:uiPriority w:val="30"/>
    <w:qFormat/>
    <w:rsid w:val="00bb18d9"/>
    <w:rPr>
      <w:rFonts w:ascii="Calibri" w:hAnsi="Calibri" w:eastAsia="Calibri" w:cs="Times New Roman"/>
      <w:b/>
      <w:bCs/>
      <w:i/>
      <w:iCs/>
      <w:color w:val="4F81BD"/>
      <w:sz w:val="20"/>
      <w:szCs w:val="20"/>
    </w:rPr>
  </w:style>
  <w:style w:type="character" w:styleId="SubtleEmphasis">
    <w:name w:val="Subtle Emphasis"/>
    <w:uiPriority w:val="19"/>
    <w:qFormat/>
    <w:rsid w:val="00bb18d9"/>
    <w:rPr>
      <w:i/>
      <w:iCs/>
      <w:color w:val="808080"/>
    </w:rPr>
  </w:style>
  <w:style w:type="character" w:styleId="IntenseEmphasis">
    <w:name w:val="Intense Emphasis"/>
    <w:uiPriority w:val="21"/>
    <w:qFormat/>
    <w:rsid w:val="00bb18d9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bb18d9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bb18d9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bb18d9"/>
    <w:rPr>
      <w:b/>
      <w:bCs/>
      <w:smallCaps/>
      <w:spacing w:val="5"/>
    </w:rPr>
  </w:style>
  <w:style w:type="character" w:styleId="Style10" w:customStyle="1">
    <w:name w:val="Электронная подпись Знак"/>
    <w:link w:val="E-mailSignature"/>
    <w:uiPriority w:val="99"/>
    <w:semiHidden/>
    <w:qFormat/>
    <w:rsid w:val="00bb18d9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1" w:customStyle="1">
    <w:name w:val="Тема примечания Знак"/>
    <w:link w:val="Annotationsubject"/>
    <w:semiHidden/>
    <w:qFormat/>
    <w:rsid w:val="00bb18d9"/>
    <w:rPr>
      <w:rFonts w:ascii="Times New Roman" w:hAnsi="Times New Roman" w:eastAsia="Calibri" w:cs="Times New Roman"/>
      <w:b/>
      <w:bCs/>
      <w:sz w:val="20"/>
      <w:szCs w:val="20"/>
      <w:lang w:eastAsia="ru-RU"/>
    </w:rPr>
  </w:style>
  <w:style w:type="character" w:styleId="Style12" w:customStyle="1">
    <w:name w:val="Основной текст с отступом Знак"/>
    <w:qFormat/>
    <w:rsid w:val="008757e8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FollowedHyperlink">
    <w:name w:val="FollowedHyperlink"/>
    <w:uiPriority w:val="99"/>
    <w:semiHidden/>
    <w:unhideWhenUsed/>
    <w:rsid w:val="00b211e3"/>
    <w:rPr>
      <w:color w:val="954F72"/>
      <w:u w:val="single"/>
    </w:rPr>
  </w:style>
  <w:style w:type="character" w:styleId="Style13" w:customStyle="1">
    <w:name w:val="Абзац списка Знак"/>
    <w:link w:val="ListParagraph"/>
    <w:uiPriority w:val="34"/>
    <w:qFormat/>
    <w:rsid w:val="00253374"/>
    <w:rPr>
      <w:sz w:val="22"/>
      <w:szCs w:val="22"/>
    </w:rPr>
  </w:style>
  <w:style w:type="character" w:styleId="61" w:customStyle="1">
    <w:name w:val="Основной текст (6)_"/>
    <w:basedOn w:val="DefaultParagraphFont"/>
    <w:link w:val="62"/>
    <w:qFormat/>
    <w:rsid w:val="00310980"/>
    <w:rPr>
      <w:rFonts w:ascii="Times New Roman" w:hAnsi="Times New Roman"/>
      <w:shd w:fill="FFFFFF" w:val="clear"/>
    </w:rPr>
  </w:style>
  <w:style w:type="character" w:styleId="Style14" w:customStyle="1">
    <w:name w:val="Колонтитул_"/>
    <w:basedOn w:val="DefaultParagraphFont"/>
    <w:link w:val="Style31"/>
    <w:qFormat/>
    <w:rsid w:val="006d08bc"/>
    <w:rPr>
      <w:rFonts w:ascii="Times New Roman" w:hAnsi="Times New Roman"/>
      <w:shd w:fill="FFFFFF" w:val="clear"/>
    </w:rPr>
  </w:style>
  <w:style w:type="character" w:styleId="Style15" w:customStyle="1">
    <w:name w:val="комментарий"/>
    <w:qFormat/>
    <w:rsid w:val="008d2ec1"/>
    <w:rPr>
      <w:b/>
      <w:i/>
      <w:shd w:fill="FFFF99" w:val="clear"/>
    </w:rPr>
  </w:style>
  <w:style w:type="character" w:styleId="ConsPlusNormal" w:customStyle="1">
    <w:name w:val="ConsPlusNormal Знак"/>
    <w:link w:val="ConsPlusNormal1"/>
    <w:qFormat/>
    <w:rsid w:val="00170c47"/>
    <w:rPr>
      <w:rFonts w:ascii="Arial" w:hAnsi="Arial" w:cs="Arial"/>
    </w:rPr>
  </w:style>
  <w:style w:type="character" w:styleId="12" w:customStyle="1">
    <w:name w:val="Абзац списка Знак1"/>
    <w:basedOn w:val="DefaultParagraphFont"/>
    <w:uiPriority w:val="34"/>
    <w:qFormat/>
    <w:rsid w:val="00a270f3"/>
    <w:rPr>
      <w:rFonts w:ascii="Calibri" w:hAnsi="Calibri"/>
      <w:sz w:val="22"/>
    </w:rPr>
  </w:style>
  <w:style w:type="character" w:styleId="Style16" w:customStyle="1">
    <w:name w:val="Текст концевой сноски Знак"/>
    <w:basedOn w:val="DefaultParagraphFont"/>
    <w:uiPriority w:val="99"/>
    <w:semiHidden/>
    <w:qFormat/>
    <w:rsid w:val="00dc37db"/>
    <w:rPr/>
  </w:style>
  <w:style w:type="character" w:styleId="Style17">
    <w:name w:val="Символ концевой сноски"/>
    <w:uiPriority w:val="99"/>
    <w:semiHidden/>
    <w:unhideWhenUsed/>
    <w:qFormat/>
    <w:rsid w:val="00dc37db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qFormat/>
    <w:rsid w:val="00470434"/>
    <w:rPr>
      <w:color w:val="808080"/>
    </w:rPr>
  </w:style>
  <w:style w:type="character" w:styleId="Style18" w:customStyle="1">
    <w:name w:val="РГ_номер текста табл Знак"/>
    <w:basedOn w:val="12"/>
    <w:link w:val="Style36"/>
    <w:qFormat/>
    <w:rsid w:val="00470434"/>
    <w:rPr>
      <w:rFonts w:ascii="Calibri" w:hAnsi="Calibri" w:eastAsia="Calibri" w:cs="Calibri" w:asciiTheme="minorHAnsi" w:cstheme="minorHAnsi" w:hAnsiTheme="minorHAnsi"/>
      <w:sz w:val="24"/>
      <w:szCs w:val="22"/>
      <w:lang w:eastAsia="en-US"/>
    </w:rPr>
  </w:style>
  <w:style w:type="character" w:styleId="Style19">
    <w:name w:val="Основной шрифт абзаца"/>
    <w:qFormat/>
    <w:rPr/>
  </w:style>
  <w:style w:type="character" w:styleId="Style20">
    <w:name w:val="Символ нумерации"/>
    <w:qFormat/>
    <w:rPr/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link w:val="Style13"/>
    <w:uiPriority w:val="34"/>
    <w:qFormat/>
    <w:rsid w:val="00141d91"/>
    <w:pPr>
      <w:spacing w:before="0" w:after="200"/>
      <w:ind w:left="720" w:hanging="0"/>
      <w:contextualSpacing/>
    </w:pPr>
    <w:rPr/>
  </w:style>
  <w:style w:type="paragraph" w:styleId="Annotationtext">
    <w:name w:val="annotation text"/>
    <w:basedOn w:val="Normal"/>
    <w:link w:val="Style"/>
    <w:qFormat/>
    <w:rsid w:val="00cb04d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link w:val="Style1"/>
    <w:semiHidden/>
    <w:unhideWhenUsed/>
    <w:qFormat/>
    <w:rsid w:val="00cb04d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3" w:customStyle="1">
    <w:name w:val="Обычный+ без отступа"/>
    <w:basedOn w:val="Normal"/>
    <w:qFormat/>
    <w:rsid w:val="000a41f8"/>
    <w:pPr>
      <w:spacing w:lineRule="auto" w:line="360" w:before="120" w:after="0"/>
      <w:jc w:val="both"/>
    </w:pPr>
    <w:rPr>
      <w:rFonts w:ascii="Times New Roman" w:hAnsi="Times New Roman" w:eastAsia="MS Mincho"/>
      <w:sz w:val="28"/>
      <w:szCs w:val="28"/>
    </w:rPr>
  </w:style>
  <w:style w:type="paragraph" w:styleId="Style24" w:customStyle="1">
    <w:name w:val="Таблица шапка"/>
    <w:basedOn w:val="Normal"/>
    <w:qFormat/>
    <w:rsid w:val="008b7e3f"/>
    <w:pPr>
      <w:keepNext w:val="true"/>
      <w:spacing w:lineRule="auto" w:line="240" w:before="40" w:after="40"/>
      <w:ind w:left="57" w:right="57" w:hanging="0"/>
    </w:pPr>
    <w:rPr>
      <w:rFonts w:ascii="Times New Roman" w:hAnsi="Times New Roman"/>
      <w:sz w:val="18"/>
      <w:szCs w:val="18"/>
    </w:rPr>
  </w:style>
  <w:style w:type="paragraph" w:styleId="Style25" w:customStyle="1">
    <w:name w:val="Текст таблицы"/>
    <w:basedOn w:val="Normal"/>
    <w:qFormat/>
    <w:rsid w:val="008b7e3f"/>
    <w:pPr>
      <w:spacing w:lineRule="auto" w:line="240" w:before="40" w:after="40"/>
      <w:ind w:left="57" w:right="57" w:hanging="0"/>
    </w:pPr>
    <w:rPr>
      <w:rFonts w:ascii="Times New Roman" w:hAnsi="Times New Roman"/>
      <w:sz w:val="24"/>
      <w:szCs w:val="24"/>
    </w:rPr>
  </w:style>
  <w:style w:type="paragraph" w:styleId="Style26" w:customStyle="1">
    <w:name w:val="Пункт Знак"/>
    <w:basedOn w:val="Normal"/>
    <w:qFormat/>
    <w:rsid w:val="00112ebd"/>
    <w:pPr>
      <w:numPr>
        <w:ilvl w:val="1"/>
        <w:numId w:val="1"/>
      </w:numPr>
      <w:tabs>
        <w:tab w:val="clear" w:pos="709"/>
        <w:tab w:val="left" w:pos="851" w:leader="none"/>
        <w:tab w:val="left" w:pos="1134" w:leader="none"/>
      </w:tabs>
      <w:spacing w:lineRule="auto" w:line="360" w:before="0" w:after="0"/>
      <w:jc w:val="both"/>
    </w:pPr>
    <w:rPr>
      <w:rFonts w:ascii="Times New Roman" w:hAnsi="Times New Roman"/>
      <w:b/>
      <w:sz w:val="28"/>
      <w:szCs w:val="20"/>
    </w:rPr>
  </w:style>
  <w:style w:type="paragraph" w:styleId="Style27" w:customStyle="1">
    <w:name w:val="Подпункт"/>
    <w:basedOn w:val="Style26"/>
    <w:link w:val="1"/>
    <w:qFormat/>
    <w:rsid w:val="00b5006b"/>
    <w:pPr>
      <w:numPr>
        <w:ilvl w:val="2"/>
      </w:numPr>
      <w:tabs>
        <w:tab w:val="clear" w:pos="1134"/>
        <w:tab w:val="left" w:pos="851" w:leader="none"/>
      </w:tabs>
    </w:pPr>
    <w:rPr/>
  </w:style>
  <w:style w:type="paragraph" w:styleId="Style28" w:customStyle="1">
    <w:name w:val="Подподпункт"/>
    <w:basedOn w:val="Style27"/>
    <w:qFormat/>
    <w:rsid w:val="00b5006b"/>
    <w:pPr>
      <w:numPr>
        <w:ilvl w:val="3"/>
      </w:numPr>
      <w:tabs>
        <w:tab w:val="left" w:pos="851" w:leader="none"/>
        <w:tab w:val="left" w:pos="1134" w:leader="none"/>
        <w:tab w:val="left" w:pos="1418" w:leader="none"/>
      </w:tabs>
    </w:pPr>
    <w:rPr/>
  </w:style>
  <w:style w:type="paragraph" w:styleId="Style29" w:customStyle="1">
    <w:name w:val="Подподподпункт"/>
    <w:basedOn w:val="Normal"/>
    <w:qFormat/>
    <w:rsid w:val="00112ebd"/>
    <w:pPr>
      <w:numPr>
        <w:ilvl w:val="4"/>
        <w:numId w:val="1"/>
      </w:numPr>
      <w:tabs>
        <w:tab w:val="clear" w:pos="709"/>
        <w:tab w:val="left" w:pos="1134" w:leader="none"/>
        <w:tab w:val="left" w:pos="1701" w:leader="none"/>
      </w:tabs>
      <w:spacing w:lineRule="auto" w:line="360" w:before="0" w:after="0"/>
      <w:jc w:val="both"/>
    </w:pPr>
    <w:rPr>
      <w:rFonts w:ascii="Times New Roman" w:hAnsi="Times New Roman"/>
      <w:sz w:val="28"/>
      <w:szCs w:val="20"/>
    </w:rPr>
  </w:style>
  <w:style w:type="paragraph" w:styleId="13" w:customStyle="1">
    <w:name w:val="Пункт1"/>
    <w:basedOn w:val="Normal"/>
    <w:qFormat/>
    <w:rsid w:val="00b5006b"/>
    <w:pPr>
      <w:numPr>
        <w:ilvl w:val="0"/>
        <w:numId w:val="1"/>
      </w:numPr>
      <w:spacing w:lineRule="auto" w:line="360" w:before="240" w:after="0"/>
      <w:jc w:val="center"/>
    </w:pPr>
    <w:rPr>
      <w:rFonts w:ascii="Arial" w:hAnsi="Arial"/>
      <w:b/>
      <w:sz w:val="28"/>
      <w:szCs w:val="28"/>
    </w:rPr>
  </w:style>
  <w:style w:type="paragraph" w:styleId="31" w:customStyle="1">
    <w:name w:val="Пункт_3"/>
    <w:basedOn w:val="Normal"/>
    <w:uiPriority w:val="99"/>
    <w:qFormat/>
    <w:rsid w:val="00112ebd"/>
    <w:pPr>
      <w:tabs>
        <w:tab w:val="clear" w:pos="709"/>
        <w:tab w:val="left" w:pos="1134" w:leader="none"/>
      </w:tabs>
      <w:spacing w:lineRule="auto" w:line="360" w:before="0" w:after="0"/>
      <w:ind w:left="1134" w:hanging="1133"/>
      <w:jc w:val="both"/>
    </w:pPr>
    <w:rPr>
      <w:rFonts w:ascii="Times New Roman" w:hAnsi="Times New Roman"/>
      <w:sz w:val="28"/>
      <w:szCs w:val="20"/>
    </w:rPr>
  </w:style>
  <w:style w:type="paragraph" w:styleId="TOC1">
    <w:name w:val="TOC 1"/>
    <w:basedOn w:val="Normal"/>
    <w:next w:val="Normal"/>
    <w:autoRedefine/>
    <w:uiPriority w:val="39"/>
    <w:rsid w:val="00b17e73"/>
    <w:pPr>
      <w:tabs>
        <w:tab w:val="clear" w:pos="709"/>
        <w:tab w:val="right" w:pos="9344" w:leader="dot"/>
      </w:tabs>
      <w:spacing w:lineRule="auto" w:line="240" w:before="0" w:after="0"/>
      <w:jc w:val="center"/>
    </w:pPr>
    <w:rPr>
      <w:rFonts w:ascii="Times New Roman" w:hAnsi="Times New Roman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b87d05"/>
    <w:pPr>
      <w:tabs>
        <w:tab w:val="clear" w:pos="709"/>
        <w:tab w:val="left" w:pos="426" w:leader="none"/>
        <w:tab w:val="left" w:pos="1680" w:leader="none"/>
        <w:tab w:val="right" w:pos="9344" w:leader="dot"/>
        <w:tab w:val="right" w:pos="9639" w:leader="dot"/>
      </w:tabs>
      <w:spacing w:before="0" w:after="0"/>
      <w:ind w:left="220" w:hanging="0"/>
    </w:pPr>
    <w:rPr/>
  </w:style>
  <w:style w:type="paragraph" w:styleId="FootnoteText">
    <w:name w:val="Footnote Text"/>
    <w:basedOn w:val="Normal"/>
    <w:link w:val="Style2"/>
    <w:uiPriority w:val="99"/>
    <w:unhideWhenUsed/>
    <w:rsid w:val="0080406e"/>
    <w:pPr>
      <w:spacing w:lineRule="auto" w:line="240" w:before="0" w:after="0"/>
    </w:pPr>
    <w:rPr>
      <w:rFonts w:ascii="Times New Roman" w:hAnsi="Times New Roman" w:eastAsia="Calibri"/>
      <w:sz w:val="20"/>
      <w:szCs w:val="20"/>
    </w:rPr>
  </w:style>
  <w:style w:type="paragraph" w:styleId="ConsPlusNormal1" w:customStyle="1">
    <w:name w:val="ConsPlusNormal"/>
    <w:link w:val="ConsPlusNormal"/>
    <w:qFormat/>
    <w:rsid w:val="00192f26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30" w:customStyle="1">
    <w:name w:val="Таблица"/>
    <w:basedOn w:val="Normal"/>
    <w:qFormat/>
    <w:rsid w:val="00192f26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14" w:customStyle="1">
    <w:name w:val="Абзац списка1"/>
    <w:basedOn w:val="Normal"/>
    <w:qFormat/>
    <w:rsid w:val="00192f26"/>
    <w:pPr>
      <w:spacing w:before="0" w:after="200"/>
      <w:ind w:left="720" w:hanging="0"/>
      <w:contextualSpacing/>
    </w:pPr>
    <w:rPr/>
  </w:style>
  <w:style w:type="paragraph" w:styleId="Style31" w:customStyle="1">
    <w:name w:val="Колонтитул"/>
    <w:basedOn w:val="Normal"/>
    <w:link w:val="Style14"/>
    <w:qFormat/>
    <w:rsid w:val="006d08bc"/>
    <w:pPr>
      <w:widowControl w:val="false"/>
      <w:shd w:val="clear" w:color="auto" w:fill="FFFFFF"/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Style4"/>
    <w:uiPriority w:val="99"/>
    <w:unhideWhenUsed/>
    <w:rsid w:val="00ff6229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5"/>
    <w:uiPriority w:val="99"/>
    <w:unhideWhenUsed/>
    <w:rsid w:val="00ff6229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ocumentMap">
    <w:name w:val="Document Map"/>
    <w:basedOn w:val="Normal"/>
    <w:link w:val="Style6"/>
    <w:uiPriority w:val="99"/>
    <w:semiHidden/>
    <w:unhideWhenUsed/>
    <w:qFormat/>
    <w:rsid w:val="0040689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2" w:customStyle="1">
    <w:name w:val="Знак Знак Знак Знак Знак Знак Знак Знак Знак"/>
    <w:basedOn w:val="Normal"/>
    <w:qFormat/>
    <w:rsid w:val="00bb18d9"/>
    <w:pPr>
      <w:spacing w:lineRule="exact" w:line="240" w:before="0" w:after="160"/>
      <w:jc w:val="both"/>
    </w:pPr>
    <w:rPr>
      <w:rFonts w:ascii="Verdana" w:hAnsi="Verdana" w:cs="Verdana"/>
      <w:lang w:val="en-US"/>
    </w:rPr>
  </w:style>
  <w:style w:type="paragraph" w:styleId="NoSpacing">
    <w:name w:val="No Spacing"/>
    <w:basedOn w:val="Normal"/>
    <w:uiPriority w:val="1"/>
    <w:qFormat/>
    <w:rsid w:val="00bb18d9"/>
    <w:pPr>
      <w:spacing w:lineRule="auto" w:line="360" w:before="0" w:after="0"/>
    </w:pPr>
    <w:rPr>
      <w:rFonts w:ascii="Times New Roman" w:hAnsi="Times New Roman"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bb18d9"/>
    <w:pPr>
      <w:spacing w:lineRule="auto" w:line="240" w:before="0" w:after="0"/>
    </w:pPr>
    <w:rPr>
      <w:rFonts w:ascii="Times New Roman" w:hAnsi="Times New Roman" w:eastAsia="Calibri"/>
      <w:b/>
      <w:bCs/>
      <w:color w:val="4F81BD"/>
      <w:sz w:val="18"/>
      <w:szCs w:val="18"/>
    </w:rPr>
  </w:style>
  <w:style w:type="paragraph" w:styleId="15" w:customStyle="1">
    <w:name w:val="Название1"/>
    <w:basedOn w:val="Normal"/>
    <w:next w:val="Normal"/>
    <w:link w:val="Style7"/>
    <w:uiPriority w:val="10"/>
    <w:qFormat/>
    <w:rsid w:val="00bb18d9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tyle8"/>
    <w:uiPriority w:val="11"/>
    <w:qFormat/>
    <w:rsid w:val="00bb18d9"/>
    <w:pPr>
      <w:numPr>
        <w:ilvl w:val="1"/>
      </w:numPr>
      <w:spacing w:lineRule="auto" w:line="240" w:before="0" w:after="0"/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bb18d9"/>
    <w:pPr>
      <w:spacing w:lineRule="auto" w:line="240" w:before="0" w:after="0"/>
    </w:pPr>
    <w:rPr>
      <w:rFonts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link w:val="Style9"/>
    <w:uiPriority w:val="30"/>
    <w:qFormat/>
    <w:rsid w:val="00bb18d9"/>
    <w:pPr>
      <w:pBdr>
        <w:bottom w:val="single" w:sz="4" w:space="4" w:color="4F81BD"/>
      </w:pBdr>
      <w:spacing w:lineRule="auto" w:line="240" w:before="200" w:after="280"/>
      <w:ind w:left="936" w:right="936" w:hanging="0"/>
    </w:pPr>
    <w:rPr>
      <w:rFonts w:eastAsia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21"/>
    <w:pPr/>
    <w:rPr/>
  </w:style>
  <w:style w:type="paragraph" w:styleId="TOCHeading">
    <w:name w:val="TOC Heading"/>
    <w:basedOn w:val="Heading1"/>
    <w:next w:val="Normal"/>
    <w:uiPriority w:val="39"/>
    <w:qFormat/>
    <w:rsid w:val="00bb18d9"/>
    <w:pPr>
      <w:outlineLvl w:val="9"/>
    </w:pPr>
    <w:rPr/>
  </w:style>
  <w:style w:type="paragraph" w:styleId="E-mailSignature">
    <w:name w:val="E-mail Signature"/>
    <w:basedOn w:val="Normal"/>
    <w:link w:val="Style10"/>
    <w:uiPriority w:val="99"/>
    <w:semiHidden/>
    <w:unhideWhenUsed/>
    <w:qFormat/>
    <w:rsid w:val="00bb18d9"/>
    <w:pPr>
      <w:spacing w:lineRule="auto" w:line="240" w:before="0" w:after="0"/>
    </w:pPr>
    <w:rPr>
      <w:rFonts w:ascii="Times New Roman" w:hAnsi="Times New Roman" w:eastAsia="Calibri"/>
      <w:sz w:val="24"/>
      <w:szCs w:val="24"/>
    </w:rPr>
  </w:style>
  <w:style w:type="paragraph" w:styleId="Style33" w:customStyle="1">
    <w:name w:val="Знак"/>
    <w:basedOn w:val="Normal"/>
    <w:qFormat/>
    <w:rsid w:val="00bb18d9"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Annotationsubject">
    <w:name w:val="annotation subject"/>
    <w:basedOn w:val="Annotationtext"/>
    <w:next w:val="Annotationtext"/>
    <w:link w:val="Style11"/>
    <w:semiHidden/>
    <w:qFormat/>
    <w:rsid w:val="00bb18d9"/>
    <w:pPr/>
    <w:rPr>
      <w:rFonts w:eastAsia="Calibri"/>
      <w:b/>
      <w:bCs/>
    </w:rPr>
  </w:style>
  <w:style w:type="paragraph" w:styleId="32" w:customStyle="1">
    <w:name w:val="Нумерованный список ур3"/>
    <w:basedOn w:val="Normal"/>
    <w:qFormat/>
    <w:rsid w:val="00bb18d9"/>
    <w:pPr>
      <w:numPr>
        <w:ilvl w:val="2"/>
        <w:numId w:val="2"/>
      </w:numPr>
      <w:spacing w:lineRule="auto" w:line="240" w:before="0" w:after="0"/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b5006b"/>
    <w:pPr>
      <w:numPr>
        <w:ilvl w:val="0"/>
        <w:numId w:val="2"/>
      </w:numPr>
      <w:spacing w:lineRule="auto" w:line="240" w:before="120" w:after="0"/>
      <w:jc w:val="both"/>
    </w:pPr>
    <w:rPr>
      <w:rFonts w:ascii="Garamond" w:hAnsi="Garamond"/>
      <w:sz w:val="24"/>
      <w:szCs w:val="20"/>
    </w:rPr>
  </w:style>
  <w:style w:type="paragraph" w:styleId="22" w:customStyle="1">
    <w:name w:val="Нумерованный список ур2"/>
    <w:basedOn w:val="Normal"/>
    <w:qFormat/>
    <w:rsid w:val="00bb18d9"/>
    <w:pPr>
      <w:numPr>
        <w:ilvl w:val="1"/>
        <w:numId w:val="2"/>
      </w:numPr>
      <w:spacing w:lineRule="auto" w:line="240" w:before="120" w:after="0"/>
      <w:jc w:val="both"/>
    </w:pPr>
    <w:rPr>
      <w:rFonts w:ascii="Garamond" w:hAnsi="Garamond"/>
      <w:sz w:val="24"/>
      <w:szCs w:val="20"/>
    </w:rPr>
  </w:style>
  <w:style w:type="paragraph" w:styleId="NormalWeb">
    <w:name w:val="Normal (Web)"/>
    <w:basedOn w:val="Normal"/>
    <w:uiPriority w:val="99"/>
    <w:qFormat/>
    <w:rsid w:val="00bb18d9"/>
    <w:pPr>
      <w:spacing w:lineRule="auto" w:line="240" w:before="30" w:after="30"/>
    </w:pPr>
    <w:rPr>
      <w:rFonts w:ascii="Arial" w:hAnsi="Arial" w:eastAsia="Arial Unicode MS" w:cs="Arial"/>
      <w:color w:val="332E2D"/>
      <w:spacing w:val="2"/>
      <w:sz w:val="24"/>
      <w:szCs w:val="24"/>
    </w:rPr>
  </w:style>
  <w:style w:type="paragraph" w:styleId="Revision">
    <w:name w:val="Revision"/>
    <w:uiPriority w:val="99"/>
    <w:semiHidden/>
    <w:qFormat/>
    <w:rsid w:val="00bb18d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33" w:customStyle="1">
    <w:name w:val="Знак Знак3 Знак Знак"/>
    <w:basedOn w:val="Normal"/>
    <w:qFormat/>
    <w:rsid w:val="00bb18d9"/>
    <w:pPr>
      <w:spacing w:lineRule="exact" w:line="240" w:before="0" w:after="160"/>
      <w:jc w:val="both"/>
    </w:pPr>
    <w:rPr>
      <w:rFonts w:ascii="Verdana" w:hAnsi="Verdana" w:cs="Verdana"/>
      <w:lang w:val="en-US"/>
    </w:rPr>
  </w:style>
  <w:style w:type="paragraph" w:styleId="Style34" w:customStyle="1">
    <w:name w:val="Пункт"/>
    <w:basedOn w:val="Normal"/>
    <w:qFormat/>
    <w:rsid w:val="00bb18d9"/>
    <w:pPr>
      <w:widowControl w:val="false"/>
      <w:tabs>
        <w:tab w:val="clear" w:pos="709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 w:val="28"/>
      <w:szCs w:val="20"/>
    </w:rPr>
  </w:style>
  <w:style w:type="paragraph" w:styleId="23" w:customStyle="1">
    <w:name w:val="Абзац списка2"/>
    <w:basedOn w:val="Normal"/>
    <w:qFormat/>
    <w:rsid w:val="00bb18d9"/>
    <w:pPr>
      <w:spacing w:before="0" w:after="200"/>
      <w:ind w:left="720" w:hanging="0"/>
      <w:contextualSpacing/>
    </w:pPr>
    <w:rPr/>
  </w:style>
  <w:style w:type="paragraph" w:styleId="BodyTextIndent">
    <w:name w:val="Body Text Indent"/>
    <w:basedOn w:val="Normal"/>
    <w:link w:val="Style12"/>
    <w:rsid w:val="008757e8"/>
    <w:pPr>
      <w:spacing w:lineRule="auto" w:line="240" w:before="0" w:after="120"/>
      <w:ind w:left="283" w:hanging="0"/>
    </w:pPr>
    <w:rPr>
      <w:rFonts w:ascii="Times New Roman" w:hAnsi="Times New Roman"/>
      <w:sz w:val="28"/>
      <w:szCs w:val="28"/>
    </w:rPr>
  </w:style>
  <w:style w:type="paragraph" w:styleId="Style35" w:customStyle="1">
    <w:name w:val="Знак Знак"/>
    <w:basedOn w:val="Normal"/>
    <w:qFormat/>
    <w:rsid w:val="00d30377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bb55ba"/>
    <w:pPr>
      <w:spacing w:before="0" w:after="100"/>
      <w:ind w:left="440" w:hanging="0"/>
    </w:pPr>
    <w:rPr/>
  </w:style>
  <w:style w:type="paragraph" w:styleId="62" w:customStyle="1">
    <w:name w:val="Основной текст (6)"/>
    <w:basedOn w:val="Normal"/>
    <w:link w:val="61"/>
    <w:qFormat/>
    <w:rsid w:val="00310980"/>
    <w:pPr>
      <w:widowControl w:val="false"/>
      <w:shd w:val="clear" w:color="auto" w:fill="FFFFFF"/>
      <w:spacing w:lineRule="auto" w:line="240" w:before="0" w:after="0"/>
      <w:ind w:firstLine="720"/>
      <w:jc w:val="both"/>
    </w:pPr>
    <w:rPr>
      <w:rFonts w:ascii="Times New Roman" w:hAnsi="Times New Roman"/>
      <w:sz w:val="20"/>
      <w:szCs w:val="20"/>
    </w:rPr>
  </w:style>
  <w:style w:type="paragraph" w:styleId="TableListParagraph" w:customStyle="1">
    <w:name w:val="Table List Paragraph"/>
    <w:basedOn w:val="Normal"/>
    <w:qFormat/>
    <w:rsid w:val="00a270f3"/>
    <w:pPr>
      <w:numPr>
        <w:ilvl w:val="0"/>
        <w:numId w:val="9"/>
      </w:numPr>
      <w:tabs>
        <w:tab w:val="clear" w:pos="709"/>
        <w:tab w:val="left" w:pos="360" w:leader="none"/>
      </w:tabs>
      <w:spacing w:lineRule="auto" w:line="240" w:before="0" w:after="0"/>
      <w:jc w:val="both"/>
    </w:pPr>
    <w:rPr>
      <w:rFonts w:ascii="Times New Roman" w:hAnsi="Times New Roman"/>
      <w:sz w:val="24"/>
      <w:szCs w:val="24"/>
    </w:rPr>
  </w:style>
  <w:style w:type="paragraph" w:styleId="ConsPlusNonformat" w:customStyle="1">
    <w:name w:val="ConsPlusNonformat"/>
    <w:basedOn w:val="Normal"/>
    <w:qFormat/>
    <w:rsid w:val="000753e1"/>
    <w:pPr>
      <w:spacing w:lineRule="auto" w:line="240" w:before="0" w:after="0"/>
    </w:pPr>
    <w:rPr>
      <w:rFonts w:ascii="Courier New" w:hAnsi="Courier New" w:eastAsia="Calibri" w:cs="Courier New" w:eastAsiaTheme="minorHAnsi"/>
      <w:sz w:val="20"/>
      <w:szCs w:val="20"/>
    </w:rPr>
  </w:style>
  <w:style w:type="paragraph" w:styleId="Dt-p" w:customStyle="1">
    <w:name w:val="dt-p"/>
    <w:basedOn w:val="Normal"/>
    <w:qFormat/>
    <w:rsid w:val="00a05152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EndnoteText">
    <w:name w:val="Endnote Text"/>
    <w:basedOn w:val="Normal"/>
    <w:link w:val="Style16"/>
    <w:uiPriority w:val="99"/>
    <w:semiHidden/>
    <w:unhideWhenUsed/>
    <w:rsid w:val="00dc37db"/>
    <w:pPr>
      <w:spacing w:lineRule="auto" w:line="240" w:before="0" w:after="0"/>
    </w:pPr>
    <w:rPr>
      <w:sz w:val="20"/>
      <w:szCs w:val="20"/>
    </w:rPr>
  </w:style>
  <w:style w:type="paragraph" w:styleId="Style36" w:customStyle="1">
    <w:name w:val="РГ_номер текста табл"/>
    <w:basedOn w:val="ListParagraph"/>
    <w:link w:val="Style18"/>
    <w:qFormat/>
    <w:rsid w:val="00470434"/>
    <w:pPr>
      <w:numPr>
        <w:ilvl w:val="0"/>
        <w:numId w:val="10"/>
      </w:numPr>
      <w:spacing w:lineRule="auto" w:line="240" w:before="0" w:after="0"/>
      <w:contextualSpacing/>
      <w:jc w:val="both"/>
    </w:pPr>
    <w:rPr>
      <w:rFonts w:ascii="Calibri" w:hAnsi="Calibri" w:eastAsia="Calibri" w:cs="Calibri" w:asciiTheme="minorHAnsi" w:cstheme="minorHAnsi" w:hAnsiTheme="minorHAnsi"/>
      <w:sz w:val="24"/>
      <w:lang w:eastAsia="en-US"/>
    </w:rPr>
  </w:style>
  <w:style w:type="paragraph" w:styleId="111" w:customStyle="1">
    <w:name w:val="1.1. таблица"/>
    <w:basedOn w:val="Style36"/>
    <w:qFormat/>
    <w:rsid w:val="00470434"/>
    <w:pPr>
      <w:numPr>
        <w:ilvl w:val="1"/>
      </w:numPr>
      <w:tabs>
        <w:tab w:val="clear" w:pos="709"/>
      </w:tabs>
      <w:ind w:left="1440" w:hanging="360"/>
    </w:pPr>
    <w:rPr/>
  </w:style>
  <w:style w:type="paragraph" w:styleId="Xmsolistparagraph" w:customStyle="1">
    <w:name w:val="x_msolistparagraph"/>
    <w:basedOn w:val="Normal"/>
    <w:qFormat/>
    <w:rsid w:val="001d51d9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37">
    <w:name w:val="Содержимое врезки"/>
    <w:basedOn w:val="Normal"/>
    <w:qFormat/>
    <w:pPr/>
    <w:rPr/>
  </w:style>
  <w:style w:type="paragraph" w:styleId="HEADERTEXT">
    <w:name w:val=".HEADERTEXT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NSimSun" w:cs="Arial"/>
      <w:color w:val="2B4279"/>
      <w:kern w:val="0"/>
      <w:sz w:val="20"/>
      <w:szCs w:val="20"/>
      <w:lang w:val="ru-RU" w:eastAsia="ru-RU" w:bidi="ar-SA"/>
    </w:rPr>
  </w:style>
  <w:style w:type="paragraph" w:styleId="FORMATTEXT">
    <w:name w:val=".FORMATTEXT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NSimSun" w:cs="Arial"/>
      <w:color w:val="auto"/>
      <w:kern w:val="0"/>
      <w:sz w:val="20"/>
      <w:szCs w:val="20"/>
      <w:lang w:val="ru-RU" w:eastAsia="ru-RU" w:bidi="ar-SA"/>
    </w:rPr>
  </w:style>
  <w:style w:type="paragraph" w:styleId="Style38">
    <w:name w:val="Содержимое таблицы"/>
    <w:basedOn w:val="Normal"/>
    <w:qFormat/>
    <w:pPr>
      <w:widowControl w:val="false"/>
      <w:suppressLineNumbers/>
    </w:pPr>
    <w:rPr/>
  </w:style>
  <w:style w:type="paragraph" w:styleId="Style39">
    <w:name w:val="Заголовок таблицы"/>
    <w:basedOn w:val="Style38"/>
    <w:qFormat/>
    <w:pPr>
      <w:suppressLineNumbers/>
      <w:jc w:val="center"/>
    </w:pPr>
    <w:rPr>
      <w:b/>
      <w:bCs/>
    </w:rPr>
  </w:style>
  <w:style w:type="paragraph" w:styleId="Style40">
    <w:name w:val="Абзац списка"/>
    <w:basedOn w:val="Normal"/>
    <w:qFormat/>
    <w:pPr>
      <w:tabs>
        <w:tab w:val="clear" w:pos="709"/>
      </w:tabs>
      <w:suppressAutoHyphens w:val="true"/>
      <w:spacing w:before="0" w:after="200"/>
      <w:ind w:left="720" w:right="0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6"/>
    <w:uiPriority w:val="39"/>
    <w:rsid w:val="00b918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package" Target="embeddings/oleObject1.xlsx"/><Relationship Id="rId3" Type="http://schemas.openxmlformats.org/officeDocument/2006/relationships/image" Target="media/image1.wmf"/><Relationship Id="rId4" Type="http://schemas.openxmlformats.org/officeDocument/2006/relationships/footer" Target="footer1.xml"/><Relationship Id="rId5" Type="http://schemas.openxmlformats.org/officeDocument/2006/relationships/package" Target="embeddings/oleObject2.xlsx"/><Relationship Id="rId6" Type="http://schemas.openxmlformats.org/officeDocument/2006/relationships/image" Target="media/image2.wmf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hyperlink" Target="./3&#1055;" TargetMode="External"/><Relationship Id="rId18" Type="http://schemas.openxmlformats.org/officeDocument/2006/relationships/footer" Target="footer12.xml"/><Relationship Id="rId19" Type="http://schemas.openxmlformats.org/officeDocument/2006/relationships/footer" Target="footer13.xml"/><Relationship Id="rId20" Type="http://schemas.openxmlformats.org/officeDocument/2006/relationships/hyperlink" Target="consultantplus://offline/ref=B32CDE0E905E401B1BFF323EF993DB2C6865F0A971913444C3F7F56C5AF257E783F32977DF4E2DA4F5ACBC60359FF614F9C1315096B586250A26N" TargetMode="External"/><Relationship Id="rId21" Type="http://schemas.openxmlformats.org/officeDocument/2006/relationships/hyperlink" Target="consultantplus://offline/ref=B32CDE0E905E401B1BFF323EF993DB2C6F6DF7AA75973444C3F7F56C5AF257E783F32977DC422FF8A5E3BD3C70CDE515FFC133518A0B25N" TargetMode="External"/><Relationship Id="rId22" Type="http://schemas.openxmlformats.org/officeDocument/2006/relationships/hyperlink" Target="consultantplus://offline/ref=B32CDE0E905E401B1BFF323EF993DB2C6865F0A971913444C3F7F56C5AF257E783F32977DF4D24ACF0ACBC60359FF614F9C1315096B586250A26N" TargetMode="External"/><Relationship Id="rId23" Type="http://schemas.openxmlformats.org/officeDocument/2006/relationships/hyperlink" Target="consultantplus://offline/ref=B32CDE0E905E401B1BFF323EF993DB2C6F62F6A7789C3444C3F7F56C5AF257E783F32977DF4B25AAFDACBC60359FF614F9C1315096B586250A26N" TargetMode="External"/><Relationship Id="rId24" Type="http://schemas.openxmlformats.org/officeDocument/2006/relationships/hyperlink" Target="consultantplus://offline/ref=B32CDE0E905E401B1BFF323EF993DB2C6F6DF7AA75973444C3F7F56C5AF257E783F32974D8482DA7A0F6AC647CCBFC0BFEDE2F5388B50824N" TargetMode="External"/><Relationship Id="rId25" Type="http://schemas.openxmlformats.org/officeDocument/2006/relationships/footer" Target="footer14.xml"/><Relationship Id="rId26" Type="http://schemas.openxmlformats.org/officeDocument/2006/relationships/footer" Target="footer15.xml"/><Relationship Id="rId27" Type="http://schemas.openxmlformats.org/officeDocument/2006/relationships/footer" Target="footer16.xml"/><Relationship Id="rId28" Type="http://schemas.openxmlformats.org/officeDocument/2006/relationships/footer" Target="footer17.xml"/><Relationship Id="rId29" Type="http://schemas.openxmlformats.org/officeDocument/2006/relationships/footer" Target="footer18.xml"/><Relationship Id="rId30" Type="http://schemas.openxmlformats.org/officeDocument/2006/relationships/footer" Target="footer19.xml"/><Relationship Id="rId31" Type="http://schemas.openxmlformats.org/officeDocument/2006/relationships/package" Target="embeddings/oleObject3.xlsx"/><Relationship Id="rId32" Type="http://schemas.openxmlformats.org/officeDocument/2006/relationships/image" Target="media/image3.wmf"/><Relationship Id="rId33" Type="http://schemas.openxmlformats.org/officeDocument/2006/relationships/footer" Target="footer20.xml"/><Relationship Id="rId34" Type="http://schemas.openxmlformats.org/officeDocument/2006/relationships/footer" Target="footer21.xml"/><Relationship Id="rId35" Type="http://schemas.openxmlformats.org/officeDocument/2006/relationships/package" Target="embeddings/oleObject4.xlsx"/><Relationship Id="rId36" Type="http://schemas.openxmlformats.org/officeDocument/2006/relationships/image" Target="media/image4.wmf"/><Relationship Id="rId37" Type="http://schemas.openxmlformats.org/officeDocument/2006/relationships/footer" Target="footer22.xml"/><Relationship Id="rId38" Type="http://schemas.openxmlformats.org/officeDocument/2006/relationships/footer" Target="footer23.xml"/><Relationship Id="rId39" Type="http://schemas.openxmlformats.org/officeDocument/2006/relationships/package" Target="embeddings/oleObject5.xlsx"/><Relationship Id="rId40" Type="http://schemas.openxmlformats.org/officeDocument/2006/relationships/image" Target="media/image5.wmf"/><Relationship Id="rId41" Type="http://schemas.openxmlformats.org/officeDocument/2006/relationships/footer" Target="footer24.xml"/><Relationship Id="rId42" Type="http://schemas.openxmlformats.org/officeDocument/2006/relationships/footer" Target="footer25.xml"/><Relationship Id="rId43" Type="http://schemas.openxmlformats.org/officeDocument/2006/relationships/footnotes" Target="footnotes.xml"/><Relationship Id="rId44" Type="http://schemas.openxmlformats.org/officeDocument/2006/relationships/numbering" Target="numbering.xml"/><Relationship Id="rId45" Type="http://schemas.openxmlformats.org/officeDocument/2006/relationships/fontTable" Target="fontTable.xml"/><Relationship Id="rId46" Type="http://schemas.openxmlformats.org/officeDocument/2006/relationships/settings" Target="settings.xml"/><Relationship Id="rId47" Type="http://schemas.openxmlformats.org/officeDocument/2006/relationships/theme" Target="theme/theme1.xml"/><Relationship Id="rId4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2405F-4D95-4B3D-A0E0-62E3909EF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Application>AlterOffice/2025.2.0.0$Linux_X86_64 LibreOffice_project/6187b38627dc96752c3a67d602c04ead81138ae8</Application>
  <AppVersion>15.0000</AppVersion>
  <Pages>26</Pages>
  <Words>5650</Words>
  <Characters>39669</Characters>
  <CharactersWithSpaces>42419</CharactersWithSpaces>
  <Paragraphs>862</Paragraphs>
  <Company>####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2025-10-15T16:39:00Z</dcterms:created>
  <dc:creator>Торопов Денис Владимирович</dc:creator>
  <dc:description/>
  <dc:language>ru-RU</dc:language>
  <cp:lastModifiedBy>bobrova_nv</cp:lastModifiedBy>
  <cp:lastPrinted>2021-07-09T09:18:00Z</cp:lastPrinted>
  <dcterms:modified xsi:type="dcterms:W3CDTF">2026-05-19T08:44:14Z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