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Пятигосрк</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директора Южного филиала АО «ТК РусГидро» Изотова Виталия Анатольевича</w:t>
      </w:r>
      <w:r>
        <w:rPr>
          <w:spacing w:val="4"/>
          <w:sz w:val="24"/>
          <w:szCs w:val="24"/>
        </w:rPr>
        <w:t>, действующего на основании доверенность от _______ №___ (доверенности (МЧД) от __________ №____________________________), с одной стороны,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по результатам проведенной Покупателем конкурентной процедуры </w:t>
      </w:r>
      <w:r>
        <w:rPr>
          <w:bCs/>
          <w:sz w:val="24"/>
          <w:szCs w:val="24"/>
        </w:rPr>
        <w:t>по лоту № </w:t>
      </w:r>
      <w:r>
        <w:rPr>
          <w:bCs/>
          <w:sz w:val="24"/>
          <w:szCs w:val="24"/>
          <w:highlight w:val="lightGray"/>
          <w:lang w:eastAsia="en-US"/>
        </w:rPr>
        <w:t>_________________</w:t>
      </w:r>
      <w:r>
        <w:rPr>
          <w:sz w:val="24"/>
          <w:szCs w:val="24"/>
        </w:rPr>
        <w:t xml:space="preserve"> и на основании протокола от «___» _________ г. №_______,</w:t>
      </w:r>
    </w:p>
    <w:p>
      <w:pPr>
        <w:pStyle w:val="Normal"/>
        <w:ind w:firstLine="709"/>
        <w:jc w:val="both"/>
        <w:rPr>
          <w:b w:val="false"/>
          <w:bCs w:val="false"/>
        </w:rPr>
      </w:pPr>
      <w:r>
        <w:rPr>
          <w:b w:val="false"/>
          <w:bCs w:val="false"/>
          <w:spacing w:val="10"/>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tru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sz w:val="24"/>
          <w:szCs w:val="24"/>
          <w:lang w:eastAsia="en-US"/>
        </w:rPr>
        <w:t xml:space="preserve"> </w:t>
      </w:r>
      <w:r>
        <w:rPr>
          <w:rFonts w:eastAsia="Calibri"/>
          <w:b/>
          <w:bCs/>
          <w:i/>
          <w:sz w:val="24"/>
          <w:szCs w:val="24"/>
          <w:highlight w:val="lightGray"/>
          <w:lang w:eastAsia="en-US"/>
        </w:rPr>
        <w:t xml:space="preserve"> </w:t>
      </w:r>
      <w:r>
        <w:rPr>
          <w:rFonts w:eastAsia="Calibri"/>
          <w:b/>
          <w:bCs/>
          <w:i/>
          <w:color w:val="000000"/>
          <w:sz w:val="24"/>
          <w:szCs w:val="24"/>
          <w:highlight w:val="lightGray"/>
          <w:shd w:fill="auto" w:val="clear"/>
          <w:lang w:eastAsia="ru-RU"/>
        </w:rPr>
        <w:t>грузопассажирский автомобиль</w:t>
      </w:r>
      <w:r>
        <w:rPr>
          <w:rFonts w:eastAsia="Times New Roman" w:cs="Times New Roman"/>
          <w:b/>
          <w:bCs/>
          <w:i/>
          <w:iCs/>
          <w:color w:val="000000"/>
          <w:kern w:val="2"/>
          <w:sz w:val="24"/>
          <w:szCs w:val="24"/>
          <w:highlight w:val="lightGray"/>
          <w:u w:val="none"/>
          <w:shd w:fill="auto" w:val="clear"/>
          <w:lang w:val="ru-RU" w:eastAsia="ru-RU" w:bidi="ar-SA"/>
        </w:rPr>
        <w:t xml:space="preserve"> </w:t>
      </w:r>
      <w:r>
        <w:rPr>
          <w:rFonts w:eastAsia="Times New Roman" w:cs="Times New Roman"/>
          <w:b w:val="false"/>
          <w:bCs w:val="false"/>
          <w:i/>
          <w:iCs/>
          <w:color w:val="000000"/>
          <w:sz w:val="24"/>
          <w:szCs w:val="24"/>
          <w:highlight w:val="lightGray"/>
          <w:shd w:fill="auto" w:val="clear"/>
          <w:lang w:eastAsia="ru-RU"/>
        </w:rPr>
        <w:t>д</w:t>
      </w:r>
      <w:r>
        <w:rPr>
          <w:rFonts w:eastAsia="Times New Roman" w:cs="Times New Roman"/>
          <w:b w:val="false"/>
          <w:bCs w:val="false"/>
          <w:i/>
          <w:color w:val="000000"/>
          <w:sz w:val="24"/>
          <w:szCs w:val="24"/>
          <w:highlight w:val="lightGray"/>
          <w:shd w:fill="auto" w:val="clear"/>
          <w:lang w:eastAsia="ru-RU"/>
        </w:rPr>
        <w:t>ля нужд Южного филиала АО "ТК РусГидро"</w:t>
      </w:r>
      <w:r>
        <w:rPr>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Южного филиала АО «ТК РусГидро»</w:t>
      </w:r>
      <w:r>
        <w:rPr>
          <w:bCs/>
          <w:sz w:val="24"/>
          <w:szCs w:val="24"/>
          <w:highlight w:val="lightGray"/>
        </w:rPr>
        <w:t>.</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Место поставки Товара:</w:t>
      </w:r>
      <w:r>
        <w:rPr>
          <w:bCs/>
          <w:sz w:val="24"/>
          <w:szCs w:val="24"/>
          <w:shd w:fill="auto" w:val="clear"/>
        </w:rPr>
        <w:t xml:space="preserve"> </w:t>
      </w:r>
      <w:r>
        <w:rPr>
          <w:iCs/>
          <w:sz w:val="24"/>
          <w:szCs w:val="24"/>
          <w:shd w:fill="auto" w:val="clear"/>
          <w:lang w:val="en-US"/>
        </w:rPr>
        <w:t xml:space="preserve">Россия, Республика Дагестан г. Каспийск. </w:t>
      </w:r>
      <w:r>
        <w:rPr>
          <w:sz w:val="24"/>
          <w:szCs w:val="24"/>
          <w:shd w:fill="auto" w:val="clear"/>
        </w:rPr>
        <w:t>(да</w:t>
      </w:r>
      <w:r>
        <w:rPr>
          <w:sz w:val="24"/>
          <w:szCs w:val="24"/>
        </w:rPr>
        <w:t>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Срок поставки Товара: 15 календарных дней с даты оплаты аванса.</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highlight w:val="lightGray"/>
          <w:vertAlign w:val="superscript"/>
        </w:rPr>
        <w:footnoteReference w:id="2"/>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rPr>
      </w:pPr>
      <w:r>
        <w:rPr>
          <w:sz w:val="24"/>
        </w:rPr>
        <w:t>Авансовый платеж в размере 30 (тридцати) процентов от стоимости Товара выплачивается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2.4.1, 2.4.4 Договора.</w:t>
      </w:r>
    </w:p>
    <w:p>
      <w:pPr>
        <w:pStyle w:val="ListParagraph"/>
        <w:numPr>
          <w:ilvl w:val="2"/>
          <w:numId w:val="2"/>
        </w:numPr>
        <w:tabs>
          <w:tab w:val="clear" w:pos="709"/>
        </w:tabs>
        <w:ind w:firstLine="709" w:left="0"/>
        <w:jc w:val="both"/>
        <w:rPr>
          <w:sz w:val="24"/>
        </w:rPr>
      </w:pPr>
      <w:r>
        <w:rPr>
          <w:sz w:val="24"/>
        </w:rPr>
        <w:t xml:space="preserve">Окончательный платеж в размере 70 (семидесяти) процентов от стоимости Товара выплачивается Поставщику в течение </w:t>
      </w:r>
      <w:r>
        <w:rPr>
          <w:sz w:val="24"/>
          <w:highlight w:val="lightGray"/>
        </w:rPr>
        <w:t xml:space="preserve"> 45 (сорока пяти) календарных дней</w:t>
      </w:r>
      <w:r>
        <w:rPr>
          <w:rStyle w:val="FootnoteReference"/>
          <w:sz w:val="24"/>
          <w:highlight w:val="lightGray"/>
        </w:rPr>
        <w:footnoteReference w:id="3"/>
      </w:r>
      <w:r>
        <w:rPr>
          <w:sz w:val="24"/>
          <w:highlight w:val="lightGray"/>
        </w:rPr>
        <w:t xml:space="preserve"> / 7 (семи) рабочих дней</w:t>
      </w:r>
      <w:r>
        <w:rPr>
          <w:rStyle w:val="FootnoteReference"/>
          <w:sz w:val="24"/>
          <w:highlight w:val="lightGray"/>
        </w:rPr>
        <w:footnoteReference w:id="4"/>
      </w:r>
      <w:r>
        <w:rPr>
          <w:sz w:val="24"/>
        </w:rPr>
        <w:t xml:space="preserve"> с даты подписания Сторонами Накладной ТОРГ-12/УПД на основании счета, выставленного Поставщиком, и с учетом пункта 2.4.4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0"/>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5"/>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Гарантийный срок на Товар, поставленный по Договору, составляет</w:t>
      </w:r>
      <w:r>
        <w:rPr>
          <w:sz w:val="24"/>
          <w:szCs w:val="24"/>
        </w:rPr>
        <w:t>_____</w:t>
      </w:r>
      <w:r>
        <w:rPr>
          <w:sz w:val="24"/>
          <w:szCs w:val="24"/>
          <w:shd w:fill="auto" w:val="clear"/>
        </w:rPr>
        <w:t xml:space="preserve"> месяцев, либо </w:t>
      </w:r>
      <w:r>
        <w:rPr>
          <w:sz w:val="24"/>
          <w:szCs w:val="24"/>
          <w:shd w:fill="auto" w:val="clear"/>
        </w:rPr>
        <w:t>______</w:t>
      </w:r>
      <w:r>
        <w:rPr>
          <w:sz w:val="24"/>
          <w:szCs w:val="24"/>
          <w:shd w:fill="auto" w:val="clear"/>
        </w:rPr>
        <w:t xml:space="preserve"> км пробега, что наступит ранее</w:t>
      </w:r>
      <w:r>
        <w:rPr>
          <w:sz w:val="24"/>
          <w:szCs w:val="24"/>
        </w:rPr>
        <w:t xml:space="preserve">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6"/>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7"/>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8"/>
      </w:r>
      <w:r>
        <w:rPr>
          <w:sz w:val="24"/>
          <w:szCs w:val="24"/>
          <w:highlight w:val="lightGray"/>
        </w:rPr>
        <w:t>.</w:t>
      </w:r>
    </w:p>
    <w:p>
      <w:pPr>
        <w:pStyle w:val="ListParagraph"/>
        <w:widowControl/>
        <w:numPr>
          <w:ilvl w:val="1"/>
          <w:numId w:val="2"/>
        </w:numPr>
        <w:shd w:val="clear" w:color="auto" w:fill="FFFFFF"/>
        <w:tabs>
          <w:tab w:val="clear" w:pos="709"/>
        </w:tabs>
        <w:ind w:firstLine="709" w:left="0"/>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4"/>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4"/>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4"/>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4"/>
        </w:numPr>
        <w:tabs>
          <w:tab w:val="clear" w:pos="709"/>
          <w:tab w:val="left" w:pos="1276" w:leader="none"/>
          <w:tab w:val="left" w:pos="1701"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4"/>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4"/>
        </w:numPr>
        <w:shd w:val="clear" w:color="auto" w:fill="FFFFFF"/>
        <w:tabs>
          <w:tab w:val="clear" w:pos="709"/>
          <w:tab w:val="left" w:pos="1276" w:leader="none"/>
        </w:tabs>
        <w:ind w:firstLine="709" w:left="0"/>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4"/>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4"/>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4"/>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9"/>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shd w:fill="auto" w:val="clear"/>
        </w:rPr>
        <w:footnoteReference w:id="10"/>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14.8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11"/>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14.8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9"/>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2"/>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3"/>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0"/>
    </w:p>
    <w:p>
      <w:pPr>
        <w:pStyle w:val="Normal"/>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widowControl w:val="false"/>
        <w:suppressAutoHyphens w:val="true"/>
        <w:bidi w:val="0"/>
        <w:spacing w:before="0" w:after="0"/>
        <w:ind w:firstLine="709"/>
        <w:jc w:val="both"/>
        <w:rPr>
          <w:bCs/>
          <w:sz w:val="24"/>
          <w:szCs w:val="24"/>
          <w:highlight w:val="lightGray"/>
        </w:rPr>
      </w:pPr>
      <w:r>
        <w:rPr>
          <w:bCs/>
          <w:sz w:val="24"/>
          <w:szCs w:val="24"/>
          <w:highlight w:val="lightGray"/>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2"/>
        <w:gridCol w:w="156"/>
        <w:gridCol w:w="4630"/>
        <w:gridCol w:w="332"/>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rPr>
            </w:pPr>
            <w:r>
              <w:rPr>
                <w:sz w:val="24"/>
                <w:szCs w:val="24"/>
              </w:rPr>
            </w:r>
          </w:p>
          <w:p>
            <w:pPr>
              <w:pStyle w:val="NoSpacing"/>
              <w:widowControl w:val="false"/>
              <w:rPr>
                <w:b/>
                <w:bCs/>
              </w:rPr>
            </w:pPr>
            <w:r>
              <w:rPr>
                <w:rFonts w:cs="Times New Roman" w:ascii="Times New Roman" w:hAnsi="Times New Roman"/>
                <w:b/>
                <w:bCs/>
                <w:sz w:val="24"/>
                <w:szCs w:val="24"/>
              </w:rPr>
              <w:t>Акционерное общество «ТК РусГидро»</w:t>
            </w:r>
          </w:p>
          <w:p>
            <w:pPr>
              <w:pStyle w:val="NoSpacing"/>
              <w:widowControl w:val="false"/>
              <w:rPr>
                <w:b/>
                <w:bCs/>
              </w:rPr>
            </w:pPr>
            <w:r>
              <w:rPr>
                <w:rFonts w:cs="Times New Roman" w:ascii="Times New Roman" w:hAnsi="Times New Roman"/>
                <w:b/>
                <w:bCs/>
                <w:sz w:val="24"/>
                <w:szCs w:val="24"/>
              </w:rPr>
              <w:t>(АО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655619, Республика Хакасия, город Саяногорск, рабочий поселок Черемушки,</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стр. 101.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190201001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ОГРН 1031900676356 ОКПО 42213224</w:t>
            </w:r>
          </w:p>
          <w:p>
            <w:pPr>
              <w:pStyle w:val="NoSpacing"/>
              <w:widowControl w:val="false"/>
              <w:rPr>
                <w:b/>
                <w:bCs/>
              </w:rPr>
            </w:pPr>
            <w:r>
              <w:rPr>
                <w:rFonts w:cs="Times New Roman" w:ascii="Times New Roman" w:hAnsi="Times New Roman"/>
                <w:b/>
                <w:bCs/>
                <w:sz w:val="24"/>
                <w:szCs w:val="24"/>
              </w:rPr>
              <w:t>Южный филиал 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357506, Российская Федерация, Ставропольский край, город-курорт Пятигорск, ул. Тургеневская, зд. 30.</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Телефон, факс: +7(86554)4-16-55</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263243001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ОКПО 21967982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Банковские реквизиты:</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р/с 40702810795000000002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в Банк ГПБ (АО), г. Москва</w:t>
            </w:r>
          </w:p>
          <w:p>
            <w:pPr>
              <w:pStyle w:val="NoSpacing"/>
              <w:widowControl w:val="false"/>
              <w:rPr/>
            </w:pPr>
            <w:r>
              <w:rPr>
                <w:rFonts w:cs="Times New Roman" w:ascii="Times New Roman" w:hAnsi="Times New Roman"/>
                <w:b/>
                <w:sz w:val="24"/>
                <w:szCs w:val="24"/>
              </w:rPr>
              <w:t>БИК 044525823 к/с 30101810200000000823</w:t>
            </w:r>
          </w:p>
          <w:p>
            <w:pPr>
              <w:pStyle w:val="Normal"/>
              <w:widowControl w:val="false"/>
              <w:rPr>
                <w:sz w:val="24"/>
                <w:szCs w:val="24"/>
              </w:rPr>
            </w:pPr>
            <w:r>
              <w:rPr>
                <w:sz w:val="24"/>
                <w:szCs w:val="24"/>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2"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32"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4"/>
        <w:gridCol w:w="159"/>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4"/>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5"/>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69"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8"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16"/>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vertAlign w:val="superscript"/>
          <w:lang w:val="en-GB"/>
        </w:rPr>
        <w:footnoteReference w:id="17"/>
      </w:r>
      <w:r>
        <w:rPr>
          <w:sz w:val="24"/>
          <w:szCs w:val="24"/>
        </w:rPr>
        <w:t>, а также соответствовать следующим критериям:</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2"/>
        </w:numPr>
        <w:tabs>
          <w:tab w:val="clear" w:pos="709"/>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8">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Заказчику. </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vertAlign w:val="superscript"/>
          <w:lang w:val="en-GB"/>
        </w:rPr>
        <w:footnoteReference w:id="18"/>
      </w:r>
      <w:r>
        <w:rPr>
          <w:sz w:val="24"/>
          <w:szCs w:val="24"/>
        </w:rPr>
        <w:t xml:space="preserve">. </w:t>
      </w:r>
    </w:p>
    <w:p>
      <w:pPr>
        <w:pStyle w:val="Normal"/>
        <w:widowControl/>
        <w:numPr>
          <w:ilvl w:val="1"/>
          <w:numId w:val="12"/>
        </w:numPr>
        <w:tabs>
          <w:tab w:val="clear" w:pos="709"/>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vertAlign w:val="superscript"/>
          <w:lang w:val="en-GB"/>
        </w:rPr>
        <w:footnoteReference w:id="19"/>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Не иметь просроченную задолженность перед Заказчиком и компаниями Группы РусГидро.</w:t>
      </w:r>
    </w:p>
    <w:p>
      <w:pPr>
        <w:pStyle w:val="Normal"/>
        <w:widowControl/>
        <w:numPr>
          <w:ilvl w:val="1"/>
          <w:numId w:val="12"/>
        </w:numPr>
        <w:tabs>
          <w:tab w:val="clear" w:pos="709"/>
          <w:tab w:val="left" w:pos="1134" w:leader="none"/>
        </w:tabs>
        <w:ind w:firstLine="710" w:left="0"/>
        <w:jc w:val="both"/>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vertAlign w:val="superscript"/>
          <w:lang w:val="en-GB"/>
        </w:rPr>
        <w:footnoteReference w:id="20"/>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3"/>
        </w:numPr>
        <w:tabs>
          <w:tab w:val="clear" w:pos="709"/>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3"/>
        </w:numPr>
        <w:tabs>
          <w:tab w:val="clear" w:pos="709"/>
          <w:tab w:val="left" w:pos="1134" w:leader="none"/>
        </w:tabs>
        <w:spacing w:lineRule="auto" w:line="240"/>
        <w:ind w:firstLine="709" w:left="0"/>
        <w:rPr>
          <w:sz w:val="24"/>
          <w:szCs w:val="24"/>
        </w:rPr>
      </w:pPr>
      <w:r>
        <w:rPr>
          <w:sz w:val="24"/>
          <w:szCs w:val="24"/>
          <w:lang w:val="en-GB"/>
        </w:rPr>
        <w:t>Нерезидентов Российской Федерации.</w:t>
      </w:r>
    </w:p>
    <w:p>
      <w:pPr>
        <w:pStyle w:val="Normal"/>
        <w:widowControl/>
        <w:numPr>
          <w:ilvl w:val="1"/>
          <w:numId w:val="12"/>
        </w:numPr>
        <w:tabs>
          <w:tab w:val="clear" w:pos="709"/>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1"/>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9">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tru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22"/>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425" w:leader="none"/>
        </w:tabs>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4</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suppressAutoHyphens w:val="true"/>
        <w:bidi w:val="0"/>
        <w:spacing w:before="0" w:after="0"/>
        <w:jc w:val="left"/>
        <w:rPr>
          <w:b/>
          <w:bCs/>
          <w:sz w:val="24"/>
          <w:szCs w:val="24"/>
        </w:rPr>
      </w:pPr>
      <w:r>
        <w:rPr>
          <w:b/>
          <w:bCs/>
          <w:sz w:val="24"/>
          <w:szCs w:val="24"/>
        </w:rPr>
      </w:r>
    </w:p>
    <w:sectPr>
      <w:headerReference w:type="default" r:id="rId10"/>
      <w:headerReference w:type="first" r:id="rId11"/>
      <w:footerReference w:type="default" r:id="rId12"/>
      <w:footerReference w:type="first" r:id="rId13"/>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3">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4">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6">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7">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8">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9">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0">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2">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3">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4">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5">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1" w:name="_GoBack_Копия_1_Копия_1_Копия_1_Копия_1_"/>
      <w:bookmarkEnd w:id="11"/>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16">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17">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18">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19">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0">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1">
    <w:p>
      <w:pPr>
        <w:pStyle w:val="FootnoteText"/>
        <w:jc w:val="both"/>
        <w:rPr/>
      </w:pPr>
      <w:r>
        <w:rPr>
          <w:rStyle w:val="Style14"/>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2">
    <w:p>
      <w:pPr>
        <w:pStyle w:val="FootnoteText"/>
        <w:jc w:val="both"/>
        <w:rPr/>
      </w:pPr>
      <w:r>
        <w:rPr>
          <w:rStyle w:val="Style14"/>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3">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4">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ru-RU" w:eastAsia="zh-CN"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www.cbr.ru/" TargetMode="External"/><Relationship Id="rId9" Type="http://schemas.openxmlformats.org/officeDocument/2006/relationships/hyperlink" Target="http://www.cbr.ru/" TargetMode="Externa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824</TotalTime>
  <Application>AlterOffice/2026.2.0.0$Linux_X86_64 LibreOffice_project/bc4ef1adf80b36c7a6365f8ed6cbf29021361edd</Application>
  <AppVersion>15.0000</AppVersion>
  <Pages>26</Pages>
  <Words>9639</Words>
  <Characters>69309</Characters>
  <CharactersWithSpaces>78641</CharactersWithSpaces>
  <Paragraphs>432</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schigarevnn@corp.gidroogk.com</cp:lastModifiedBy>
  <cp:lastPrinted>2018-05-22T09:46:00Z</cp:lastPrinted>
  <dcterms:modified xsi:type="dcterms:W3CDTF">2026-09-29T13:16:24Z</dcterms:modified>
  <cp:revision>64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