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r>
        <w:rPr>
          <w:b w:val="false"/>
        </w:rPr>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Пятигосрк</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«Покупатель»), в лице директора Южного филиала АО «ТК РусГидро» Изотова Виталия Анатольевича</w:t>
      </w:r>
      <w:r>
        <w:rPr>
          <w:spacing w:val="4"/>
          <w:sz w:val="24"/>
          <w:szCs w:val="24"/>
        </w:rPr>
        <w:t>, действующего на основании доверенность от _______ №___ (доверенности (МЧД) от __________ №____________________________), с одной стороны, 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по результатам проведенной Покупателем конкурентной процедуры </w:t>
      </w:r>
      <w:r>
        <w:rPr>
          <w:bCs/>
          <w:sz w:val="24"/>
          <w:szCs w:val="24"/>
        </w:rPr>
        <w:t>по лоту № </w:t>
      </w:r>
      <w:r>
        <w:rPr>
          <w:bCs/>
          <w:sz w:val="24"/>
          <w:szCs w:val="24"/>
          <w:highlight w:val="lightGray"/>
          <w:lang w:eastAsia="en-US"/>
        </w:rPr>
        <w:t>_________________</w:t>
      </w:r>
      <w:r>
        <w:rPr>
          <w:sz w:val="24"/>
          <w:szCs w:val="24"/>
        </w:rPr>
        <w:t xml:space="preserve"> и на основании протокола от «___» _________ г. №_______,</w:t>
      </w:r>
    </w:p>
    <w:p>
      <w:pPr>
        <w:pStyle w:val="Normal"/>
        <w:ind w:firstLine="709"/>
        <w:jc w:val="both"/>
        <w:rPr>
          <w:b w:val="false"/>
          <w:bCs w:val="false"/>
        </w:rPr>
      </w:pPr>
      <w:r>
        <w:rPr>
          <w:b w:val="false"/>
          <w:bCs w:val="false"/>
          <w:spacing w:val="10"/>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overflowPunct w:val="false"/>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fals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overflowPunct w:val="false"/>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overflowPunct w:val="fals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overflowPunct w:val="fals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 xml:space="preserve">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sz w:val="24"/>
          <w:szCs w:val="24"/>
          <w:lang w:eastAsia="en-US"/>
        </w:rPr>
        <w:t xml:space="preserve"> </w:t>
      </w:r>
      <w:r>
        <w:rPr>
          <w:rFonts w:eastAsia="Calibri"/>
          <w:b w:val="false"/>
          <w:bCs w:val="false"/>
          <w:i/>
          <w:sz w:val="24"/>
          <w:szCs w:val="24"/>
          <w:highlight w:val="lightGray"/>
          <w:lang w:eastAsia="en-US"/>
        </w:rPr>
        <w:t xml:space="preserve"> </w:t>
      </w:r>
      <w:r>
        <w:rPr>
          <w:rFonts w:eastAsia="Calibri"/>
          <w:b w:val="false"/>
          <w:bCs w:val="false"/>
          <w:i/>
          <w:color w:val="000000"/>
          <w:sz w:val="24"/>
          <w:szCs w:val="24"/>
          <w:highlight w:val="lightGray"/>
          <w:shd w:fill="auto" w:val="clear"/>
          <w:lang w:eastAsia="ru-RU"/>
        </w:rPr>
        <w:t>автобус</w:t>
      </w:r>
      <w:r>
        <w:rPr>
          <w:rFonts w:eastAsia="Calibri"/>
          <w:b w:val="false"/>
          <w:bCs w:val="false"/>
          <w:i/>
          <w:color w:val="000000"/>
          <w:sz w:val="24"/>
          <w:szCs w:val="24"/>
          <w:highlight w:val="lightGray"/>
          <w:shd w:fill="auto" w:val="clear"/>
          <w:lang w:eastAsia="ru-RU"/>
        </w:rPr>
        <w:t>ы</w:t>
      </w:r>
      <w:r>
        <w:rPr>
          <w:rFonts w:eastAsia="Calibri"/>
          <w:b w:val="false"/>
          <w:bCs w:val="false"/>
          <w:i/>
          <w:color w:val="000000"/>
          <w:sz w:val="24"/>
          <w:szCs w:val="24"/>
          <w:highlight w:val="lightGray"/>
          <w:shd w:fill="auto" w:val="clear"/>
          <w:lang w:eastAsia="ru-RU"/>
        </w:rPr>
        <w:t xml:space="preserve"> малого класса не менее 14 мест</w:t>
      </w:r>
      <w:r>
        <w:rPr>
          <w:rFonts w:eastAsia="Times New Roman" w:cs="Times New Roman"/>
          <w:b w:val="false"/>
          <w:bCs w:val="false"/>
          <w:i/>
          <w:iCs/>
          <w:color w:val="000000"/>
          <w:kern w:val="2"/>
          <w:sz w:val="24"/>
          <w:szCs w:val="24"/>
          <w:highlight w:val="lightGray"/>
          <w:u w:val="none"/>
          <w:shd w:fill="auto" w:val="clear"/>
          <w:lang w:val="ru-RU" w:eastAsia="ru-RU" w:bidi="ar-SA"/>
        </w:rPr>
        <w:t xml:space="preserve"> </w:t>
      </w:r>
      <w:r>
        <w:rPr>
          <w:rFonts w:eastAsia="Times New Roman" w:cs="Times New Roman"/>
          <w:b w:val="false"/>
          <w:bCs w:val="false"/>
          <w:i/>
          <w:iCs/>
          <w:color w:val="000000"/>
          <w:sz w:val="24"/>
          <w:szCs w:val="24"/>
          <w:highlight w:val="lightGray"/>
          <w:shd w:fill="auto" w:val="clear"/>
          <w:lang w:eastAsia="ru-RU"/>
        </w:rPr>
        <w:t>д</w:t>
      </w:r>
      <w:r>
        <w:rPr>
          <w:rFonts w:eastAsia="Times New Roman" w:cs="Times New Roman"/>
          <w:b w:val="false"/>
          <w:bCs w:val="false"/>
          <w:i/>
          <w:color w:val="000000"/>
          <w:sz w:val="24"/>
          <w:szCs w:val="24"/>
          <w:highlight w:val="lightGray"/>
          <w:shd w:fill="auto" w:val="clear"/>
          <w:lang w:eastAsia="ru-RU"/>
        </w:rPr>
        <w:t>ля нужд Южного филиала АО "ТК РусГидро"</w:t>
      </w:r>
      <w:r>
        <w:rPr>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Южного филиала АО «ТК РусГидро»</w:t>
      </w:r>
      <w:r>
        <w:rPr>
          <w:bCs/>
          <w:sz w:val="24"/>
          <w:szCs w:val="24"/>
          <w:highlight w:val="lightGray"/>
        </w:rPr>
        <w:t>.</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Место поставки Товара:</w:t>
      </w:r>
      <w:r>
        <w:rPr>
          <w:bCs/>
          <w:sz w:val="24"/>
          <w:szCs w:val="24"/>
          <w:shd w:fill="auto" w:val="clear"/>
        </w:rPr>
        <w:t xml:space="preserve"> </w:t>
      </w:r>
      <w:r>
        <w:rPr>
          <w:iCs/>
          <w:sz w:val="24"/>
          <w:szCs w:val="24"/>
          <w:shd w:fill="auto" w:val="clear"/>
          <w:lang w:val="en-US"/>
        </w:rPr>
        <w:t>Россия, Республика Дагестан г. Каспийск; Карачаево-Черкесска</w:t>
      </w:r>
      <w:r>
        <w:rPr>
          <w:iCs/>
          <w:sz w:val="24"/>
          <w:szCs w:val="24"/>
          <w:shd w:fill="auto" w:val="clear"/>
          <w:lang w:val="en-US"/>
        </w:rPr>
        <w:t>я</w:t>
      </w:r>
      <w:r>
        <w:rPr>
          <w:iCs/>
          <w:sz w:val="24"/>
          <w:szCs w:val="24"/>
          <w:shd w:fill="auto" w:val="clear"/>
          <w:lang w:val="en-US"/>
        </w:rPr>
        <w:t xml:space="preserve"> Республика, Карачаевский р-н, п. Правокубанский </w:t>
      </w:r>
      <w:r>
        <w:rPr>
          <w:sz w:val="24"/>
          <w:szCs w:val="24"/>
          <w:shd w:fill="auto" w:val="clear"/>
        </w:rPr>
        <w:t>(да</w:t>
      </w:r>
      <w:r>
        <w:rPr>
          <w:sz w:val="24"/>
          <w:szCs w:val="24"/>
        </w:rPr>
        <w:t>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 xml:space="preserve">Срок поставки Товара: </w:t>
      </w:r>
      <w:r>
        <w:rPr>
          <w:bCs/>
          <w:sz w:val="24"/>
          <w:szCs w:val="24"/>
        </w:rPr>
        <w:t>4</w:t>
      </w:r>
      <w:r>
        <w:rPr>
          <w:bCs/>
          <w:sz w:val="24"/>
          <w:szCs w:val="24"/>
        </w:rPr>
        <w:t xml:space="preserve">5 календарных дней с даты </w:t>
      </w:r>
      <w:r>
        <w:rPr>
          <w:bCs/>
          <w:sz w:val="24"/>
          <w:szCs w:val="24"/>
        </w:rPr>
        <w:t>заключения договора</w:t>
      </w:r>
      <w:r>
        <w:rPr>
          <w:bCs/>
          <w:sz w:val="24"/>
          <w:szCs w:val="24"/>
        </w:rPr>
        <w:t>.</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highlight w:val="lightGray"/>
          <w:vertAlign w:val="superscript"/>
        </w:rPr>
        <w:footnoteReference w:id="2"/>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rPr>
      </w:pPr>
      <w:r>
        <w:rPr>
          <w:sz w:val="24"/>
        </w:rPr>
        <w:t>Авансовый платеж в размере 30 (тридцати) процентов от стоимости Товара выплачивается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пунктов 2.4.1, 2.4.4 Договора.</w:t>
      </w:r>
    </w:p>
    <w:p>
      <w:pPr>
        <w:pStyle w:val="ListParagraph"/>
        <w:numPr>
          <w:ilvl w:val="2"/>
          <w:numId w:val="2"/>
        </w:numPr>
        <w:tabs>
          <w:tab w:val="clear" w:pos="709"/>
        </w:tabs>
        <w:ind w:firstLine="709" w:left="0"/>
        <w:jc w:val="both"/>
        <w:rPr>
          <w:sz w:val="24"/>
        </w:rPr>
      </w:pPr>
      <w:r>
        <w:rPr>
          <w:sz w:val="24"/>
        </w:rPr>
        <w:t xml:space="preserve">Окончательный платеж в размере 70 (семидесяти) процентов от стоимости Товара выплачивается Поставщику в течение </w:t>
      </w:r>
      <w:r>
        <w:rPr>
          <w:sz w:val="24"/>
          <w:highlight w:val="lightGray"/>
        </w:rPr>
        <w:t xml:space="preserve"> 45 (сорока пяти) календарных дней</w:t>
      </w:r>
      <w:r>
        <w:rPr>
          <w:rStyle w:val="FootnoteReference"/>
          <w:sz w:val="24"/>
          <w:highlight w:val="lightGray"/>
        </w:rPr>
        <w:footnoteReference w:id="3"/>
      </w:r>
      <w:r>
        <w:rPr>
          <w:sz w:val="24"/>
          <w:highlight w:val="lightGray"/>
        </w:rPr>
        <w:t xml:space="preserve"> / 7 (семи) рабочих дней</w:t>
      </w:r>
      <w:r>
        <w:rPr>
          <w:rStyle w:val="FootnoteReference"/>
          <w:sz w:val="24"/>
          <w:highlight w:val="lightGray"/>
        </w:rPr>
        <w:footnoteReference w:id="4"/>
      </w:r>
      <w:r>
        <w:rPr>
          <w:sz w:val="24"/>
        </w:rPr>
        <w:t xml:space="preserve"> с даты подписания Сторонами Накладной ТОРГ-12/УПД на основании счета, выставленного Поставщиком, и с учетом пункта 2.4.4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0"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2.4.1 Договора, в установленный срок и при этом не приступил к исполнению обязательств по Договору.</w:t>
      </w:r>
      <w:bookmarkEnd w:id="0"/>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bCs/>
          <w:sz w:val="24"/>
          <w:szCs w:val="24"/>
          <w:highlight w:val="lightGray"/>
        </w:rPr>
        <w:t>и Рабочей</w:t>
      </w:r>
      <w:r>
        <w:rPr>
          <w:bCs/>
          <w:sz w:val="24"/>
          <w:szCs w:val="24"/>
        </w:rPr>
        <w:t xml:space="preserve">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ТОРГ-12/УПД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1"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vertAlign w:val="superscript"/>
        </w:rPr>
        <w:footnoteReference w:id="5"/>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2" w:name="_Ref361396594"/>
      <w:r>
        <w:rPr>
          <w:sz w:val="24"/>
          <w:szCs w:val="24"/>
        </w:rPr>
        <w:t xml:space="preserve">Датой поставки Товара является дата подписания Сторонами Накладной </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Гарантийный срок на Товар, поставленный по Договору, составляет ____________</w:t>
      </w:r>
      <w:r>
        <w:rPr>
          <w:sz w:val="24"/>
          <w:szCs w:val="24"/>
          <w:shd w:fill="auto" w:val="clear"/>
        </w:rPr>
        <w:t xml:space="preserve"> месяцев, либо ________ км пробега, что наступит ранее</w:t>
      </w:r>
      <w:r>
        <w:rPr>
          <w:sz w:val="24"/>
          <w:szCs w:val="24"/>
        </w:rPr>
        <w:t xml:space="preserve"> и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5"/>
      <w:bookmarkStart w:id="5" w:name="OLE_LINK6"/>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6"/>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Банковские гарантии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быть безотзывной и безусловной (гарантия </w:t>
        <w:br/>
        <w:t>по первому требованию).</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Бенефициар по Банковской гарантии – Покупатель, принципал – Поставщик.</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Сумма Банковской гарантии – выражена в валюте расчетов по Договору.</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Сумма Банковской гарантии возврата авансового платежа – не менее </w:t>
        <w:br/>
        <w:t xml:space="preserve">100 (ста) процентов от размера уплачиваемой по Договору предварительной оплаты (аванса) в совокупной сумме с учетом ранее выплаченных Поставщику и непогашенных (незачтенных) авансовых платежей.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br/>
        <w:t>на существо допущенных Поставщиком нарушений, в том числе в случаях:</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br/>
      </w:r>
      <w:r>
        <w:rPr>
          <w:bCs/>
          <w:sz w:val="24"/>
          <w:szCs w:val="24"/>
        </w:rPr>
        <w:t>в отношении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по Договору превышает срок действия банковской гарантии либо срок исполнения обязательств продлен;</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pPr>
        <w:pStyle w:val="Normal"/>
        <w:widowControl/>
        <w:shd w:val="clear" w:color="auto" w:fill="FFFFFF"/>
        <w:tabs>
          <w:tab w:val="clear" w:pos="709"/>
          <w:tab w:val="left" w:pos="1418" w:leader="none"/>
          <w:tab w:val="left" w:pos="1855" w:leader="none"/>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firstLine="709" w:left="0"/>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eastAsia="Times New Roman" w:cs="Times New Roman"/>
          <w:bCs/>
          <w:color w:val="auto"/>
          <w:kern w:val="0"/>
          <w:sz w:val="24"/>
          <w:szCs w:val="24"/>
          <w:highlight w:val="none"/>
          <w:shd w:fill="FFFF00" w:val="clear"/>
          <w:lang w:val="ru-RU" w:eastAsia="ru-RU" w:bidi="ar-SA"/>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br/>
        <w:t>по Банковской гарантии.</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Заказчика): </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оригинале на бумажном носителе.</w:t>
      </w:r>
    </w:p>
    <w:p>
      <w:pPr>
        <w:pStyle w:val="Normal"/>
        <w:widowControl/>
        <w:numPr>
          <w:ilvl w:val="1"/>
          <w:numId w:val="2"/>
        </w:numPr>
        <w:tabs>
          <w:tab w:val="clear" w:pos="709"/>
          <w:tab w:val="left" w:pos="0" w:leader="none"/>
          <w:tab w:val="left" w:pos="1134" w:leader="none"/>
        </w:tabs>
        <w:ind w:firstLine="709" w:left="0"/>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Сумма Банковской гарантии возврата авансового платежа по согласованию </w:t>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случаях</w:t>
      </w:r>
      <w:r>
        <w:rPr>
          <w:bCs/>
          <w:sz w:val="24"/>
          <w:szCs w:val="24"/>
          <w:lang w:val="en-US"/>
        </w:rPr>
        <w:t>:</w:t>
      </w:r>
      <w:r>
        <w:rPr>
          <w:bCs/>
          <w:sz w:val="24"/>
          <w:szCs w:val="24"/>
        </w:rPr>
        <w:t xml:space="preserve"> </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shd w:val="clear" w:color="auto" w:fill="FFFFFF"/>
        <w:tabs>
          <w:tab w:val="clear" w:pos="709"/>
          <w:tab w:val="left" w:pos="0" w:leader="none"/>
        </w:tabs>
        <w:ind w:firstLine="709" w:left="0"/>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ListParagraph"/>
        <w:shd w:val="clear" w:color="auto" w:fill="FFFFFF"/>
        <w:tabs>
          <w:tab w:val="clear" w:pos="709"/>
          <w:tab w:val="left" w:pos="0" w:leader="none"/>
        </w:tabs>
        <w:ind w:firstLine="709" w:left="0"/>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FootnoteReference"/>
          <w:sz w:val="24"/>
          <w:szCs w:val="24"/>
        </w:rPr>
        <w:footnoteReference w:id="7"/>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каждого платежа, причитающегося Поставщику.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Положения пункта 2.5.1 Договора применяются, если совокупный размер авансовых платежей, уплаченных и подлежащих уплате по Договору в соответствии </w:t>
        <w:br/>
        <w:t xml:space="preserve">с выставленными счетами Поставщика составляет 5 000 000 (Пять миллионов) рублей </w:t>
        <w:br/>
        <w:t xml:space="preserve">и более без учета НДС. </w:t>
      </w:r>
    </w:p>
    <w:p>
      <w:pPr>
        <w:pStyle w:val="ListParagraph"/>
        <w:widowControl/>
        <w:numPr>
          <w:ilvl w:val="1"/>
          <w:numId w:val="2"/>
        </w:numPr>
        <w:shd w:val="clear" w:color="auto" w:fill="FFFFFF"/>
        <w:tabs>
          <w:tab w:val="clear" w:pos="709"/>
          <w:tab w:val="left" w:pos="1134" w:leader="none"/>
          <w:tab w:val="left" w:pos="1985" w:leader="none"/>
        </w:tabs>
        <w:ind w:firstLine="709" w:left="0"/>
        <w:jc w:val="both"/>
        <w:rPr>
          <w:bCs/>
          <w:sz w:val="24"/>
          <w:szCs w:val="24"/>
        </w:rPr>
      </w:pPr>
      <w:r>
        <w:rPr>
          <w:sz w:val="24"/>
          <w:szCs w:val="24"/>
          <w:highlight w:val="lightGray"/>
        </w:rPr>
        <w:t xml:space="preserve">Стороны вправе изменить способы и порядок обеспечения обязательств </w:t>
        <w:br/>
        <w:t>по Договору, указанные в настоящем разделе, путем подписания дополнительного соглашения к Договору</w:t>
      </w:r>
      <w:r>
        <w:rPr>
          <w:rStyle w:val="FootnoteReference"/>
          <w:sz w:val="24"/>
          <w:szCs w:val="24"/>
          <w:highlight w:val="lightGray"/>
        </w:rPr>
        <w:footnoteReference w:id="8"/>
      </w:r>
      <w:r>
        <w:rPr>
          <w:sz w:val="24"/>
          <w:szCs w:val="24"/>
          <w:highlight w:val="lightGray"/>
        </w:rPr>
        <w:t>.</w:t>
      </w:r>
    </w:p>
    <w:p>
      <w:pPr>
        <w:pStyle w:val="ListParagraph"/>
        <w:widowControl/>
        <w:numPr>
          <w:ilvl w:val="1"/>
          <w:numId w:val="2"/>
        </w:numPr>
        <w:shd w:val="clear" w:color="auto" w:fill="FFFFFF"/>
        <w:tabs>
          <w:tab w:val="clear" w:pos="709"/>
        </w:tabs>
        <w:ind w:firstLine="709" w:left="0"/>
        <w:jc w:val="both"/>
        <w:rPr>
          <w:bCs/>
          <w:sz w:val="24"/>
          <w:szCs w:val="24"/>
        </w:rPr>
      </w:pPr>
      <w:r>
        <w:rPr>
          <w:sz w:val="24"/>
        </w:rPr>
        <w:t xml:space="preserve">Принадлежащее Покупателю по Банковской гарантии право требования </w:t>
        <w:br/>
        <w:t>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pPr>
        <w:pStyle w:val="Normal"/>
        <w:widowControl/>
        <w:shd w:val="clear" w:color="auto" w:fill="FFFFFF"/>
        <w:tabs>
          <w:tab w:val="clear" w:pos="709"/>
          <w:tab w:val="left" w:pos="0" w:leader="none"/>
          <w:tab w:val="left" w:pos="1134" w:leader="none"/>
        </w:tabs>
        <w:ind w:hanging="0" w:left="141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ListParagraph"/>
        <w:widowControl/>
        <w:numPr>
          <w:ilvl w:val="1"/>
          <w:numId w:val="14"/>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14"/>
        </w:numPr>
        <w:ind w:firstLine="709" w:left="0"/>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2"/>
          <w:numId w:val="14"/>
        </w:numPr>
        <w:ind w:firstLine="709" w:left="0"/>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14"/>
        </w:numPr>
        <w:tabs>
          <w:tab w:val="clear" w:pos="709"/>
          <w:tab w:val="left" w:pos="1276" w:leader="none"/>
          <w:tab w:val="left" w:pos="1701" w:leader="none"/>
        </w:tabs>
        <w:ind w:firstLine="709" w:left="0"/>
        <w:jc w:val="both"/>
        <w:rPr>
          <w:sz w:val="24"/>
          <w:szCs w:val="24"/>
        </w:rPr>
      </w:pP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ListParagraph"/>
        <w:widowControl/>
        <w:numPr>
          <w:ilvl w:val="1"/>
          <w:numId w:val="14"/>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1"/>
          <w:numId w:val="14"/>
        </w:numPr>
        <w:shd w:val="clear" w:color="auto" w:fill="FFFFFF"/>
        <w:tabs>
          <w:tab w:val="clear" w:pos="709"/>
          <w:tab w:val="left" w:pos="1276" w:leader="none"/>
        </w:tabs>
        <w:ind w:firstLine="709" w:left="0"/>
        <w:jc w:val="both"/>
        <w:rPr>
          <w:bCs/>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14"/>
        </w:numPr>
        <w:shd w:val="clear" w:color="auto" w:fill="FFFFFF"/>
        <w:ind w:firstLine="709" w:left="0"/>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4"/>
        </w:numPr>
        <w:shd w:val="clear" w:color="auto" w:fill="FFFFFF"/>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4"/>
        </w:numPr>
        <w:shd w:val="clear" w:color="auto" w:fill="FFFFFF"/>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numPr>
          <w:ilvl w:val="1"/>
          <w:numId w:val="14"/>
        </w:numPr>
        <w:shd w:val="clear" w:color="auto" w:fill="FFFFFF"/>
        <w:ind w:firstLine="709" w:left="0"/>
        <w:jc w:val="both"/>
        <w:rPr>
          <w:bCs/>
          <w:sz w:val="24"/>
          <w:szCs w:val="24"/>
        </w:rPr>
      </w:pPr>
      <w:r>
        <w:rPr>
          <w:bCs/>
          <w:sz w:val="24"/>
          <w:szCs w:val="24"/>
        </w:rPr>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9"/>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shd w:fill="auto" w:val="clear"/>
        </w:rPr>
        <w:footnoteReference w:id="10"/>
      </w:r>
      <w:r>
        <w:rPr>
          <w:bCs/>
          <w:sz w:val="24"/>
          <w:szCs w:val="24"/>
        </w:rPr>
        <w:t xml:space="preserve"> 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14.8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14.8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tabs>
          <w:tab w:val="clear" w:pos="709"/>
          <w:tab w:val="left" w:pos="142" w:leader="none"/>
          <w:tab w:val="left" w:pos="1418" w:leader="none"/>
        </w:tabs>
        <w:snapToGrid w:val="false"/>
        <w:ind w:firstLine="709" w:lef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11"/>
      </w:r>
      <w:r>
        <w:rPr>
          <w:sz w:val="24"/>
          <w:szCs w:val="24"/>
          <w:highlight w:val="lightGray"/>
          <w:lang w:eastAsia="en-US"/>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14.7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14.8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9"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14.8</w:t>
      </w:r>
      <w:r>
        <w:rPr>
          <w:sz w:val="24"/>
          <w:szCs w:val="24"/>
        </w:rPr>
        <w:t xml:space="preserve"> Договора.</w:t>
      </w:r>
      <w:bookmarkEnd w:id="9"/>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14.8.1 – 14.8.2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12"/>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3"/>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0"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rPr>
      </w:pPr>
      <w:r>
        <w:rPr>
          <w:sz w:val="24"/>
          <w:szCs w:val="24"/>
          <w:lang w:eastAsia="x-none"/>
        </w:rPr>
        <w:t>Приложение № 3 –</w:t>
      </w:r>
      <w:r>
        <w:rPr>
          <w:rFonts w:eastAsia="Calibri"/>
          <w:sz w:val="24"/>
          <w:szCs w:val="24"/>
          <w:lang w:eastAsia="en-US"/>
        </w:rPr>
        <w:t xml:space="preserve"> Критерии отбора Банков-Гарантов.</w:t>
      </w:r>
      <w:bookmarkEnd w:id="10"/>
    </w:p>
    <w:p>
      <w:pPr>
        <w:pStyle w:val="Normal"/>
        <w:ind w:firstLine="709"/>
        <w:jc w:val="both"/>
        <w:rPr>
          <w:bCs/>
          <w:sz w:val="24"/>
          <w:szCs w:val="24"/>
        </w:rPr>
      </w:pPr>
      <w:r>
        <w:rPr>
          <w:bCs/>
          <w:sz w:val="24"/>
          <w:szCs w:val="24"/>
        </w:rPr>
        <w:t xml:space="preserve">Приложение № 4 </w:t>
      </w:r>
      <w:r>
        <w:rPr>
          <w:rFonts w:eastAsia="Calibri"/>
          <w:sz w:val="24"/>
          <w:szCs w:val="24"/>
          <w:lang w:eastAsia="en-US"/>
        </w:rPr>
        <w:t>–</w:t>
      </w:r>
      <w:r>
        <w:rPr>
          <w:bCs/>
          <w:sz w:val="24"/>
          <w:szCs w:val="24"/>
        </w:rPr>
        <w:t xml:space="preserve"> 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Normal"/>
        <w:widowControl w:val="false"/>
        <w:suppressAutoHyphens w:val="true"/>
        <w:bidi w:val="0"/>
        <w:spacing w:before="0" w:after="0"/>
        <w:ind w:firstLine="709"/>
        <w:jc w:val="both"/>
        <w:rPr>
          <w:bCs/>
          <w:sz w:val="24"/>
          <w:szCs w:val="24"/>
          <w:highlight w:val="lightGray"/>
        </w:rPr>
      </w:pPr>
      <w:r>
        <w:rPr>
          <w:bCs/>
          <w:sz w:val="24"/>
          <w:szCs w:val="24"/>
          <w:highlight w:val="lightGray"/>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1"/>
        <w:gridCol w:w="157"/>
        <w:gridCol w:w="4629"/>
        <w:gridCol w:w="333"/>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shd w:color="auto" w:fill="BFBFBF" w:val="clear"/>
          </w:tcPr>
          <w:p>
            <w:pPr>
              <w:pStyle w:val="Normal"/>
              <w:widowControl w:val="false"/>
              <w:rPr>
                <w:sz w:val="24"/>
                <w:szCs w:val="24"/>
              </w:rPr>
            </w:pPr>
            <w:r>
              <w:rPr>
                <w:sz w:val="24"/>
                <w:szCs w:val="24"/>
              </w:rPr>
            </w:r>
          </w:p>
          <w:p>
            <w:pPr>
              <w:pStyle w:val="NoSpacing"/>
              <w:widowControl w:val="false"/>
              <w:rPr>
                <w:b/>
                <w:bCs/>
              </w:rPr>
            </w:pPr>
            <w:r>
              <w:rPr>
                <w:rFonts w:cs="Times New Roman" w:ascii="Times New Roman" w:hAnsi="Times New Roman"/>
                <w:b/>
                <w:bCs/>
                <w:sz w:val="24"/>
                <w:szCs w:val="24"/>
              </w:rPr>
              <w:t>Акционерное общество «ТК РусГидро»</w:t>
            </w:r>
          </w:p>
          <w:p>
            <w:pPr>
              <w:pStyle w:val="NoSpacing"/>
              <w:widowControl w:val="false"/>
              <w:rPr>
                <w:b/>
                <w:bCs/>
              </w:rPr>
            </w:pPr>
            <w:r>
              <w:rPr>
                <w:rFonts w:cs="Times New Roman" w:ascii="Times New Roman" w:hAnsi="Times New Roman"/>
                <w:b/>
                <w:bCs/>
                <w:sz w:val="24"/>
                <w:szCs w:val="24"/>
              </w:rPr>
              <w:t>(АО «ТК РусГидро»)</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655619, Республика Хакасия, город Саяногорск, рабочий поселок Черемушки,</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стр. 101.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ИНН 1902018248 КПП 190201001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ОГРН 1031900676356 ОКПО 42213224</w:t>
            </w:r>
          </w:p>
          <w:p>
            <w:pPr>
              <w:pStyle w:val="NoSpacing"/>
              <w:widowControl w:val="false"/>
              <w:rPr>
                <w:b/>
                <w:bCs/>
              </w:rPr>
            </w:pPr>
            <w:r>
              <w:rPr>
                <w:rFonts w:cs="Times New Roman" w:ascii="Times New Roman" w:hAnsi="Times New Roman"/>
                <w:b/>
                <w:bCs/>
                <w:sz w:val="24"/>
                <w:szCs w:val="24"/>
              </w:rPr>
              <w:t>Южный филиал АО «ТК РусГидро»</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357506, Российская Федерация, Ставропольский край, город-курорт Пятигорск, ул. Тургеневская, зд. 30.</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Телефон, факс: +7(86554)4-16-55</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ИНН 1902018248 КПП 263243001</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ОКПО 21967982</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Банковские реквизиты:</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р/с 40702810795000000002</w:t>
            </w:r>
          </w:p>
          <w:p>
            <w:pPr>
              <w:pStyle w:val="NoSpacing"/>
              <w:widowControl w:val="false"/>
              <w:rPr>
                <w:rFonts w:ascii="Times New Roman" w:hAnsi="Times New Roman" w:cs="Times New Roman"/>
                <w:sz w:val="24"/>
                <w:szCs w:val="24"/>
              </w:rPr>
            </w:pPr>
            <w:r>
              <w:rPr>
                <w:rFonts w:cs="Times New Roman" w:ascii="Times New Roman" w:hAnsi="Times New Roman"/>
                <w:sz w:val="24"/>
                <w:szCs w:val="24"/>
              </w:rPr>
              <w:t>в Банк ГПБ (АО), г. Москва</w:t>
            </w:r>
          </w:p>
          <w:p>
            <w:pPr>
              <w:pStyle w:val="NoSpacing"/>
              <w:widowControl w:val="false"/>
              <w:rPr/>
            </w:pPr>
            <w:r>
              <w:rPr>
                <w:rFonts w:cs="Times New Roman" w:ascii="Times New Roman" w:hAnsi="Times New Roman"/>
                <w:b/>
                <w:sz w:val="24"/>
                <w:szCs w:val="24"/>
              </w:rPr>
              <w:t>БИК 044525823 к/с 30101810200000000823</w:t>
            </w:r>
          </w:p>
          <w:p>
            <w:pPr>
              <w:pStyle w:val="Normal"/>
              <w:widowControl w:val="false"/>
              <w:rPr>
                <w:sz w:val="24"/>
                <w:szCs w:val="24"/>
              </w:rPr>
            </w:pPr>
            <w:r>
              <w:rPr>
                <w:sz w:val="24"/>
                <w:szCs w:val="24"/>
              </w:rPr>
            </w:r>
          </w:p>
        </w:tc>
        <w:tc>
          <w:tcPr>
            <w:tcW w:w="4962"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71"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33"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8192"/>
        </w:sectPr>
      </w:pPr>
    </w:p>
    <w:p>
      <w:pPr>
        <w:pStyle w:val="Normal"/>
        <w:suppressAutoHyphens w:val="true"/>
        <w:ind w:hanging="0" w:left="5103" w:right="96"/>
        <w:rPr>
          <w:sz w:val="22"/>
          <w:szCs w:val="22"/>
        </w:rPr>
      </w:pPr>
      <w:r>
        <w:rPr>
          <w:sz w:val="22"/>
          <w:szCs w:val="22"/>
        </w:rPr>
        <w:t>Приложение № 1</w:t>
      </w:r>
    </w:p>
    <w:p>
      <w:pPr>
        <w:pStyle w:val="Normal"/>
        <w:suppressAutoHyphens w:val="true"/>
        <w:ind w:hanging="0" w:left="5103" w:right="96"/>
        <w:rPr>
          <w:sz w:val="22"/>
          <w:szCs w:val="22"/>
        </w:rPr>
      </w:pPr>
      <w:r>
        <w:rPr>
          <w:sz w:val="22"/>
          <w:szCs w:val="22"/>
        </w:rPr>
        <w:t>к Договору поставки</w:t>
      </w:r>
    </w:p>
    <w:p>
      <w:pPr>
        <w:pStyle w:val="Normal"/>
        <w:suppressAutoHyphens w:val="true"/>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4"/>
        <w:gridCol w:w="159"/>
        <w:gridCol w:w="665"/>
        <w:gridCol w:w="583"/>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4"/>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5"/>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69"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8"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suppressAutoHyphens w:val="true"/>
        <w:ind w:firstLine="5103" w:right="96"/>
        <w:rPr>
          <w:sz w:val="22"/>
          <w:szCs w:val="22"/>
        </w:rPr>
      </w:pPr>
      <w:r>
        <w:rPr>
          <w:sz w:val="22"/>
          <w:szCs w:val="22"/>
        </w:rPr>
        <w:t>Приложение № 2</w:t>
      </w:r>
    </w:p>
    <w:p>
      <w:pPr>
        <w:pStyle w:val="Normal"/>
        <w:suppressAutoHyphens w:val="true"/>
        <w:ind w:firstLine="5103" w:right="96"/>
        <w:rPr>
          <w:sz w:val="22"/>
          <w:szCs w:val="22"/>
        </w:rPr>
      </w:pPr>
      <w:r>
        <w:rPr>
          <w:sz w:val="22"/>
          <w:szCs w:val="22"/>
        </w:rPr>
        <w:t xml:space="preserve">к Договору поставки </w:t>
      </w:r>
    </w:p>
    <w:p>
      <w:pPr>
        <w:pStyle w:val="Normal"/>
        <w:suppressAutoHyphens w:val="true"/>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3</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t>Критерии отбора Банков – Гарантов</w:t>
      </w:r>
      <w:r>
        <w:rPr>
          <w:rStyle w:val="FootnoteReference"/>
          <w:b/>
          <w:bCs/>
          <w:sz w:val="24"/>
          <w:szCs w:val="24"/>
        </w:rPr>
        <w:footnoteReference w:id="16"/>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tabs>
          <w:tab w:val="clear" w:pos="709"/>
          <w:tab w:val="left" w:pos="1134" w:leader="none"/>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vertAlign w:val="superscript"/>
          <w:lang w:val="en-GB"/>
        </w:rPr>
        <w:footnoteReference w:id="17"/>
      </w:r>
      <w:r>
        <w:rPr>
          <w:sz w:val="24"/>
          <w:szCs w:val="24"/>
        </w:rPr>
        <w:t>, а также соответствовать следующим критериям:</w:t>
      </w:r>
    </w:p>
    <w:p>
      <w:pPr>
        <w:pStyle w:val="Normal"/>
        <w:widowControl/>
        <w:numPr>
          <w:ilvl w:val="1"/>
          <w:numId w:val="12"/>
        </w:numPr>
        <w:tabs>
          <w:tab w:val="clear" w:pos="709"/>
          <w:tab w:val="left" w:pos="1134" w:leader="none"/>
        </w:tabs>
        <w:ind w:firstLine="710" w:left="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widowControl/>
        <w:numPr>
          <w:ilvl w:val="1"/>
          <w:numId w:val="12"/>
        </w:numPr>
        <w:tabs>
          <w:tab w:val="clear" w:pos="709"/>
          <w:tab w:val="left" w:pos="1134" w:leader="none"/>
        </w:tabs>
        <w:ind w:firstLine="710" w:left="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br/>
        <w: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w:t>
        <w:br/>
        <w:t>213-ФЗ).</w:t>
      </w:r>
    </w:p>
    <w:p>
      <w:pPr>
        <w:pStyle w:val="Normal"/>
        <w:widowControl/>
        <w:numPr>
          <w:ilvl w:val="1"/>
          <w:numId w:val="12"/>
        </w:numPr>
        <w:tabs>
          <w:tab w:val="clear" w:pos="709"/>
          <w:tab w:val="left" w:pos="1134" w:leader="none"/>
        </w:tabs>
        <w:ind w:firstLine="710" w:left="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rPr>
        <w:t>, опубликованной в информационно-телекоммуникационной сети «Интернет» (</w:t>
      </w:r>
      <w:hyperlink r:id="rId8">
        <w:r>
          <w:rPr>
            <w:rStyle w:val="Hyperlink"/>
            <w:rFonts w:eastAsia="Times New Roman" w:cs="Times New Roman"/>
            <w:color w:val="auto"/>
            <w:sz w:val="24"/>
            <w:szCs w:val="24"/>
            <w:lang w:val="ru-RU" w:eastAsia="ru-RU" w:bidi="ar-SA"/>
          </w:rPr>
          <w:t>www.cbr.ru</w:t>
        </w:r>
      </w:hyperlink>
      <w:r>
        <w:rPr>
          <w:sz w:val="24"/>
          <w:szCs w:val="24"/>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rPr>
        <w:t xml:space="preserve"> Заказчику. </w:t>
      </w:r>
    </w:p>
    <w:p>
      <w:pPr>
        <w:pStyle w:val="Normal"/>
        <w:widowControl/>
        <w:numPr>
          <w:ilvl w:val="1"/>
          <w:numId w:val="12"/>
        </w:numPr>
        <w:tabs>
          <w:tab w:val="clear" w:pos="709"/>
          <w:tab w:val="left" w:pos="1134" w:leader="none"/>
        </w:tabs>
        <w:ind w:firstLine="710" w:left="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r>
        <w:rPr>
          <w:sz w:val="24"/>
          <w:szCs w:val="24"/>
          <w:lang w:val="en-GB"/>
        </w:rPr>
        <w:t>ruBBB</w:t>
      </w:r>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FootnoteReference"/>
          <w:sz w:val="24"/>
          <w:szCs w:val="24"/>
          <w:vertAlign w:val="superscript"/>
          <w:lang w:val="en-GB"/>
        </w:rPr>
        <w:footnoteReference w:id="18"/>
      </w:r>
      <w:r>
        <w:rPr>
          <w:sz w:val="24"/>
          <w:szCs w:val="24"/>
        </w:rPr>
        <w:t xml:space="preserve">. </w:t>
      </w:r>
    </w:p>
    <w:p>
      <w:pPr>
        <w:pStyle w:val="Normal"/>
        <w:widowControl/>
        <w:numPr>
          <w:ilvl w:val="1"/>
          <w:numId w:val="12"/>
        </w:numPr>
        <w:tabs>
          <w:tab w:val="clear" w:pos="709"/>
          <w:tab w:val="left" w:pos="1134" w:leader="none"/>
        </w:tabs>
        <w:ind w:firstLine="710" w:left="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FootnoteReference"/>
          <w:sz w:val="24"/>
          <w:szCs w:val="24"/>
          <w:vertAlign w:val="superscript"/>
          <w:lang w:val="en-GB"/>
        </w:rPr>
        <w:footnoteReference w:id="19"/>
      </w:r>
      <w:r>
        <w:rPr>
          <w:sz w:val="24"/>
          <w:szCs w:val="24"/>
        </w:rPr>
        <w:t>.</w:t>
      </w:r>
    </w:p>
    <w:p>
      <w:pPr>
        <w:pStyle w:val="Normal"/>
        <w:widowControl/>
        <w:numPr>
          <w:ilvl w:val="1"/>
          <w:numId w:val="12"/>
        </w:numPr>
        <w:tabs>
          <w:tab w:val="clear" w:pos="709"/>
          <w:tab w:val="left" w:pos="1134" w:leader="none"/>
        </w:tabs>
        <w:ind w:firstLine="710" w:left="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r>
        <w:rPr>
          <w:sz w:val="24"/>
          <w:szCs w:val="24"/>
          <w:lang w:val="en-GB"/>
        </w:rPr>
        <w:t>asv</w:t>
      </w:r>
      <w:r>
        <w:rPr>
          <w:sz w:val="24"/>
          <w:szCs w:val="24"/>
        </w:rPr>
        <w:t>.</w:t>
      </w:r>
      <w:r>
        <w:rPr>
          <w:sz w:val="24"/>
          <w:szCs w:val="24"/>
          <w:lang w:val="en-GB"/>
        </w:rPr>
        <w:t>org</w:t>
      </w:r>
      <w:r>
        <w:rPr>
          <w:sz w:val="24"/>
          <w:szCs w:val="24"/>
        </w:rPr>
        <w:t>.</w:t>
      </w:r>
      <w:r>
        <w:rPr>
          <w:sz w:val="24"/>
          <w:szCs w:val="24"/>
          <w:lang w:val="en-GB"/>
        </w:rPr>
        <w:t>ru</w:t>
      </w:r>
      <w:r>
        <w:rPr>
          <w:sz w:val="24"/>
          <w:szCs w:val="24"/>
        </w:rPr>
        <w:t>))».</w:t>
      </w:r>
    </w:p>
    <w:p>
      <w:pPr>
        <w:pStyle w:val="Normal"/>
        <w:widowControl/>
        <w:numPr>
          <w:ilvl w:val="1"/>
          <w:numId w:val="12"/>
        </w:numPr>
        <w:tabs>
          <w:tab w:val="clear" w:pos="709"/>
          <w:tab w:val="left" w:pos="1134" w:leader="none"/>
        </w:tabs>
        <w:ind w:firstLine="710" w:left="0"/>
        <w:jc w:val="both"/>
        <w:rPr>
          <w:sz w:val="24"/>
          <w:szCs w:val="24"/>
        </w:rPr>
      </w:pPr>
      <w:r>
        <w:rPr>
          <w:sz w:val="24"/>
          <w:szCs w:val="24"/>
        </w:rPr>
        <w:t>Не иметь просроченную задолженность перед Заказчиком и компаниями Группы РусГидро.</w:t>
      </w:r>
    </w:p>
    <w:p>
      <w:pPr>
        <w:pStyle w:val="Normal"/>
        <w:widowControl/>
        <w:numPr>
          <w:ilvl w:val="1"/>
          <w:numId w:val="12"/>
        </w:numPr>
        <w:tabs>
          <w:tab w:val="clear" w:pos="709"/>
          <w:tab w:val="left" w:pos="1134" w:leader="none"/>
        </w:tabs>
        <w:ind w:firstLine="710" w:left="0"/>
        <w:jc w:val="both"/>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FootnoteReference"/>
          <w:sz w:val="24"/>
          <w:szCs w:val="24"/>
          <w:vertAlign w:val="superscript"/>
          <w:lang w:val="en-GB"/>
        </w:rPr>
        <w:footnoteReference w:id="20"/>
      </w:r>
      <w:r>
        <w:rPr>
          <w:sz w:val="24"/>
          <w:szCs w:val="24"/>
        </w:rPr>
        <w:t>.</w:t>
      </w:r>
    </w:p>
    <w:p>
      <w:pPr>
        <w:pStyle w:val="Normal"/>
        <w:widowControl/>
        <w:numPr>
          <w:ilvl w:val="1"/>
          <w:numId w:val="12"/>
        </w:numPr>
        <w:tabs>
          <w:tab w:val="clear" w:pos="709"/>
          <w:tab w:val="left" w:pos="1134" w:leader="none"/>
        </w:tabs>
        <w:ind w:firstLine="710" w:left="0"/>
        <w:jc w:val="both"/>
        <w:rPr>
          <w:sz w:val="24"/>
          <w:szCs w:val="24"/>
        </w:rPr>
      </w:pPr>
      <w:r>
        <w:rPr>
          <w:sz w:val="24"/>
          <w:szCs w:val="24"/>
        </w:rPr>
        <w:t xml:space="preserve">Требования, установленные пунктами 2 – 4 настоящих Критериев, </w:t>
        <w:br/>
        <w:t>не распространяются на кредитные организации:</w:t>
      </w:r>
    </w:p>
    <w:p>
      <w:pPr>
        <w:pStyle w:val="Normal"/>
        <w:widowControl/>
        <w:numPr>
          <w:ilvl w:val="1"/>
          <w:numId w:val="13"/>
        </w:numPr>
        <w:tabs>
          <w:tab w:val="clear" w:pos="709"/>
          <w:tab w:val="left" w:pos="1134" w:leader="none"/>
        </w:tabs>
        <w:ind w:firstLine="709" w:left="0"/>
        <w:jc w:val="both"/>
        <w:rPr>
          <w:sz w:val="24"/>
          <w:szCs w:val="24"/>
        </w:rPr>
      </w:pPr>
      <w:r>
        <w:rPr>
          <w:sz w:val="24"/>
          <w:szCs w:val="24"/>
        </w:rPr>
        <w:t xml:space="preserve"> </w:t>
      </w:r>
      <w:r>
        <w:rPr>
          <w:sz w:val="24"/>
          <w:szCs w:val="24"/>
        </w:rPr>
        <w:t xml:space="preserve">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br/>
        <w:t xml:space="preserve">в которой могут размещаться средства федерального бюджета на банковских депозитах </w:t>
        <w:b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widowControl/>
        <w:numPr>
          <w:ilvl w:val="1"/>
          <w:numId w:val="13"/>
        </w:numPr>
        <w:tabs>
          <w:tab w:val="clear" w:pos="709"/>
          <w:tab w:val="left" w:pos="1134" w:leader="none"/>
        </w:tabs>
        <w:ind w:firstLine="709" w:left="0"/>
        <w:jc w:val="both"/>
        <w:rPr>
          <w:sz w:val="24"/>
          <w:szCs w:val="24"/>
        </w:rPr>
      </w:pPr>
      <w:r>
        <w:rPr>
          <w:sz w:val="24"/>
          <w:szCs w:val="24"/>
        </w:rPr>
        <w:t xml:space="preserve"> </w:t>
      </w:r>
      <w:r>
        <w:rPr>
          <w:sz w:val="24"/>
          <w:szCs w:val="24"/>
        </w:rPr>
        <w:t xml:space="preserve">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br/>
        <w:t>и Указом Президента Российской Федерации от 05.06.2015 № 287 «О мерах по дальнейшему развитию малого и среднего предпринимательства».</w:t>
      </w:r>
    </w:p>
    <w:p>
      <w:pPr>
        <w:pStyle w:val="Normal"/>
        <w:widowControl/>
        <w:numPr>
          <w:ilvl w:val="1"/>
          <w:numId w:val="13"/>
        </w:numPr>
        <w:tabs>
          <w:tab w:val="clear" w:pos="709"/>
          <w:tab w:val="left" w:pos="1134" w:leader="none"/>
        </w:tabs>
        <w:ind w:firstLine="709" w:left="0"/>
        <w:jc w:val="both"/>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widowControl/>
        <w:numPr>
          <w:ilvl w:val="1"/>
          <w:numId w:val="13"/>
        </w:numPr>
        <w:tabs>
          <w:tab w:val="clear" w:pos="709"/>
          <w:tab w:val="left" w:pos="1134" w:leader="none"/>
        </w:tabs>
        <w:ind w:firstLine="709" w:left="0"/>
        <w:jc w:val="both"/>
        <w:rPr>
          <w:sz w:val="24"/>
          <w:szCs w:val="24"/>
          <w:lang w:val="en-GB"/>
        </w:rPr>
      </w:pPr>
      <w:r>
        <w:rPr>
          <w:sz w:val="24"/>
          <w:szCs w:val="24"/>
        </w:rPr>
        <w:t xml:space="preserve"> </w:t>
      </w:r>
      <w:r>
        <w:rPr>
          <w:sz w:val="24"/>
          <w:szCs w:val="24"/>
          <w:lang w:val="en-GB"/>
        </w:rPr>
        <w:t>ВЭБ.РФ.</w:t>
      </w:r>
    </w:p>
    <w:p>
      <w:pPr>
        <w:pStyle w:val="Normal"/>
        <w:numPr>
          <w:ilvl w:val="1"/>
          <w:numId w:val="13"/>
        </w:numPr>
        <w:tabs>
          <w:tab w:val="clear" w:pos="709"/>
          <w:tab w:val="left" w:pos="1134" w:leader="none"/>
        </w:tabs>
        <w:spacing w:lineRule="auto" w:line="240"/>
        <w:ind w:firstLine="709" w:left="0"/>
        <w:rPr>
          <w:sz w:val="24"/>
          <w:szCs w:val="24"/>
        </w:rPr>
      </w:pPr>
      <w:r>
        <w:rPr>
          <w:sz w:val="24"/>
          <w:szCs w:val="24"/>
          <w:lang w:val="en-GB"/>
        </w:rPr>
        <w:t>Нерезидентов Российской Федерации.</w:t>
      </w:r>
    </w:p>
    <w:p>
      <w:pPr>
        <w:pStyle w:val="Normal"/>
        <w:widowControl/>
        <w:numPr>
          <w:ilvl w:val="1"/>
          <w:numId w:val="12"/>
        </w:numPr>
        <w:tabs>
          <w:tab w:val="clear" w:pos="709"/>
          <w:tab w:val="left" w:pos="1134" w:leader="none"/>
        </w:tabs>
        <w:ind w:firstLine="710" w:left="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b/>
          <w:i/>
          <w:sz w:val="24"/>
          <w:szCs w:val="24"/>
          <w:lang w:val="en-GB"/>
        </w:rPr>
        <w:t>Lim</w:t>
      </w:r>
      <w:r>
        <w:rPr>
          <w:b/>
          <w:i/>
          <w:sz w:val="24"/>
          <w:szCs w:val="24"/>
          <w:vertAlign w:val="subscript"/>
          <w:lang w:val="en-GB"/>
        </w:rPr>
        <w:t>Ai</w:t>
      </w:r>
      <w:r>
        <w:rPr>
          <w:b/>
          <w:i/>
          <w:sz w:val="24"/>
          <w:szCs w:val="24"/>
          <w:lang w:val="en-GB"/>
        </w:rPr>
        <w:t xml:space="preserve">  = r</w:t>
      </w:r>
      <w:r>
        <w:rPr>
          <w:b/>
          <w:i/>
          <w:sz w:val="24"/>
          <w:szCs w:val="24"/>
          <w:vertAlign w:val="subscript"/>
          <w:lang w:val="en-GB"/>
        </w:rPr>
        <w:t>i</w:t>
      </w:r>
      <w:r>
        <w:rPr>
          <w:b/>
          <w:i/>
          <w:sz w:val="24"/>
          <w:szCs w:val="24"/>
          <w:lang w:val="en-GB"/>
        </w:rPr>
        <w:t xml:space="preserve"> × СK</w:t>
      </w:r>
      <w:r>
        <w:rPr>
          <w:b/>
          <w:i/>
          <w:sz w:val="24"/>
          <w:szCs w:val="24"/>
          <w:vertAlign w:val="subscript"/>
          <w:lang w:val="en-GB"/>
        </w:rPr>
        <w:t>i</w:t>
      </w:r>
      <w:r>
        <w:rPr>
          <w:sz w:val="24"/>
          <w:szCs w:val="24"/>
          <w:lang w:val="en-GB"/>
        </w:rPr>
        <w:t>, где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hanging="0" w:left="0" w:right="-108"/>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hanging="317" w:left="317" w:right="-108"/>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21"/>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hanging="0" w:left="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firstLine="567" w:left="0" w:right="-108"/>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hanging="0" w:left="0" w:right="-108"/>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9">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3894" w:hRule="atLeast"/>
        </w:trPr>
        <w:tc>
          <w:tcPr>
            <w:tcW w:w="817" w:type="dxa"/>
            <w:tcBorders/>
          </w:tcPr>
          <w:p>
            <w:pPr>
              <w:pStyle w:val="Normal"/>
              <w:widowControl w:val="false"/>
              <w:spacing w:lineRule="auto" w:line="240"/>
              <w:ind w:hanging="0" w:left="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hanging="0" w:left="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false"/>
              <w:bidi w:val="0"/>
              <w:spacing w:lineRule="auto" w:line="240" w:before="0" w:after="0"/>
              <w:ind w:hanging="0" w:left="680" w:right="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22"/>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firstLine="567" w:left="0" w:right="-108"/>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425" w:leader="none"/>
        </w:tabs>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sz w:val="24"/>
                <w:szCs w:val="24"/>
                <w:lang w:val="en-GB"/>
              </w:rPr>
            </w:pPr>
            <w:r>
              <w:rPr>
                <w:b/>
                <w:sz w:val="24"/>
                <w:szCs w:val="24"/>
              </w:rPr>
              <w:t>Покупатель</w:t>
            </w:r>
            <w:r>
              <w:rPr>
                <w:b/>
                <w:sz w:val="24"/>
                <w:szCs w:val="24"/>
                <w:lang w:val="en-GB"/>
              </w:rPr>
              <w:t>:</w:t>
            </w:r>
          </w:p>
        </w:tc>
        <w:tc>
          <w:tcPr>
            <w:tcW w:w="8789" w:type="dxa"/>
            <w:tcBorders/>
          </w:tcPr>
          <w:p>
            <w:pPr>
              <w:pStyle w:val="Normal"/>
              <w:widowControl w:val="false"/>
              <w:rPr>
                <w:b/>
                <w:sz w:val="24"/>
                <w:szCs w:val="24"/>
                <w:lang w:val="en-GB"/>
              </w:rPr>
            </w:pPr>
            <w:r>
              <w:rPr>
                <w:b/>
                <w:sz w:val="24"/>
                <w:szCs w:val="24"/>
              </w:rPr>
              <w:t>Поставщик</w:t>
            </w:r>
            <w:r>
              <w:rPr>
                <w:b/>
                <w:sz w:val="24"/>
                <w:szCs w:val="24"/>
                <w:lang w:val="en-GB"/>
              </w:rPr>
              <w:t>:</w:t>
            </w:r>
          </w:p>
        </w:tc>
      </w:tr>
      <w:tr>
        <w:trPr/>
        <w:tc>
          <w:tcPr>
            <w:tcW w:w="4961"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tc>
        <w:tc>
          <w:tcPr>
            <w:tcW w:w="878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4</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uppressAutoHyphens w:val="true"/>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widowControl/>
        <w:suppressAutoHyphens w:val="true"/>
        <w:bidi w:val="0"/>
        <w:spacing w:before="0" w:after="0"/>
        <w:jc w:val="left"/>
        <w:rPr>
          <w:b/>
          <w:bCs/>
          <w:sz w:val="24"/>
          <w:szCs w:val="24"/>
        </w:rPr>
      </w:pPr>
      <w:r>
        <w:rPr>
          <w:b/>
          <w:bCs/>
          <w:sz w:val="24"/>
          <w:szCs w:val="24"/>
        </w:rPr>
      </w:r>
    </w:p>
    <w:sectPr>
      <w:headerReference w:type="default" r:id="rId10"/>
      <w:headerReference w:type="first" r:id="rId11"/>
      <w:footerReference w:type="default" r:id="rId12"/>
      <w:footerReference w:type="first" r:id="rId13"/>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26</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3">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Заказчика.</w:t>
      </w:r>
    </w:p>
  </w:footnote>
  <w:footnote w:id="4">
    <w:p>
      <w:pPr>
        <w:pStyle w:val="FootnoteText"/>
        <w:jc w:val="both"/>
        <w:rPr/>
      </w:pPr>
      <w:r>
        <w:rPr>
          <w:rStyle w:val="Style14"/>
        </w:rPr>
        <w:footnoteRef/>
      </w:r>
      <w:r>
        <w:rPr/>
        <w:t xml:space="preserve"> </w:t>
      </w:r>
      <w:r>
        <w:rPr/>
        <w:t>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6">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7">
    <w:p>
      <w:pPr>
        <w:pStyle w:val="FootnoteText"/>
        <w:jc w:val="both"/>
        <w:rPr/>
      </w:pPr>
      <w:r>
        <w:rPr>
          <w:rStyle w:val="Style14"/>
        </w:rPr>
        <w:footnoteRef/>
      </w:r>
      <w:r>
        <w:rPr/>
        <w:t xml:space="preserve"> </w:t>
      </w:r>
      <w:r>
        <w:rPr/>
        <w:t>В случае непредоставления новой Банковской гарантии возврата авансового платежа.</w:t>
      </w:r>
    </w:p>
  </w:footnote>
  <w:footnote w:id="8">
    <w:p>
      <w:pPr>
        <w:pStyle w:val="FootnoteText"/>
        <w:jc w:val="both"/>
        <w:rPr/>
      </w:pPr>
      <w:r>
        <w:rPr>
          <w:rStyle w:val="Style14"/>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r>
        <w:rPr/>
        <w:t>.</w:t>
      </w:r>
    </w:p>
  </w:footnote>
  <w:footnote w:id="9">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10">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1">
    <w:p>
      <w:pPr>
        <w:pStyle w:val="FootnoteText"/>
        <w:jc w:val="both"/>
        <w:rPr/>
      </w:pPr>
      <w:r>
        <w:rPr>
          <w:rStyle w:val="Style14"/>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12">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3">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4">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15">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1" w:name="_GoBack_Копия_1_Копия_1_Копия_1_Копия_1_"/>
      <w:bookmarkEnd w:id="11"/>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 w:id="16">
    <w:p>
      <w:pPr>
        <w:pStyle w:val="FootnoteText"/>
        <w:jc w:val="both"/>
        <w:rPr/>
      </w:pPr>
      <w:r>
        <w:rPr>
          <w:rStyle w:val="Style14"/>
        </w:rPr>
        <w:footnoteRef/>
      </w:r>
      <w:r>
        <w:rPr/>
        <w:t xml:space="preserve"> </w:t>
      </w:r>
      <w:r>
        <w:rPr/>
        <w:t xml:space="preserve">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t>
        <w:br/>
        <w:t>по которым предусмотрены федеральным законом от 18.07.2011 № 223-ФЗ «О закупках товаров, работ, услуг отдельными видами юридических лиц».</w:t>
      </w:r>
    </w:p>
  </w:footnote>
  <w:footnote w:id="17">
    <w:p>
      <w:pPr>
        <w:pStyle w:val="FootnoteText"/>
        <w:jc w:val="both"/>
        <w:rPr/>
      </w:pPr>
      <w:r>
        <w:rPr>
          <w:rStyle w:val="Style14"/>
        </w:rPr>
        <w:footnoteRef/>
      </w:r>
      <w:r>
        <w:rPr>
          <w:lang w:eastAsia="x-none"/>
        </w:rPr>
        <w:t xml:space="preserve"> </w:t>
      </w:r>
      <w:r>
        <w:rPr>
          <w:lang w:eastAsia="x-none"/>
        </w:rPr>
        <w:t xml:space="preserve">Актуальный Перечень Банков-Гарантов Группы РусГидро размещен на официальном сайте Заказчика </w:t>
      </w:r>
      <w:r>
        <w:rPr/>
        <w:t>http</w:t>
      </w:r>
      <w:r>
        <w:rPr>
          <w:lang w:eastAsia="x-none"/>
        </w:rPr>
        <w:t>://</w:t>
      </w:r>
      <w:r>
        <w:rPr/>
        <w:t>zakupki</w:t>
      </w:r>
      <w:r>
        <w:rPr>
          <w:lang w:eastAsia="x-none"/>
        </w:rPr>
        <w:t>.</w:t>
      </w:r>
      <w:r>
        <w:rPr/>
        <w:t>rushydro</w:t>
      </w:r>
      <w:r>
        <w:rPr>
          <w:lang w:eastAsia="x-none"/>
        </w:rPr>
        <w:t>.</w:t>
      </w:r>
      <w:r>
        <w:rPr/>
        <w:t>ru</w:t>
      </w:r>
      <w:r>
        <w:rPr>
          <w:lang w:eastAsia="x-none"/>
        </w:rPr>
        <w:t>/</w:t>
      </w:r>
      <w:r>
        <w:rPr/>
        <w:t>PublicContent</w:t>
      </w:r>
      <w:r>
        <w:rPr>
          <w:lang w:eastAsia="x-none"/>
        </w:rPr>
        <w:t>/</w:t>
      </w:r>
      <w:r>
        <w:rPr/>
        <w:t>Section</w:t>
      </w:r>
      <w:r>
        <w:rPr>
          <w:lang w:eastAsia="x-none"/>
        </w:rPr>
        <w:t>/.</w:t>
      </w:r>
    </w:p>
  </w:footnote>
  <w:footnote w:id="18">
    <w:p>
      <w:pPr>
        <w:pStyle w:val="FootnoteText"/>
        <w:jc w:val="both"/>
        <w:rPr/>
      </w:pPr>
      <w:r>
        <w:rPr>
          <w:rStyle w:val="Style14"/>
        </w:rPr>
        <w:footnoteRef/>
      </w:r>
      <w:r>
        <w:rPr>
          <w:lang w:eastAsia="x-none"/>
        </w:rPr>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eastAsia="x-none"/>
        </w:rPr>
        <w:t xml:space="preserve">, </w:t>
      </w:r>
      <w:r>
        <w:rPr/>
        <w:t>Bloomberg</w:t>
      </w:r>
      <w:r>
        <w:rPr>
          <w:lang w:eastAsia="x-none"/>
        </w:rPr>
        <w:t>, С</w:t>
      </w:r>
      <w:r>
        <w:rPr/>
        <w:t>bonds</w:t>
      </w:r>
      <w:r>
        <w:rPr>
          <w:lang w:eastAsia="x-none"/>
        </w:rPr>
        <w:t>).</w:t>
      </w:r>
    </w:p>
  </w:footnote>
  <w:footnote w:id="19">
    <w:p>
      <w:pPr>
        <w:pStyle w:val="FootnoteText"/>
        <w:jc w:val="both"/>
        <w:rPr/>
      </w:pPr>
      <w:r>
        <w:rPr>
          <w:rStyle w:val="Style14"/>
        </w:rPr>
        <w:footnoteRef/>
      </w:r>
      <w:r>
        <w:rPr>
          <w:lang w:eastAsia="x-none"/>
        </w:rPr>
        <w:t xml:space="preserve"> </w:t>
      </w:r>
      <w:r>
        <w:rPr>
          <w:lang w:eastAsia="x-none"/>
        </w:rPr>
        <w:t>Данное требование не применяется в отношении небанковских кредитных организаций.</w:t>
      </w:r>
    </w:p>
  </w:footnote>
  <w:footnote w:id="20">
    <w:p>
      <w:pPr>
        <w:pStyle w:val="FootnoteText"/>
        <w:jc w:val="both"/>
        <w:rPr/>
      </w:pPr>
      <w:r>
        <w:rPr>
          <w:rStyle w:val="Style14"/>
        </w:rPr>
        <w:footnoteRef/>
      </w:r>
      <w:r>
        <w:rPr>
          <w:lang w:eastAsia="x-none"/>
        </w:rPr>
        <w:t xml:space="preserve"> </w:t>
      </w:r>
      <w:r>
        <w:rPr>
          <w:lang w:eastAsia="x-none"/>
        </w:rPr>
        <w:t>При издании ПО организационно-распорядительного документа о ТФУ данный критерий может быть исключен.</w:t>
      </w:r>
    </w:p>
  </w:footnote>
  <w:footnote w:id="21">
    <w:p>
      <w:pPr>
        <w:pStyle w:val="FootnoteText"/>
        <w:jc w:val="both"/>
        <w:rPr/>
      </w:pPr>
      <w:r>
        <w:rPr>
          <w:rStyle w:val="Style14"/>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22">
    <w:p>
      <w:pPr>
        <w:pStyle w:val="FootnoteText"/>
        <w:jc w:val="both"/>
        <w:rPr/>
      </w:pPr>
      <w:r>
        <w:rPr>
          <w:rStyle w:val="Style14"/>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b w:val="false"/>
        <w:rFonts w:cs="Times New Roman"/>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3">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4">
    <w:lvl w:ilvl="0">
      <w:start w:val="6"/>
      <w:numFmt w:val="decimal"/>
      <w:lvlText w:val="%1."/>
      <w:lvlJc w:val="left"/>
      <w:pPr>
        <w:tabs>
          <w:tab w:val="num" w:pos="0"/>
        </w:tabs>
        <w:ind w:left="360" w:hanging="360"/>
      </w:pPr>
      <w:rPr/>
    </w:lvl>
    <w:lvl w:ilvl="1">
      <w:start w:val="5"/>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Spacing">
    <w:name w:val="No Spacing"/>
    <w:qFormat/>
    <w:pPr>
      <w:widowControl/>
      <w:suppressAutoHyphens w:val="true"/>
      <w:bidi w:val="0"/>
      <w:spacing w:before="0" w:after="0"/>
      <w:jc w:val="left"/>
    </w:pPr>
    <w:rPr>
      <w:rFonts w:ascii="Calibri" w:hAnsi="Calibri" w:eastAsia="Times New Roman" w:cs="Calibri"/>
      <w:color w:val="auto"/>
      <w:kern w:val="0"/>
      <w:sz w:val="22"/>
      <w:szCs w:val="22"/>
      <w:lang w:val="ru-RU" w:eastAsia="zh-CN"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yperlink" Target="http://www.cbr.ru/" TargetMode="External"/><Relationship Id="rId9" Type="http://schemas.openxmlformats.org/officeDocument/2006/relationships/hyperlink" Target="http://www.cbr.ru/" TargetMode="Externa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Relationship Id="rId21" Type="http://schemas.openxmlformats.org/officeDocument/2006/relationships/customXml" Target="../customXml/item3.xml"/><Relationship Id="rId22"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DC28637-82A2-4882-B880-456EC7FD591C}">
  <ds:schemaRefs>
    <ds:schemaRef ds:uri="http://schemas.openxmlformats.org/officeDocument/2006/bibliography"/>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827</TotalTime>
  <Application>AlterOffice/2026.2.0.0$Linux_X86_64 LibreOffice_project/bc4ef1adf80b36c7a6365f8ed6cbf29021361edd</Application>
  <AppVersion>15.0000</AppVersion>
  <Pages>26</Pages>
  <Words>9651</Words>
  <Characters>69393</Characters>
  <CharactersWithSpaces>78737</CharactersWithSpaces>
  <Paragraphs>432</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schigarevnn@corp.gidroogk.com</cp:lastModifiedBy>
  <cp:lastPrinted>2018-05-22T09:46:00Z</cp:lastPrinted>
  <dcterms:modified xsi:type="dcterms:W3CDTF">2026-09-29T14:48:14Z</dcterms:modified>
  <cp:revision>64</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