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57" w:before="0" w:line="240" w:lineRule="auto"/>
        <w:ind w:firstLine="0" w:left="0" w:right="0"/>
        <w:jc w:val="center"/>
        <w:rPr>
          <w:rFonts w:ascii="Times New Roman" w:hAnsi="Times New Roman"/>
        </w:rPr>
      </w:pPr>
      <w:r>
        <w:rPr>
          <w:rFonts w:ascii="Times New Roman" w:hAnsi="Times New Roman"/>
          <w:b w:val="1"/>
        </w:rPr>
        <w:t>1. Общие положения</w:t>
      </w:r>
    </w:p>
    <w:p w14:paraId="02000000">
      <w:pPr>
        <w:widowControl w:val="1"/>
        <w:spacing w:after="57" w:before="0" w:line="240" w:lineRule="auto"/>
        <w:ind w:firstLine="709" w:left="0" w:right="0"/>
        <w:rPr>
          <w:rFonts w:ascii="Times New Roman" w:hAnsi="Times New Roman"/>
        </w:rPr>
      </w:pPr>
      <w:r>
        <w:rPr>
          <w:rFonts w:ascii="Times New Roman" w:hAnsi="Times New Roman"/>
        </w:rPr>
        <w:t>1.1. Настоящее техническое задание устанавливает совокупность организационных и технических требований к исполнителю работ по установке освещения для освещения автомобильной дороги, автобусных остановок и пешеходных переходов в одном уровне с проезжей частью и до устанавливаемых опор освещения.</w:t>
      </w:r>
    </w:p>
    <w:p w14:paraId="03000000">
      <w:pPr>
        <w:widowControl w:val="1"/>
        <w:spacing w:after="0" w:before="0" w:line="240" w:lineRule="auto"/>
        <w:ind w:firstLine="709" w:left="0" w:right="0"/>
        <w:rPr>
          <w:rFonts w:ascii="Times New Roman" w:hAnsi="Times New Roman"/>
        </w:rPr>
      </w:pPr>
      <w:r>
        <w:rPr>
          <w:rFonts w:ascii="Times New Roman" w:hAnsi="Times New Roman"/>
        </w:rPr>
        <w:t>1.2. Освещение автомобильной дороги предназначено для:</w:t>
      </w:r>
    </w:p>
    <w:p w14:paraId="04000000">
      <w:pPr>
        <w:widowControl w:val="1"/>
        <w:spacing w:after="0" w:before="0" w:line="240" w:lineRule="auto"/>
        <w:ind w:firstLine="709" w:left="0" w:right="0"/>
        <w:rPr>
          <w:rFonts w:ascii="Times New Roman" w:hAnsi="Times New Roman"/>
        </w:rPr>
      </w:pPr>
      <w:r>
        <w:rPr>
          <w:rFonts w:ascii="Times New Roman" w:hAnsi="Times New Roman"/>
        </w:rPr>
        <w:t>- обеспечения безопасности движения транспортных средств и пешеходов, а также повышения пропускной способности федеральных дорог в темное время суток;</w:t>
      </w:r>
    </w:p>
    <w:p w14:paraId="05000000">
      <w:pPr>
        <w:widowControl w:val="1"/>
        <w:spacing w:after="0" w:before="0" w:line="240" w:lineRule="auto"/>
        <w:ind w:firstLine="709" w:left="0" w:right="0"/>
        <w:rPr>
          <w:rFonts w:ascii="Times New Roman" w:hAnsi="Times New Roman"/>
        </w:rPr>
      </w:pPr>
      <w:r>
        <w:rPr>
          <w:rFonts w:ascii="Times New Roman" w:hAnsi="Times New Roman"/>
        </w:rPr>
        <w:t>- обозначения для водителей и пешеходов мест расположения наземных пешеходных переходов в темное время суток;</w:t>
      </w:r>
    </w:p>
    <w:p w14:paraId="06000000">
      <w:pPr>
        <w:widowControl w:val="1"/>
        <w:spacing w:after="0" w:before="0" w:line="240" w:lineRule="auto"/>
        <w:ind w:firstLine="709" w:left="0" w:right="0"/>
        <w:rPr>
          <w:rFonts w:ascii="Times New Roman" w:hAnsi="Times New Roman"/>
        </w:rPr>
      </w:pPr>
      <w:r>
        <w:rPr>
          <w:rFonts w:ascii="Times New Roman" w:hAnsi="Times New Roman"/>
        </w:rPr>
        <w:t>- улучшения видимости пешеходов, находящихся на наземных пешеходных переходах (приближающихся к переходу) и автобусных остановках, а также для улучшения видимости водителей транспортных средств в темное время суток, с целью предотвращения наездов на пешеходов;</w:t>
      </w:r>
    </w:p>
    <w:p w14:paraId="07000000">
      <w:pPr>
        <w:widowControl w:val="1"/>
        <w:spacing w:after="0" w:before="0" w:line="240" w:lineRule="auto"/>
        <w:ind w:firstLine="709" w:left="0" w:right="0"/>
        <w:rPr>
          <w:rFonts w:ascii="Times New Roman" w:hAnsi="Times New Roman"/>
        </w:rPr>
      </w:pPr>
      <w:r>
        <w:rPr>
          <w:rFonts w:ascii="Times New Roman" w:hAnsi="Times New Roman"/>
        </w:rPr>
        <w:t>- доведение уровня освещённости автомобильной дороги до нормативных требований.</w:t>
      </w:r>
    </w:p>
    <w:p w14:paraId="08000000">
      <w:pPr>
        <w:widowControl w:val="1"/>
        <w:spacing w:after="0" w:before="0" w:line="240" w:lineRule="auto"/>
        <w:ind w:firstLine="709" w:left="0" w:right="0"/>
        <w:rPr>
          <w:rFonts w:ascii="Times New Roman" w:hAnsi="Times New Roman"/>
        </w:rPr>
      </w:pPr>
      <w:r>
        <w:rPr>
          <w:rFonts w:ascii="Times New Roman" w:hAnsi="Times New Roman"/>
        </w:rPr>
        <w:t>1.3. Целью выполнения работ по установке освещения является создание нормативных уровней освещенности наземных пешеходных переходов, автобусных остановок и автомобильной дороги, направленное на повышение безопасности дорожного движения и пропускной способности.</w:t>
      </w:r>
    </w:p>
    <w:p w14:paraId="09000000">
      <w:pPr>
        <w:widowControl w:val="1"/>
        <w:spacing w:after="0" w:before="0" w:line="240" w:lineRule="auto"/>
        <w:ind w:firstLine="709" w:left="0" w:right="0"/>
        <w:rPr>
          <w:rFonts w:ascii="Times New Roman" w:hAnsi="Times New Roman"/>
        </w:rPr>
      </w:pPr>
      <w:r>
        <w:rPr>
          <w:rFonts w:ascii="Times New Roman" w:hAnsi="Times New Roman"/>
        </w:rPr>
        <w:t>1.4. Работы по установке освещения производятся на основании утвержденного Заказчиком проекта производства работ с календарным графиком, ведомости объемов работ и технического задания. Проект производства работ предоставляется Подрядчиком Заказчику после заключения государственного контракта до начала производства работ.</w:t>
      </w:r>
    </w:p>
    <w:p w14:paraId="0A000000">
      <w:pPr>
        <w:widowControl w:val="1"/>
        <w:spacing w:after="0" w:before="0" w:line="240" w:lineRule="auto"/>
        <w:ind w:firstLine="709" w:left="0" w:right="0"/>
        <w:rPr>
          <w:rFonts w:ascii="Times New Roman" w:hAnsi="Times New Roman"/>
        </w:rPr>
      </w:pPr>
      <w:r>
        <w:rPr>
          <w:rFonts w:ascii="Times New Roman" w:hAnsi="Times New Roman"/>
        </w:rPr>
        <w:t>1.5. В ходе выполнения работ Подрядчик должен самостоятельно выполнить необходимые для выполнения задания дополнительные работы по расчету освещенности, несущей способности фундаментов опор и параметров заземляющих устройств. Сечения проводников линий, подбор оборудования, определение схемы его расстановки и т.п. согласовываются Заказчиком.</w:t>
      </w:r>
    </w:p>
    <w:p w14:paraId="0B000000">
      <w:pPr>
        <w:widowControl w:val="1"/>
        <w:spacing w:after="0" w:before="0" w:line="240" w:lineRule="auto"/>
        <w:ind w:firstLine="709" w:left="0" w:right="0"/>
        <w:rPr>
          <w:rFonts w:ascii="Times New Roman" w:hAnsi="Times New Roman"/>
        </w:rPr>
      </w:pPr>
      <w:r>
        <w:rPr>
          <w:rFonts w:ascii="Times New Roman" w:hAnsi="Times New Roman"/>
        </w:rPr>
        <w:t>1.6. В случае необходимости проведения работ в охранных зонах коммуникаций, согласовать их с владельцами в установленном порядке.</w:t>
      </w:r>
    </w:p>
    <w:p w14:paraId="0C000000">
      <w:pPr>
        <w:widowControl w:val="1"/>
        <w:spacing w:after="0" w:before="0" w:line="240" w:lineRule="auto"/>
        <w:ind w:firstLine="709" w:left="0" w:right="0"/>
        <w:rPr>
          <w:rFonts w:ascii="Times New Roman" w:hAnsi="Times New Roman"/>
        </w:rPr>
      </w:pPr>
      <w:r>
        <w:rPr>
          <w:rFonts w:ascii="Times New Roman" w:hAnsi="Times New Roman"/>
        </w:rPr>
        <w:t>1.7. В составе ПНР на утверждение Заказчику должны быть предоставлены по каждой линии стационарного электроосвещения следующие документы:</w:t>
      </w:r>
    </w:p>
    <w:p w14:paraId="0D000000">
      <w:pPr>
        <w:widowControl w:val="1"/>
        <w:spacing w:after="0" w:before="0" w:line="240" w:lineRule="auto"/>
        <w:ind w:firstLine="709" w:left="0" w:right="0"/>
        <w:rPr>
          <w:rFonts w:ascii="Times New Roman" w:hAnsi="Times New Roman"/>
        </w:rPr>
      </w:pPr>
      <w:r>
        <w:rPr>
          <w:rFonts w:ascii="Times New Roman" w:hAnsi="Times New Roman"/>
        </w:rPr>
        <w:t>- рабочие схемы расстановки оборудования;</w:t>
      </w:r>
    </w:p>
    <w:p w14:paraId="0E000000">
      <w:pPr>
        <w:widowControl w:val="1"/>
        <w:spacing w:after="0" w:before="0" w:line="240" w:lineRule="auto"/>
        <w:ind w:firstLine="709" w:left="0" w:right="0"/>
        <w:rPr>
          <w:rFonts w:ascii="Times New Roman" w:hAnsi="Times New Roman"/>
        </w:rPr>
      </w:pPr>
      <w:r>
        <w:rPr>
          <w:rFonts w:ascii="Times New Roman" w:hAnsi="Times New Roman"/>
        </w:rPr>
        <w:t>- чертежи опор и закладных деталей фундаментов с размещенным на них оборудованием;</w:t>
      </w:r>
    </w:p>
    <w:p w14:paraId="0F000000">
      <w:pPr>
        <w:widowControl w:val="1"/>
        <w:spacing w:after="0" w:before="0" w:line="240" w:lineRule="auto"/>
        <w:ind w:firstLine="709" w:left="0" w:right="0"/>
        <w:rPr>
          <w:rFonts w:ascii="Times New Roman" w:hAnsi="Times New Roman"/>
        </w:rPr>
      </w:pPr>
      <w:r>
        <w:rPr>
          <w:rFonts w:ascii="Times New Roman" w:hAnsi="Times New Roman"/>
        </w:rPr>
        <w:t>- спецификация оборудования с описанием технических характеристик;</w:t>
      </w:r>
    </w:p>
    <w:p w14:paraId="10000000">
      <w:pPr>
        <w:widowControl w:val="1"/>
        <w:spacing w:after="0" w:before="0" w:line="240" w:lineRule="auto"/>
        <w:ind w:firstLine="709" w:left="0" w:right="0"/>
        <w:rPr>
          <w:rFonts w:ascii="Times New Roman" w:hAnsi="Times New Roman"/>
        </w:rPr>
      </w:pPr>
      <w:r>
        <w:rPr>
          <w:rFonts w:ascii="Times New Roman" w:hAnsi="Times New Roman"/>
        </w:rPr>
        <w:t>- расчет ветровой и гололедной нагрузок;</w:t>
      </w:r>
    </w:p>
    <w:p w14:paraId="11000000">
      <w:pPr>
        <w:widowControl w:val="1"/>
        <w:spacing w:after="0" w:before="0" w:line="240" w:lineRule="auto"/>
        <w:ind w:firstLine="709" w:left="0" w:right="0"/>
        <w:rPr>
          <w:rFonts w:ascii="Times New Roman" w:hAnsi="Times New Roman"/>
        </w:rPr>
      </w:pPr>
      <w:r>
        <w:rPr>
          <w:rFonts w:ascii="Times New Roman" w:hAnsi="Times New Roman"/>
        </w:rPr>
        <w:t>- расчёт несущей способности фундаментов опор;</w:t>
      </w:r>
    </w:p>
    <w:p w14:paraId="12000000">
      <w:pPr>
        <w:widowControl w:val="1"/>
        <w:spacing w:after="0" w:before="0" w:line="240" w:lineRule="auto"/>
        <w:ind w:firstLine="709" w:left="0" w:right="0"/>
        <w:rPr>
          <w:rFonts w:ascii="Times New Roman" w:hAnsi="Times New Roman"/>
        </w:rPr>
      </w:pPr>
      <w:r>
        <w:rPr>
          <w:rFonts w:ascii="Times New Roman" w:hAnsi="Times New Roman"/>
        </w:rPr>
        <w:t>- обоснование параметров заземляющих устройств;</w:t>
      </w:r>
    </w:p>
    <w:p w14:paraId="13000000">
      <w:pPr>
        <w:widowControl w:val="1"/>
        <w:spacing w:after="0" w:before="0" w:line="240" w:lineRule="auto"/>
        <w:ind w:firstLine="709" w:left="0" w:right="0"/>
        <w:rPr>
          <w:rFonts w:ascii="Times New Roman" w:hAnsi="Times New Roman"/>
        </w:rPr>
      </w:pPr>
      <w:r>
        <w:rPr>
          <w:rFonts w:ascii="Times New Roman" w:hAnsi="Times New Roman"/>
        </w:rPr>
        <w:t>- поперечные профили прокладки кабельных линий и установки опор освещения;</w:t>
      </w:r>
    </w:p>
    <w:p w14:paraId="14000000">
      <w:pPr>
        <w:widowControl w:val="1"/>
        <w:spacing w:after="0" w:before="0" w:line="240" w:lineRule="auto"/>
        <w:ind w:firstLine="709" w:left="0" w:right="0"/>
        <w:rPr>
          <w:rFonts w:ascii="Times New Roman" w:hAnsi="Times New Roman"/>
        </w:rPr>
      </w:pPr>
      <w:r>
        <w:rPr>
          <w:rFonts w:ascii="Times New Roman" w:hAnsi="Times New Roman"/>
        </w:rPr>
        <w:t>- светотехнический расчет;</w:t>
      </w:r>
    </w:p>
    <w:p w14:paraId="15000000">
      <w:pPr>
        <w:widowControl w:val="1"/>
        <w:spacing w:after="0" w:before="0" w:line="240" w:lineRule="auto"/>
        <w:ind w:firstLine="709" w:left="0" w:right="0"/>
        <w:rPr>
          <w:rFonts w:ascii="Times New Roman" w:hAnsi="Times New Roman"/>
        </w:rPr>
      </w:pPr>
      <w:r>
        <w:rPr>
          <w:rFonts w:ascii="Times New Roman" w:hAnsi="Times New Roman"/>
        </w:rPr>
        <w:t>- схемы организации дорожного движения в местах производства работ;</w:t>
      </w:r>
    </w:p>
    <w:p w14:paraId="16000000">
      <w:pPr>
        <w:widowControl w:val="1"/>
        <w:spacing w:after="0" w:before="0" w:line="240" w:lineRule="auto"/>
        <w:ind w:firstLine="709" w:left="0" w:right="0"/>
        <w:rPr>
          <w:rFonts w:ascii="Times New Roman" w:hAnsi="Times New Roman"/>
        </w:rPr>
      </w:pPr>
      <w:r>
        <w:rPr>
          <w:rFonts w:ascii="Times New Roman" w:hAnsi="Times New Roman"/>
        </w:rPr>
        <w:t>- мероприятия по защите окружающей среды;</w:t>
      </w:r>
    </w:p>
    <w:p w14:paraId="17000000">
      <w:pPr>
        <w:widowControl w:val="1"/>
        <w:spacing w:after="0" w:before="0" w:line="240" w:lineRule="auto"/>
        <w:ind w:firstLine="709" w:left="0" w:right="0"/>
        <w:rPr>
          <w:rFonts w:ascii="Times New Roman" w:hAnsi="Times New Roman"/>
        </w:rPr>
      </w:pPr>
      <w:r>
        <w:rPr>
          <w:rFonts w:ascii="Times New Roman" w:hAnsi="Times New Roman"/>
        </w:rPr>
        <w:t>- мероприятия по технике безопасности при производстве работ в электроустановках, работах с грузоподъемными механизмами и в охранных зонах коммуникаций сторонних организаций;</w:t>
      </w:r>
    </w:p>
    <w:p w14:paraId="18000000">
      <w:pPr>
        <w:widowControl w:val="1"/>
        <w:spacing w:after="0" w:before="0" w:line="240" w:lineRule="auto"/>
        <w:ind w:firstLine="709" w:left="0" w:right="0"/>
        <w:rPr>
          <w:rFonts w:ascii="Times New Roman" w:hAnsi="Times New Roman"/>
        </w:rPr>
      </w:pPr>
      <w:r>
        <w:rPr>
          <w:rFonts w:ascii="Times New Roman" w:hAnsi="Times New Roman"/>
        </w:rPr>
        <w:t>- технологические карты на выполняемые виды работ.</w:t>
      </w:r>
    </w:p>
    <w:p w14:paraId="19000000">
      <w:pPr>
        <w:widowControl w:val="1"/>
        <w:spacing w:after="0" w:before="0" w:line="240" w:lineRule="auto"/>
        <w:ind w:firstLine="709" w:left="0" w:right="0"/>
        <w:rPr>
          <w:rFonts w:ascii="Times New Roman" w:hAnsi="Times New Roman"/>
        </w:rPr>
      </w:pPr>
      <w:r>
        <w:rPr>
          <w:rFonts w:ascii="Times New Roman" w:hAnsi="Times New Roman"/>
        </w:rPr>
        <w:t>1.8. По завершении работ Подрядчик, в соответствии с требованиями ПТЭЭП (правилами технической эксплуатации электроустановок потребителей), должен предоставить Заказчику акты фактических замеров освещенности согласно ГОСТ 24940-2016, а также протоколы электротехнической лаборатории по испытаниям сетей и оборудования.</w:t>
      </w:r>
    </w:p>
    <w:p w14:paraId="1A000000">
      <w:pPr>
        <w:widowControl w:val="1"/>
        <w:spacing w:after="0" w:before="0" w:line="240" w:lineRule="auto"/>
        <w:ind w:firstLine="709" w:left="0" w:right="0"/>
        <w:rPr>
          <w:rFonts w:ascii="Times New Roman" w:hAnsi="Times New Roman"/>
        </w:rPr>
      </w:pPr>
      <w:r>
        <w:rPr>
          <w:rFonts w:ascii="Times New Roman" w:hAnsi="Times New Roman"/>
        </w:rPr>
        <w:t>1.9. Все используемые материалы и применяемое оборудование должны соответствовать действующим нормативным актам. Входной контроль качества используемых оборудования и материалов осуществляет Подрядчик. Заказчику предоставляются документы, подтверждающие качество примененных оборудования и материалов.</w:t>
      </w:r>
    </w:p>
    <w:p w14:paraId="1B000000">
      <w:pPr>
        <w:widowControl w:val="1"/>
        <w:spacing w:after="0" w:before="0" w:line="240" w:lineRule="auto"/>
        <w:ind w:firstLine="709" w:left="0" w:right="0"/>
        <w:rPr>
          <w:rFonts w:ascii="Times New Roman" w:hAnsi="Times New Roman"/>
        </w:rPr>
      </w:pPr>
      <w:r>
        <w:rPr>
          <w:rFonts w:ascii="Times New Roman" w:hAnsi="Times New Roman"/>
        </w:rPr>
        <w:t>1.10. Скрытые виды работ подтверждаются актами на скрытые работы и актами монтажа ответственных конструкций.</w:t>
      </w:r>
    </w:p>
    <w:p w14:paraId="1C000000">
      <w:pPr>
        <w:widowControl w:val="1"/>
        <w:spacing w:after="0" w:before="0" w:line="240" w:lineRule="auto"/>
        <w:ind w:firstLine="709" w:left="0" w:right="0"/>
        <w:rPr>
          <w:rFonts w:ascii="Times New Roman" w:hAnsi="Times New Roman"/>
        </w:rPr>
      </w:pPr>
      <w:r>
        <w:rPr>
          <w:rFonts w:ascii="Times New Roman" w:hAnsi="Times New Roman"/>
        </w:rPr>
        <w:t>1.11. Электромонтажные работы подтверждаются актами приёма-сдачи электромонтажных работ, согласно И1.13-07 «Инструкция по оформлению приемосдаточной документации по электромонтажным работам».</w:t>
      </w:r>
    </w:p>
    <w:p w14:paraId="1D000000">
      <w:pPr>
        <w:widowControl w:val="1"/>
        <w:spacing w:after="0" w:before="0" w:line="240" w:lineRule="auto"/>
        <w:ind w:firstLine="709" w:left="0" w:right="0"/>
        <w:rPr>
          <w:rFonts w:ascii="Times New Roman" w:hAnsi="Times New Roman"/>
        </w:rPr>
      </w:pPr>
      <w:r>
        <w:rPr>
          <w:rFonts w:ascii="Times New Roman" w:hAnsi="Times New Roman"/>
        </w:rPr>
        <w:t>1.12. При сдаче выполненных работ Подрядчик должен передать Заказчику исполнительную документацию по каждому адресу установки оборудования:</w:t>
      </w:r>
    </w:p>
    <w:p w14:paraId="1E000000">
      <w:pPr>
        <w:widowControl w:val="1"/>
        <w:spacing w:after="0" w:before="0" w:line="240" w:lineRule="auto"/>
        <w:ind w:firstLine="709" w:left="0" w:right="0"/>
        <w:rPr>
          <w:rFonts w:ascii="Times New Roman" w:hAnsi="Times New Roman"/>
        </w:rPr>
      </w:pPr>
      <w:r>
        <w:rPr>
          <w:rFonts w:ascii="Times New Roman" w:hAnsi="Times New Roman"/>
        </w:rPr>
        <w:t>- подписанные акты скрытых работ и монтажа ответственных конструкций;</w:t>
      </w:r>
    </w:p>
    <w:p w14:paraId="1F000000">
      <w:pPr>
        <w:widowControl w:val="1"/>
        <w:spacing w:after="0" w:before="0" w:line="240" w:lineRule="auto"/>
        <w:ind w:firstLine="709" w:left="0" w:right="0"/>
        <w:rPr>
          <w:rFonts w:ascii="Times New Roman" w:hAnsi="Times New Roman"/>
        </w:rPr>
      </w:pPr>
      <w:r>
        <w:rPr>
          <w:rFonts w:ascii="Times New Roman" w:hAnsi="Times New Roman"/>
        </w:rPr>
        <w:t>- исполнительную съемку участка дороги с фактическим размещением осветительного оборудования (на бумаге формата А4 или АЗ, а также в цифровых форматах pdf);</w:t>
      </w:r>
    </w:p>
    <w:p w14:paraId="20000000">
      <w:pPr>
        <w:widowControl w:val="1"/>
        <w:spacing w:after="0" w:before="0" w:line="240" w:lineRule="auto"/>
        <w:ind w:firstLine="709" w:left="0" w:right="0"/>
        <w:rPr>
          <w:rFonts w:ascii="Times New Roman" w:hAnsi="Times New Roman"/>
        </w:rPr>
      </w:pPr>
      <w:r>
        <w:rPr>
          <w:rFonts w:ascii="Times New Roman" w:hAnsi="Times New Roman"/>
        </w:rPr>
        <w:t>- акты по электромонтажным работам;</w:t>
      </w:r>
    </w:p>
    <w:p w14:paraId="21000000">
      <w:pPr>
        <w:widowControl w:val="1"/>
        <w:spacing w:after="0" w:before="0" w:line="240" w:lineRule="auto"/>
        <w:ind w:firstLine="709" w:left="0" w:right="0"/>
        <w:rPr>
          <w:rFonts w:ascii="Times New Roman" w:hAnsi="Times New Roman"/>
        </w:rPr>
      </w:pPr>
      <w:r>
        <w:rPr>
          <w:rFonts w:ascii="Times New Roman" w:hAnsi="Times New Roman"/>
        </w:rPr>
        <w:t>- паспорта и сертификаты на оборудование и материалы;</w:t>
      </w:r>
    </w:p>
    <w:p w14:paraId="22000000">
      <w:pPr>
        <w:widowControl w:val="1"/>
        <w:spacing w:after="0" w:before="0" w:line="240" w:lineRule="auto"/>
        <w:ind w:firstLine="709" w:left="0" w:right="0"/>
        <w:rPr>
          <w:rFonts w:ascii="Times New Roman" w:hAnsi="Times New Roman"/>
        </w:rPr>
      </w:pPr>
      <w:r>
        <w:rPr>
          <w:rFonts w:ascii="Times New Roman" w:hAnsi="Times New Roman"/>
        </w:rPr>
        <w:t>- гарантийные обязательства (гарантийные паспорта) и реквизиты Подрядчика и изготовителей оборудования;</w:t>
      </w:r>
    </w:p>
    <w:p w14:paraId="23000000">
      <w:pPr>
        <w:widowControl w:val="1"/>
        <w:spacing w:after="0" w:before="0" w:line="240" w:lineRule="auto"/>
        <w:ind w:firstLine="709" w:left="0" w:right="0"/>
        <w:rPr>
          <w:rFonts w:ascii="Times New Roman" w:hAnsi="Times New Roman"/>
        </w:rPr>
      </w:pPr>
      <w:r>
        <w:rPr>
          <w:rFonts w:ascii="Times New Roman" w:hAnsi="Times New Roman"/>
        </w:rPr>
        <w:t>- протоколы электротехнической лаборатории по испытаниям электроустановок в соответствии с действующими нормами;</w:t>
      </w:r>
    </w:p>
    <w:p w14:paraId="24000000">
      <w:pPr>
        <w:widowControl w:val="1"/>
        <w:spacing w:after="0" w:before="0" w:line="240" w:lineRule="auto"/>
        <w:ind w:firstLine="709" w:left="0" w:right="0"/>
        <w:rPr>
          <w:rFonts w:ascii="Times New Roman" w:hAnsi="Times New Roman"/>
        </w:rPr>
      </w:pPr>
      <w:r>
        <w:rPr>
          <w:rFonts w:ascii="Times New Roman" w:hAnsi="Times New Roman"/>
        </w:rPr>
        <w:t>- протоколы замера фактической освещенности автомобильной дороги;</w:t>
      </w:r>
    </w:p>
    <w:p w14:paraId="25000000">
      <w:pPr>
        <w:widowControl w:val="1"/>
        <w:spacing w:after="0" w:before="0" w:line="240" w:lineRule="auto"/>
        <w:ind w:firstLine="709" w:left="0" w:right="0"/>
        <w:rPr>
          <w:rFonts w:ascii="Times New Roman" w:hAnsi="Times New Roman"/>
        </w:rPr>
      </w:pPr>
      <w:r>
        <w:rPr>
          <w:rFonts w:ascii="Times New Roman" w:hAnsi="Times New Roman"/>
        </w:rPr>
        <w:t>-чертеж опор, металлоконструкций, фундаментной части опор (на бумаге формата А4 или АЗ, а также в цифровых форматах pdf).</w:t>
      </w:r>
    </w:p>
    <w:p w14:paraId="26000000">
      <w:pPr>
        <w:widowControl w:val="1"/>
        <w:spacing w:after="0" w:before="0" w:line="240" w:lineRule="auto"/>
        <w:ind w:firstLine="709" w:left="0" w:right="0"/>
        <w:rPr>
          <w:rFonts w:ascii="Times New Roman" w:hAnsi="Times New Roman"/>
        </w:rPr>
      </w:pPr>
      <w:r>
        <w:rPr>
          <w:rFonts w:ascii="Times New Roman" w:hAnsi="Times New Roman"/>
        </w:rPr>
        <w:t>1.13. Контроль качества выполнения работ осуществляется инженерно-техническим персоналом Подрядчика, а также сотрудниками Заказчика.</w:t>
      </w:r>
    </w:p>
    <w:p w14:paraId="27000000">
      <w:pPr>
        <w:widowControl w:val="1"/>
        <w:spacing w:after="0" w:before="0" w:line="240" w:lineRule="auto"/>
        <w:ind w:firstLine="709" w:left="0" w:right="0"/>
        <w:rPr>
          <w:rFonts w:ascii="Times New Roman" w:hAnsi="Times New Roman"/>
        </w:rPr>
      </w:pPr>
      <w:r>
        <w:rPr>
          <w:rFonts w:ascii="Times New Roman" w:hAnsi="Times New Roman"/>
        </w:rPr>
        <w:t>1.14. Гарантийный срок на электромонтажные работы, произведенные Подрядчиком, составляет 36 месяцев. Гарантия на примененные оборудование и материалы предоставляется на время не менее гарантийного срока производителя, если же он не определен - 36 месяцев со дня начала эксплуатации.</w:t>
      </w:r>
    </w:p>
    <w:p w14:paraId="28000000">
      <w:pPr>
        <w:widowControl w:val="1"/>
        <w:spacing w:after="0" w:before="0" w:line="240" w:lineRule="auto"/>
        <w:ind w:firstLine="0" w:left="0" w:right="0"/>
        <w:jc w:val="center"/>
        <w:rPr>
          <w:rFonts w:ascii="Times New Roman" w:hAnsi="Times New Roman"/>
        </w:rPr>
      </w:pPr>
      <w:r>
        <w:rPr>
          <w:rFonts w:ascii="Times New Roman" w:hAnsi="Times New Roman"/>
          <w:b w:val="1"/>
        </w:rPr>
        <w:t>2. Сроки выполнения работ</w:t>
      </w:r>
    </w:p>
    <w:p w14:paraId="29000000">
      <w:pPr>
        <w:widowControl w:val="1"/>
        <w:spacing w:after="0" w:before="0" w:line="240" w:lineRule="auto"/>
        <w:ind w:firstLine="0" w:left="0" w:right="0"/>
        <w:rPr>
          <w:rFonts w:ascii="Times New Roman" w:hAnsi="Times New Roman"/>
        </w:rPr>
      </w:pPr>
      <w:r>
        <w:rPr>
          <w:rFonts w:ascii="Times New Roman" w:hAnsi="Times New Roman"/>
        </w:rPr>
        <w:t>- начало- с момента заключения контракта; окончание- 15 ноября 2028 года.</w:t>
      </w:r>
    </w:p>
    <w:p w14:paraId="2A000000">
      <w:pPr>
        <w:widowControl w:val="1"/>
        <w:spacing w:after="0" w:before="0" w:line="240" w:lineRule="auto"/>
        <w:ind w:firstLine="0" w:left="0" w:right="0"/>
        <w:rPr>
          <w:rFonts w:ascii="Times New Roman" w:hAnsi="Times New Roman"/>
        </w:rPr>
      </w:pPr>
    </w:p>
    <w:p w14:paraId="2B000000">
      <w:pPr>
        <w:widowControl w:val="1"/>
        <w:spacing w:after="0" w:before="0" w:line="240" w:lineRule="auto"/>
        <w:ind w:firstLine="0" w:left="0" w:right="0"/>
        <w:jc w:val="center"/>
        <w:rPr>
          <w:rFonts w:ascii="Times New Roman" w:hAnsi="Times New Roman"/>
        </w:rPr>
      </w:pPr>
      <w:r>
        <w:rPr>
          <w:rFonts w:ascii="Times New Roman" w:hAnsi="Times New Roman"/>
          <w:b w:val="1"/>
        </w:rPr>
        <w:t>3. Источник финансирование</w:t>
      </w:r>
    </w:p>
    <w:p w14:paraId="2C000000">
      <w:pPr>
        <w:widowControl w:val="1"/>
        <w:spacing w:after="0" w:before="0" w:line="240" w:lineRule="auto"/>
        <w:ind w:firstLine="0" w:left="0" w:right="0"/>
        <w:rPr>
          <w:rFonts w:ascii="Times New Roman" w:hAnsi="Times New Roman"/>
        </w:rPr>
      </w:pPr>
      <w:r>
        <w:rPr>
          <w:rFonts w:ascii="Times New Roman" w:hAnsi="Times New Roman"/>
        </w:rPr>
        <w:t>- федеральный бюджет Российской Федерации.</w:t>
      </w:r>
    </w:p>
    <w:p w14:paraId="2D000000">
      <w:pPr>
        <w:widowControl w:val="1"/>
        <w:spacing w:after="0" w:before="0" w:line="240" w:lineRule="auto"/>
        <w:ind w:firstLine="0" w:left="0" w:right="0"/>
        <w:rPr>
          <w:rFonts w:ascii="Times New Roman" w:hAnsi="Times New Roman"/>
        </w:rPr>
      </w:pPr>
    </w:p>
    <w:p w14:paraId="2E000000">
      <w:pPr>
        <w:widowControl w:val="1"/>
        <w:spacing w:after="0" w:before="0" w:line="240" w:lineRule="auto"/>
        <w:ind w:firstLine="0" w:left="0" w:right="0"/>
        <w:jc w:val="center"/>
        <w:rPr>
          <w:rFonts w:ascii="Times New Roman" w:hAnsi="Times New Roman"/>
        </w:rPr>
      </w:pPr>
      <w:r>
        <w:rPr>
          <w:rFonts w:ascii="Times New Roman" w:hAnsi="Times New Roman"/>
          <w:b w:val="1"/>
        </w:rPr>
        <w:t>4. Технические требования</w:t>
      </w:r>
    </w:p>
    <w:p w14:paraId="2F000000">
      <w:pPr>
        <w:widowControl w:val="1"/>
        <w:spacing w:after="0" w:before="0" w:line="240" w:lineRule="auto"/>
        <w:ind w:firstLine="709" w:left="0" w:right="0"/>
        <w:rPr>
          <w:rFonts w:ascii="Times New Roman" w:hAnsi="Times New Roman"/>
        </w:rPr>
      </w:pPr>
      <w:r>
        <w:rPr>
          <w:rFonts w:ascii="Times New Roman" w:hAnsi="Times New Roman"/>
        </w:rPr>
        <w:t>4.1. Уровень освещенности автомобильной дороги, пешеходных переходов в одном уровне с проезжей частью и автобусных остановок принять согласно категории автомобильной дороги и действующих нормативных актов.</w:t>
      </w:r>
    </w:p>
    <w:p w14:paraId="30000000">
      <w:pPr>
        <w:widowControl w:val="1"/>
        <w:spacing w:after="0" w:before="0" w:line="240" w:lineRule="auto"/>
        <w:ind w:firstLine="709" w:left="0" w:right="0"/>
        <w:rPr>
          <w:rFonts w:ascii="Times New Roman" w:hAnsi="Times New Roman"/>
        </w:rPr>
      </w:pPr>
      <w:r>
        <w:rPr>
          <w:rFonts w:ascii="Times New Roman" w:hAnsi="Times New Roman"/>
        </w:rPr>
        <w:t>4.2. Размещение линии освещения и светового оборудования - по основному ходу, справа/слева автомобильной дороги. У заездных карманов, на съездах и локальных пересечениях и примыканиях местоположение опор определить согласно условиям обеспечения заданного уровня освещенности и безопасности движения.</w:t>
      </w:r>
    </w:p>
    <w:p w14:paraId="31000000">
      <w:pPr>
        <w:widowControl w:val="1"/>
        <w:spacing w:after="0" w:before="0" w:line="240" w:lineRule="auto"/>
        <w:ind w:firstLine="709" w:left="0" w:right="0"/>
        <w:rPr>
          <w:rFonts w:ascii="Times New Roman" w:hAnsi="Times New Roman"/>
        </w:rPr>
      </w:pPr>
      <w:r>
        <w:rPr>
          <w:rFonts w:ascii="Times New Roman" w:hAnsi="Times New Roman"/>
        </w:rPr>
        <w:t>4.3. Исполнение линии освещения - воздушное самонесущим изолированным проводом СИП-2, либо кабельное с применением 4-х жильного кабеля, сечением, согласованным Заказчиком.</w:t>
      </w:r>
    </w:p>
    <w:p w14:paraId="32000000">
      <w:pPr>
        <w:widowControl w:val="1"/>
        <w:spacing w:after="0" w:before="0" w:line="240" w:lineRule="auto"/>
        <w:ind w:firstLine="709" w:left="0" w:right="0"/>
        <w:rPr>
          <w:rFonts w:ascii="Times New Roman" w:hAnsi="Times New Roman"/>
        </w:rPr>
      </w:pPr>
      <w:r>
        <w:rPr>
          <w:rFonts w:ascii="Times New Roman" w:hAnsi="Times New Roman"/>
        </w:rPr>
        <w:t>4.4.</w:t>
      </w:r>
      <w:r>
        <w:rPr>
          <w:rFonts w:ascii="Times New Roman" w:hAnsi="Times New Roman"/>
        </w:rPr>
        <w:t xml:space="preserve"> </w:t>
      </w:r>
      <w:r>
        <w:rPr>
          <w:rFonts w:ascii="Times New Roman" w:hAnsi="Times New Roman"/>
          <w:b w:val="1"/>
        </w:rPr>
        <w:t>Тип опор освещения:</w:t>
      </w:r>
      <w:r>
        <w:rPr>
          <w:rFonts w:ascii="Times New Roman" w:hAnsi="Times New Roman"/>
        </w:rPr>
        <w:t xml:space="preserve"> </w:t>
      </w:r>
      <w:r>
        <w:rPr>
          <w:rFonts w:ascii="Times New Roman" w:hAnsi="Times New Roman"/>
        </w:rPr>
        <w:t>опора наружного освещения металлическая</w:t>
      </w:r>
    </w:p>
    <w:p w14:paraId="33000000">
      <w:pPr>
        <w:widowControl w:val="1"/>
        <w:spacing w:after="0" w:before="0" w:line="240" w:lineRule="auto"/>
        <w:ind w:firstLine="709" w:left="0" w:right="0"/>
        <w:rPr>
          <w:rFonts w:ascii="Times New Roman" w:hAnsi="Times New Roman"/>
        </w:rPr>
      </w:pPr>
      <w:r>
        <w:rPr>
          <w:rFonts w:ascii="Times New Roman" w:hAnsi="Times New Roman"/>
        </w:rPr>
        <w:t>СФГ-1000-10,0-01-ц (МСО-ФГ-10-10-01-ц ГОСТ 32947-2014)</w:t>
      </w:r>
    </w:p>
    <w:p w14:paraId="34000000">
      <w:pPr>
        <w:widowControl w:val="1"/>
        <w:spacing w:after="0" w:before="0" w:line="240" w:lineRule="auto"/>
        <w:ind w:firstLine="709" w:left="0" w:right="0"/>
        <w:rPr>
          <w:rFonts w:ascii="Times New Roman" w:hAnsi="Times New Roman"/>
        </w:rPr>
      </w:pPr>
      <w:r>
        <w:rPr>
          <w:rFonts w:ascii="Times New Roman" w:hAnsi="Times New Roman"/>
        </w:rPr>
        <w:t>Вид металлоконструкции: опора;</w:t>
      </w:r>
    </w:p>
    <w:p w14:paraId="35000000">
      <w:pPr>
        <w:widowControl w:val="1"/>
        <w:spacing w:after="0" w:before="0" w:line="240" w:lineRule="auto"/>
        <w:ind w:firstLine="709" w:left="0" w:right="0"/>
        <w:rPr>
          <w:rFonts w:ascii="Times New Roman" w:hAnsi="Times New Roman"/>
        </w:rPr>
      </w:pPr>
      <w:r>
        <w:rPr>
          <w:rFonts w:ascii="Times New Roman" w:hAnsi="Times New Roman"/>
        </w:rPr>
        <w:t>Тип опоры: силовая (С);</w:t>
      </w:r>
    </w:p>
    <w:p w14:paraId="36000000">
      <w:pPr>
        <w:widowControl w:val="1"/>
        <w:spacing w:after="0" w:before="0" w:line="240" w:lineRule="auto"/>
        <w:ind w:firstLine="709" w:left="0" w:right="0"/>
        <w:rPr>
          <w:rFonts w:ascii="Times New Roman" w:hAnsi="Times New Roman"/>
        </w:rPr>
      </w:pPr>
      <w:r>
        <w:rPr>
          <w:rFonts w:ascii="Times New Roman" w:hAnsi="Times New Roman"/>
        </w:rPr>
        <w:t>Способ установки опоры: фланцевый (Ф);</w:t>
      </w:r>
    </w:p>
    <w:p w14:paraId="37000000">
      <w:pPr>
        <w:widowControl w:val="1"/>
        <w:spacing w:after="0" w:before="0" w:line="240" w:lineRule="auto"/>
        <w:ind w:firstLine="709" w:left="0" w:right="0"/>
        <w:rPr>
          <w:rFonts w:ascii="Times New Roman" w:hAnsi="Times New Roman"/>
        </w:rPr>
      </w:pPr>
      <w:r>
        <w:rPr>
          <w:rFonts w:ascii="Times New Roman" w:hAnsi="Times New Roman"/>
        </w:rPr>
        <w:t>Форма поперечного сечения опоры: граненая (Г);</w:t>
      </w:r>
    </w:p>
    <w:p w14:paraId="38000000">
      <w:pPr>
        <w:widowControl w:val="1"/>
        <w:spacing w:after="0" w:before="0" w:line="240" w:lineRule="auto"/>
        <w:ind w:firstLine="709" w:left="0" w:right="0"/>
        <w:rPr>
          <w:rFonts w:ascii="Times New Roman" w:hAnsi="Times New Roman"/>
        </w:rPr>
      </w:pPr>
      <w:r>
        <w:rPr>
          <w:rFonts w:ascii="Times New Roman" w:hAnsi="Times New Roman"/>
        </w:rPr>
        <w:t>Максимальное горизонтальное усилие в точке опоры на высоте 9 м: 1000 кг;</w:t>
      </w:r>
    </w:p>
    <w:p w14:paraId="39000000">
      <w:pPr>
        <w:widowControl w:val="1"/>
        <w:spacing w:after="0" w:before="0" w:line="240" w:lineRule="auto"/>
        <w:ind w:firstLine="709" w:left="0" w:right="0"/>
        <w:rPr>
          <w:rFonts w:ascii="Times New Roman" w:hAnsi="Times New Roman"/>
        </w:rPr>
      </w:pPr>
      <w:r>
        <w:rPr>
          <w:rFonts w:ascii="Times New Roman" w:hAnsi="Times New Roman"/>
        </w:rPr>
        <w:t>Высота опоры, м: 10;</w:t>
      </w:r>
    </w:p>
    <w:p w14:paraId="3A000000">
      <w:pPr>
        <w:widowControl w:val="1"/>
        <w:spacing w:after="0" w:before="0" w:line="240" w:lineRule="auto"/>
        <w:ind w:firstLine="709" w:left="0" w:right="0"/>
        <w:rPr>
          <w:rFonts w:ascii="Times New Roman" w:hAnsi="Times New Roman"/>
        </w:rPr>
      </w:pPr>
      <w:r>
        <w:rPr>
          <w:rFonts w:ascii="Times New Roman" w:hAnsi="Times New Roman"/>
        </w:rPr>
        <w:t>Вариант подвода кабеля: воздушный подвод к верхней части опоры (01);</w:t>
      </w:r>
    </w:p>
    <w:p w14:paraId="3B000000">
      <w:pPr>
        <w:widowControl w:val="1"/>
        <w:spacing w:after="0" w:before="0" w:line="240" w:lineRule="auto"/>
        <w:ind w:firstLine="709" w:left="0" w:right="0"/>
        <w:rPr>
          <w:rFonts w:ascii="Times New Roman" w:hAnsi="Times New Roman"/>
        </w:rPr>
      </w:pPr>
      <w:r>
        <w:rPr>
          <w:rFonts w:ascii="Times New Roman" w:hAnsi="Times New Roman"/>
        </w:rPr>
        <w:t>Покрытие опоры: опора имеет покрытие, нанесённое методом горячего цинкования в соответствии с ГОСТ 9.307-2021 «Покрытия цинковые горячие» от 60 мкм*;</w:t>
      </w:r>
    </w:p>
    <w:p w14:paraId="3C000000">
      <w:pPr>
        <w:widowControl w:val="1"/>
        <w:spacing w:after="0" w:before="0" w:line="240" w:lineRule="auto"/>
        <w:ind w:firstLine="709" w:left="0" w:right="0"/>
        <w:rPr>
          <w:rFonts w:ascii="Times New Roman" w:hAnsi="Times New Roman"/>
        </w:rPr>
      </w:pPr>
      <w:r>
        <w:rPr>
          <w:rFonts w:ascii="Times New Roman" w:hAnsi="Times New Roman"/>
        </w:rPr>
        <w:t>Верхний диаметр опоры: 130мм;</w:t>
      </w:r>
    </w:p>
    <w:p w14:paraId="3D000000">
      <w:pPr>
        <w:widowControl w:val="1"/>
        <w:spacing w:after="0" w:before="0" w:line="240" w:lineRule="auto"/>
        <w:ind w:firstLine="709" w:left="0" w:right="0"/>
        <w:rPr>
          <w:rFonts w:ascii="Times New Roman" w:hAnsi="Times New Roman"/>
        </w:rPr>
      </w:pPr>
      <w:r>
        <w:rPr>
          <w:rFonts w:ascii="Times New Roman" w:hAnsi="Times New Roman"/>
        </w:rPr>
        <w:t>Нижний диаметр опоры: 320мм;</w:t>
      </w:r>
    </w:p>
    <w:p w14:paraId="3E000000">
      <w:pPr>
        <w:widowControl w:val="1"/>
        <w:spacing w:after="0" w:before="0" w:line="240" w:lineRule="auto"/>
        <w:ind w:firstLine="709" w:left="0" w:right="0"/>
        <w:rPr>
          <w:rFonts w:ascii="Times New Roman" w:hAnsi="Times New Roman"/>
        </w:rPr>
      </w:pPr>
      <w:r>
        <w:rPr>
          <w:rFonts w:ascii="Times New Roman" w:hAnsi="Times New Roman"/>
        </w:rPr>
        <w:t>Толщина стенки опоры: 5мм;</w:t>
      </w:r>
    </w:p>
    <w:p w14:paraId="3F000000">
      <w:pPr>
        <w:widowControl w:val="1"/>
        <w:spacing w:after="0" w:before="0" w:line="240" w:lineRule="auto"/>
        <w:ind w:firstLine="709" w:left="0" w:right="0"/>
        <w:rPr>
          <w:rFonts w:ascii="Times New Roman" w:hAnsi="Times New Roman"/>
        </w:rPr>
      </w:pPr>
      <w:r>
        <w:rPr>
          <w:rFonts w:ascii="Times New Roman" w:hAnsi="Times New Roman"/>
        </w:rPr>
        <w:t>Диаметр фланца: 550мм;</w:t>
      </w:r>
    </w:p>
    <w:p w14:paraId="40000000">
      <w:pPr>
        <w:widowControl w:val="1"/>
        <w:spacing w:after="0" w:before="0" w:line="240" w:lineRule="auto"/>
        <w:ind w:firstLine="709" w:left="0" w:right="0"/>
        <w:rPr>
          <w:rFonts w:ascii="Times New Roman" w:hAnsi="Times New Roman"/>
        </w:rPr>
      </w:pPr>
      <w:r>
        <w:rPr>
          <w:rFonts w:ascii="Times New Roman" w:hAnsi="Times New Roman"/>
        </w:rPr>
        <w:t>Межцентровое расстояние: 440мм;</w:t>
      </w:r>
    </w:p>
    <w:p w14:paraId="41000000">
      <w:pPr>
        <w:widowControl w:val="1"/>
        <w:spacing w:after="0" w:before="0" w:line="240" w:lineRule="auto"/>
        <w:ind w:firstLine="709" w:left="0" w:right="0"/>
        <w:rPr>
          <w:rFonts w:ascii="Times New Roman" w:hAnsi="Times New Roman"/>
        </w:rPr>
      </w:pPr>
      <w:r>
        <w:rPr>
          <w:rFonts w:ascii="Times New Roman" w:hAnsi="Times New Roman"/>
        </w:rPr>
        <w:t>Количество отверстий во фланце: 12шт;</w:t>
      </w:r>
    </w:p>
    <w:p w14:paraId="42000000">
      <w:pPr>
        <w:widowControl w:val="1"/>
        <w:spacing w:after="0" w:before="0" w:line="240" w:lineRule="auto"/>
        <w:ind w:firstLine="709" w:left="0" w:right="0"/>
        <w:rPr>
          <w:rFonts w:ascii="Times New Roman" w:hAnsi="Times New Roman"/>
        </w:rPr>
      </w:pPr>
      <w:r>
        <w:rPr>
          <w:rFonts w:ascii="Times New Roman" w:hAnsi="Times New Roman"/>
        </w:rPr>
        <w:t>Диаметр отверстий под крепеж: 36мм;</w:t>
      </w:r>
    </w:p>
    <w:p w14:paraId="43000000">
      <w:pPr>
        <w:widowControl w:val="1"/>
        <w:spacing w:after="0" w:before="0" w:line="240" w:lineRule="auto"/>
        <w:ind w:firstLine="709" w:left="0" w:right="0"/>
        <w:rPr>
          <w:rFonts w:ascii="Times New Roman" w:hAnsi="Times New Roman"/>
        </w:rPr>
      </w:pPr>
      <w:r>
        <w:rPr>
          <w:rFonts w:ascii="Times New Roman" w:hAnsi="Times New Roman"/>
        </w:rPr>
        <w:t>Толщина фланца: 25мм;</w:t>
      </w:r>
    </w:p>
    <w:p w14:paraId="44000000">
      <w:pPr>
        <w:widowControl w:val="1"/>
        <w:spacing w:after="0" w:before="0" w:line="240" w:lineRule="auto"/>
        <w:ind w:firstLine="709" w:left="0" w:right="0"/>
        <w:rPr>
          <w:rFonts w:ascii="Times New Roman" w:hAnsi="Times New Roman"/>
        </w:rPr>
      </w:pPr>
      <w:r>
        <w:rPr>
          <w:rFonts w:ascii="Times New Roman" w:hAnsi="Times New Roman"/>
        </w:rPr>
        <w:t>Вес опоры: 394кг;</w:t>
      </w:r>
    </w:p>
    <w:p w14:paraId="45000000">
      <w:pPr>
        <w:widowControl w:val="1"/>
        <w:spacing w:after="0" w:before="0" w:line="240" w:lineRule="auto"/>
        <w:ind w:firstLine="709" w:left="0" w:right="0"/>
        <w:rPr>
          <w:rFonts w:ascii="Times New Roman" w:hAnsi="Times New Roman"/>
        </w:rPr>
      </w:pPr>
      <w:r>
        <w:rPr>
          <w:rFonts w:ascii="Times New Roman" w:hAnsi="Times New Roman"/>
        </w:rPr>
        <w:t>Наличие ревизионного лючка: нет;</w:t>
      </w:r>
    </w:p>
    <w:p w14:paraId="46000000">
      <w:pPr>
        <w:widowControl w:val="1"/>
        <w:spacing w:after="0" w:before="0" w:line="240" w:lineRule="auto"/>
        <w:ind w:firstLine="709" w:left="0" w:right="0"/>
        <w:rPr>
          <w:rFonts w:ascii="Times New Roman" w:hAnsi="Times New Roman"/>
        </w:rPr>
      </w:pPr>
      <w:r>
        <w:rPr>
          <w:rFonts w:ascii="Times New Roman" w:hAnsi="Times New Roman"/>
        </w:rPr>
        <w:t>Наличие элемента защитного заземления: да;</w:t>
      </w:r>
    </w:p>
    <w:p w14:paraId="47000000">
      <w:pPr>
        <w:widowControl w:val="1"/>
        <w:spacing w:after="0" w:before="0" w:line="240" w:lineRule="auto"/>
        <w:ind w:firstLine="709" w:left="0" w:right="0"/>
        <w:rPr>
          <w:rFonts w:ascii="Times New Roman" w:hAnsi="Times New Roman"/>
        </w:rPr>
      </w:pPr>
      <w:r>
        <w:rPr>
          <w:rFonts w:ascii="Times New Roman" w:hAnsi="Times New Roman"/>
        </w:rPr>
        <w:t>Наличие элементов для установки оборудования: нет;</w:t>
      </w:r>
    </w:p>
    <w:p w14:paraId="48000000">
      <w:pPr>
        <w:widowControl w:val="1"/>
        <w:spacing w:after="0" w:before="0" w:line="240" w:lineRule="auto"/>
        <w:ind w:firstLine="709" w:left="0" w:right="0"/>
        <w:rPr>
          <w:rFonts w:ascii="Times New Roman" w:hAnsi="Times New Roman"/>
        </w:rPr>
      </w:pPr>
      <w:r>
        <w:rPr>
          <w:rFonts w:ascii="Times New Roman" w:hAnsi="Times New Roman"/>
        </w:rPr>
        <w:t>Форма продольного сечения опоры: коническая;</w:t>
      </w:r>
    </w:p>
    <w:p w14:paraId="49000000">
      <w:pPr>
        <w:widowControl w:val="1"/>
        <w:spacing w:after="0" w:before="0" w:line="240" w:lineRule="auto"/>
        <w:ind w:firstLine="709" w:left="0" w:right="0"/>
        <w:rPr>
          <w:rFonts w:ascii="Times New Roman" w:hAnsi="Times New Roman"/>
        </w:rPr>
      </w:pPr>
      <w:r>
        <w:rPr>
          <w:rFonts w:ascii="Times New Roman" w:hAnsi="Times New Roman"/>
        </w:rPr>
        <w:t>Материал ствола опоры и фланца: сталь 09Г2С в соответствии с климатическим районом эксплуатации по СП.16.13330.2011 с учётом коэффициента запаса прочности;</w:t>
      </w:r>
    </w:p>
    <w:p w14:paraId="4A000000">
      <w:pPr>
        <w:widowControl w:val="1"/>
        <w:spacing w:after="0" w:before="0" w:line="240" w:lineRule="auto"/>
        <w:ind w:firstLine="709" w:left="0" w:right="0"/>
        <w:rPr>
          <w:rFonts w:ascii="Times New Roman" w:hAnsi="Times New Roman"/>
        </w:rPr>
      </w:pPr>
      <w:r>
        <w:rPr>
          <w:rFonts w:ascii="Times New Roman" w:hAnsi="Times New Roman"/>
        </w:rPr>
        <w:t xml:space="preserve">Комплектация к опорам: комплект крепежа М30 (болты, шпильки, гайки, шайбы); </w:t>
      </w:r>
    </w:p>
    <w:p w14:paraId="4B000000">
      <w:pPr>
        <w:widowControl w:val="1"/>
        <w:spacing w:after="0" w:before="0" w:line="240" w:lineRule="auto"/>
        <w:ind w:firstLine="709" w:left="0" w:right="0"/>
        <w:rPr>
          <w:rFonts w:ascii="Times New Roman" w:hAnsi="Times New Roman"/>
        </w:rPr>
      </w:pPr>
      <w:r>
        <w:rPr>
          <w:rFonts w:ascii="Times New Roman" w:hAnsi="Times New Roman"/>
        </w:rPr>
        <w:t>4.5.</w:t>
      </w:r>
      <w:r>
        <w:rPr>
          <w:rFonts w:ascii="Times New Roman" w:hAnsi="Times New Roman"/>
        </w:rPr>
        <w:t xml:space="preserve"> </w:t>
      </w:r>
      <w:r>
        <w:rPr>
          <w:rFonts w:ascii="Times New Roman" w:hAnsi="Times New Roman"/>
          <w:b w:val="1"/>
        </w:rPr>
        <w:t>Тип кронштейнов:</w:t>
      </w:r>
      <w:r>
        <w:rPr>
          <w:rFonts w:ascii="Times New Roman" w:hAnsi="Times New Roman"/>
        </w:rPr>
        <w:t xml:space="preserve"> </w:t>
      </w:r>
      <w:r>
        <w:rPr>
          <w:rFonts w:ascii="Times New Roman" w:hAnsi="Times New Roman"/>
        </w:rPr>
        <w:t>Кронштейн 1.К1-2,5-2,0-Ф6-ц,</w:t>
      </w:r>
    </w:p>
    <w:p w14:paraId="4C000000">
      <w:pPr>
        <w:widowControl w:val="1"/>
        <w:spacing w:after="0" w:before="0" w:line="240" w:lineRule="auto"/>
        <w:ind w:firstLine="709" w:left="0" w:right="0"/>
        <w:rPr>
          <w:rFonts w:ascii="Times New Roman" w:hAnsi="Times New Roman"/>
        </w:rPr>
      </w:pPr>
      <w:r>
        <w:rPr>
          <w:rFonts w:ascii="Times New Roman" w:hAnsi="Times New Roman"/>
        </w:rPr>
        <w:t>Вид металлоконструкции: Кронштейн</w:t>
      </w:r>
    </w:p>
    <w:p w14:paraId="4D000000">
      <w:pPr>
        <w:widowControl w:val="1"/>
        <w:spacing w:after="0" w:before="0" w:line="240" w:lineRule="auto"/>
        <w:ind w:firstLine="709" w:left="0" w:right="0"/>
        <w:rPr>
          <w:rFonts w:ascii="Times New Roman" w:hAnsi="Times New Roman"/>
        </w:rPr>
      </w:pPr>
      <w:r>
        <w:rPr>
          <w:rFonts w:ascii="Times New Roman" w:hAnsi="Times New Roman"/>
        </w:rPr>
        <w:t>Количество рожков: один</w:t>
      </w:r>
    </w:p>
    <w:p w14:paraId="4E000000">
      <w:pPr>
        <w:widowControl w:val="1"/>
        <w:spacing w:after="0" w:before="0" w:line="240" w:lineRule="auto"/>
        <w:ind w:firstLine="709" w:left="0" w:right="0"/>
        <w:rPr>
          <w:rFonts w:ascii="Times New Roman" w:hAnsi="Times New Roman"/>
        </w:rPr>
      </w:pPr>
      <w:r>
        <w:rPr>
          <w:rFonts w:ascii="Times New Roman" w:hAnsi="Times New Roman"/>
        </w:rPr>
        <w:t>Высота кронштейна: 2,5м</w:t>
      </w:r>
    </w:p>
    <w:p w14:paraId="4F000000">
      <w:pPr>
        <w:widowControl w:val="1"/>
        <w:spacing w:after="0" w:before="0" w:line="240" w:lineRule="auto"/>
        <w:ind w:firstLine="709" w:left="0" w:right="0"/>
        <w:rPr>
          <w:rFonts w:ascii="Times New Roman" w:hAnsi="Times New Roman"/>
        </w:rPr>
      </w:pPr>
      <w:r>
        <w:rPr>
          <w:rFonts w:ascii="Times New Roman" w:hAnsi="Times New Roman"/>
        </w:rPr>
        <w:t>Вылет кронштейна: 2,0 м</w:t>
      </w:r>
    </w:p>
    <w:p w14:paraId="50000000">
      <w:pPr>
        <w:widowControl w:val="1"/>
        <w:spacing w:after="0" w:before="0" w:line="240" w:lineRule="auto"/>
        <w:ind w:firstLine="709" w:left="0" w:right="0"/>
        <w:rPr>
          <w:rFonts w:ascii="Times New Roman" w:hAnsi="Times New Roman"/>
        </w:rPr>
      </w:pPr>
      <w:r>
        <w:rPr>
          <w:rFonts w:ascii="Times New Roman" w:hAnsi="Times New Roman"/>
        </w:rPr>
        <w:t>Диаметр трубы: 48 мм</w:t>
      </w:r>
    </w:p>
    <w:p w14:paraId="51000000">
      <w:pPr>
        <w:widowControl w:val="1"/>
        <w:spacing w:after="0" w:before="0" w:line="240" w:lineRule="auto"/>
        <w:ind w:firstLine="709" w:left="0" w:right="0"/>
        <w:rPr>
          <w:rFonts w:ascii="Times New Roman" w:hAnsi="Times New Roman"/>
        </w:rPr>
      </w:pPr>
      <w:r>
        <w:rPr>
          <w:rFonts w:ascii="Times New Roman" w:hAnsi="Times New Roman"/>
        </w:rPr>
        <w:t>Тип кронштейна: фланцевый (Ф)</w:t>
      </w:r>
    </w:p>
    <w:p w14:paraId="52000000">
      <w:pPr>
        <w:widowControl w:val="1"/>
        <w:spacing w:after="0" w:before="0" w:line="240" w:lineRule="auto"/>
        <w:ind w:firstLine="709" w:left="0" w:right="0"/>
        <w:rPr>
          <w:rFonts w:ascii="Times New Roman" w:hAnsi="Times New Roman"/>
        </w:rPr>
      </w:pPr>
      <w:r>
        <w:rPr>
          <w:rFonts w:ascii="Times New Roman" w:hAnsi="Times New Roman"/>
        </w:rPr>
        <w:t>Диаметр посадочного фланца: 135мм</w:t>
      </w:r>
    </w:p>
    <w:p w14:paraId="53000000">
      <w:pPr>
        <w:widowControl w:val="1"/>
        <w:spacing w:after="0" w:before="0" w:line="240" w:lineRule="auto"/>
        <w:ind w:firstLine="709" w:left="0" w:right="0"/>
        <w:rPr>
          <w:rFonts w:ascii="Times New Roman" w:hAnsi="Times New Roman"/>
        </w:rPr>
      </w:pPr>
      <w:r>
        <w:rPr>
          <w:rFonts w:ascii="Times New Roman" w:hAnsi="Times New Roman"/>
        </w:rPr>
        <w:t>Диаметр заходящей трубы: 76 мм</w:t>
      </w:r>
    </w:p>
    <w:p w14:paraId="54000000">
      <w:pPr>
        <w:widowControl w:val="1"/>
        <w:spacing w:after="0" w:before="0" w:line="240" w:lineRule="auto"/>
        <w:ind w:firstLine="709" w:left="0" w:right="0"/>
        <w:rPr>
          <w:rFonts w:ascii="Times New Roman" w:hAnsi="Times New Roman"/>
        </w:rPr>
      </w:pPr>
      <w:r>
        <w:rPr>
          <w:rFonts w:ascii="Times New Roman" w:hAnsi="Times New Roman"/>
        </w:rPr>
        <w:t>Угол наклона кронштейна: 15 гр.</w:t>
      </w:r>
    </w:p>
    <w:p w14:paraId="55000000">
      <w:pPr>
        <w:widowControl w:val="1"/>
        <w:spacing w:after="0" w:before="0" w:line="240" w:lineRule="auto"/>
        <w:ind w:firstLine="709" w:left="0" w:right="0"/>
        <w:rPr>
          <w:rFonts w:ascii="Times New Roman" w:hAnsi="Times New Roman"/>
        </w:rPr>
      </w:pPr>
      <w:r>
        <w:rPr>
          <w:rFonts w:ascii="Times New Roman" w:hAnsi="Times New Roman"/>
        </w:rPr>
        <w:t>Вес кронштейна: 16,1кг</w:t>
      </w:r>
    </w:p>
    <w:p w14:paraId="56000000">
      <w:pPr>
        <w:widowControl w:val="1"/>
        <w:spacing w:after="0" w:before="0" w:line="240" w:lineRule="auto"/>
        <w:ind w:firstLine="709" w:left="0" w:right="0"/>
        <w:rPr>
          <w:rFonts w:ascii="Times New Roman" w:hAnsi="Times New Roman"/>
        </w:rPr>
      </w:pPr>
      <w:r>
        <w:rPr>
          <w:rFonts w:ascii="Times New Roman" w:hAnsi="Times New Roman"/>
        </w:rPr>
        <w:t>Покрытие кронштейна: горячее цинкование от 40 мкм.</w:t>
      </w:r>
    </w:p>
    <w:p w14:paraId="57000000">
      <w:pPr>
        <w:widowControl w:val="1"/>
        <w:spacing w:after="0" w:before="0" w:line="240" w:lineRule="auto"/>
        <w:ind w:firstLine="709" w:left="0" w:right="0"/>
        <w:rPr>
          <w:rFonts w:ascii="Times New Roman" w:hAnsi="Times New Roman"/>
        </w:rPr>
      </w:pPr>
      <w:r>
        <w:rPr>
          <w:rFonts w:ascii="Times New Roman" w:hAnsi="Times New Roman"/>
        </w:rPr>
        <w:t>Материал кронштейна: металл;</w:t>
      </w:r>
    </w:p>
    <w:p w14:paraId="58000000">
      <w:pPr>
        <w:widowControl w:val="1"/>
        <w:spacing w:after="0" w:before="0" w:line="240" w:lineRule="auto"/>
        <w:ind w:firstLine="709" w:left="0" w:right="0"/>
        <w:rPr>
          <w:rFonts w:ascii="Times New Roman" w:hAnsi="Times New Roman"/>
        </w:rPr>
      </w:pPr>
      <w:r>
        <w:rPr>
          <w:rFonts w:ascii="Times New Roman" w:hAnsi="Times New Roman"/>
        </w:rPr>
        <w:t>4.6</w:t>
      </w:r>
      <w:r>
        <w:rPr>
          <w:rFonts w:ascii="Times New Roman" w:hAnsi="Times New Roman"/>
        </w:rPr>
        <w:t xml:space="preserve"> </w:t>
      </w:r>
      <w:r>
        <w:rPr>
          <w:rFonts w:ascii="Times New Roman" w:hAnsi="Times New Roman"/>
          <w:b w:val="1"/>
        </w:rPr>
        <w:t>Тип закладных деталей:</w:t>
      </w:r>
      <w:r>
        <w:rPr>
          <w:rFonts w:ascii="Times New Roman" w:hAnsi="Times New Roman"/>
        </w:rPr>
        <w:t xml:space="preserve"> </w:t>
      </w:r>
      <w:r>
        <w:rPr>
          <w:rFonts w:ascii="Times New Roman" w:hAnsi="Times New Roman"/>
        </w:rPr>
        <w:t>Закладная деталь фундамента ЗФ-30/12/Д440-3,0-б</w:t>
      </w:r>
    </w:p>
    <w:p w14:paraId="59000000">
      <w:pPr>
        <w:widowControl w:val="1"/>
        <w:spacing w:after="0" w:before="0" w:line="240" w:lineRule="auto"/>
        <w:ind w:firstLine="709" w:left="0" w:right="0"/>
        <w:rPr>
          <w:rFonts w:ascii="Times New Roman" w:hAnsi="Times New Roman"/>
        </w:rPr>
      </w:pPr>
      <w:r>
        <w:rPr>
          <w:rFonts w:ascii="Times New Roman" w:hAnsi="Times New Roman"/>
        </w:rPr>
        <w:t>Вид металлоконструкции: Закладная деталь фундамента (фундаментная часть);</w:t>
      </w:r>
    </w:p>
    <w:p w14:paraId="5A000000">
      <w:pPr>
        <w:widowControl w:val="1"/>
        <w:spacing w:after="0" w:before="0" w:line="240" w:lineRule="auto"/>
        <w:ind w:firstLine="709" w:left="0" w:right="0"/>
        <w:rPr>
          <w:rFonts w:ascii="Times New Roman" w:hAnsi="Times New Roman"/>
        </w:rPr>
      </w:pPr>
      <w:r>
        <w:rPr>
          <w:rFonts w:ascii="Times New Roman" w:hAnsi="Times New Roman"/>
        </w:rPr>
        <w:t>Диаметр фундаментной части 325 мм;</w:t>
      </w:r>
    </w:p>
    <w:p w14:paraId="5B000000">
      <w:pPr>
        <w:widowControl w:val="1"/>
        <w:spacing w:after="0" w:before="0" w:line="240" w:lineRule="auto"/>
        <w:ind w:firstLine="709" w:left="0" w:right="0"/>
        <w:rPr>
          <w:rFonts w:ascii="Times New Roman" w:hAnsi="Times New Roman"/>
        </w:rPr>
      </w:pPr>
      <w:r>
        <w:rPr>
          <w:rFonts w:ascii="Times New Roman" w:hAnsi="Times New Roman"/>
        </w:rPr>
        <w:t>Толщина стенки фундаментной части: 8 мм;</w:t>
      </w:r>
    </w:p>
    <w:p w14:paraId="5C000000">
      <w:pPr>
        <w:widowControl w:val="1"/>
        <w:spacing w:after="0" w:before="0" w:line="240" w:lineRule="auto"/>
        <w:ind w:firstLine="709" w:left="0" w:right="0"/>
        <w:rPr>
          <w:rFonts w:ascii="Times New Roman" w:hAnsi="Times New Roman"/>
        </w:rPr>
      </w:pPr>
      <w:r>
        <w:rPr>
          <w:rFonts w:ascii="Times New Roman" w:hAnsi="Times New Roman"/>
        </w:rPr>
        <w:t>Высота фундаментной части 3 м;</w:t>
      </w:r>
    </w:p>
    <w:p w14:paraId="5D000000">
      <w:pPr>
        <w:widowControl w:val="1"/>
        <w:spacing w:after="0" w:before="0" w:line="240" w:lineRule="auto"/>
        <w:ind w:firstLine="709" w:left="0" w:right="0"/>
        <w:rPr>
          <w:rFonts w:ascii="Times New Roman" w:hAnsi="Times New Roman"/>
        </w:rPr>
      </w:pPr>
      <w:r>
        <w:rPr>
          <w:rFonts w:ascii="Times New Roman" w:hAnsi="Times New Roman"/>
        </w:rPr>
        <w:t>Диаметр фланца: 550 мм;</w:t>
      </w:r>
    </w:p>
    <w:p w14:paraId="5E000000">
      <w:pPr>
        <w:widowControl w:val="1"/>
        <w:spacing w:after="0" w:before="0" w:line="240" w:lineRule="auto"/>
        <w:ind w:firstLine="709" w:left="0" w:right="0"/>
        <w:rPr>
          <w:rFonts w:ascii="Times New Roman" w:hAnsi="Times New Roman"/>
        </w:rPr>
      </w:pPr>
      <w:r>
        <w:rPr>
          <w:rFonts w:ascii="Times New Roman" w:hAnsi="Times New Roman"/>
        </w:rPr>
        <w:t>Межцентровое расстояние: 440 мм;</w:t>
      </w:r>
    </w:p>
    <w:p w14:paraId="5F000000">
      <w:pPr>
        <w:widowControl w:val="1"/>
        <w:spacing w:after="0" w:before="0" w:line="240" w:lineRule="auto"/>
        <w:ind w:firstLine="709" w:left="0" w:right="0"/>
        <w:rPr>
          <w:rFonts w:ascii="Times New Roman" w:hAnsi="Times New Roman"/>
        </w:rPr>
      </w:pPr>
      <w:r>
        <w:rPr>
          <w:rFonts w:ascii="Times New Roman" w:hAnsi="Times New Roman"/>
        </w:rPr>
        <w:t>Количество отверстий во фланце: 12 шт.;</w:t>
      </w:r>
    </w:p>
    <w:p w14:paraId="60000000">
      <w:pPr>
        <w:widowControl w:val="1"/>
        <w:spacing w:after="0" w:before="0" w:line="240" w:lineRule="auto"/>
        <w:ind w:firstLine="709" w:left="0" w:right="0"/>
        <w:rPr>
          <w:rFonts w:ascii="Times New Roman" w:hAnsi="Times New Roman"/>
        </w:rPr>
      </w:pPr>
      <w:r>
        <w:rPr>
          <w:rFonts w:ascii="Times New Roman" w:hAnsi="Times New Roman"/>
        </w:rPr>
        <w:t>Диаметр отверстий под крепеж: 36 мм;</w:t>
      </w:r>
    </w:p>
    <w:p w14:paraId="61000000">
      <w:pPr>
        <w:widowControl w:val="1"/>
        <w:spacing w:after="0" w:before="0" w:line="240" w:lineRule="auto"/>
        <w:ind w:firstLine="709" w:left="0" w:right="0"/>
        <w:rPr>
          <w:rFonts w:ascii="Times New Roman" w:hAnsi="Times New Roman"/>
        </w:rPr>
      </w:pPr>
      <w:r>
        <w:rPr>
          <w:rFonts w:ascii="Times New Roman" w:hAnsi="Times New Roman"/>
        </w:rPr>
        <w:t>Толщина фланца: 25 мм;</w:t>
      </w:r>
    </w:p>
    <w:p w14:paraId="62000000">
      <w:pPr>
        <w:widowControl w:val="1"/>
        <w:spacing w:after="0" w:before="0" w:line="240" w:lineRule="auto"/>
        <w:ind w:firstLine="709" w:left="0" w:right="0"/>
        <w:rPr>
          <w:rFonts w:ascii="Times New Roman" w:hAnsi="Times New Roman"/>
        </w:rPr>
      </w:pPr>
      <w:r>
        <w:rPr>
          <w:rFonts w:ascii="Times New Roman" w:hAnsi="Times New Roman"/>
        </w:rPr>
        <w:t>Вес закладной детали: 225 кг;</w:t>
      </w:r>
    </w:p>
    <w:p w14:paraId="63000000">
      <w:pPr>
        <w:widowControl w:val="1"/>
        <w:spacing w:after="0" w:before="0" w:line="240" w:lineRule="auto"/>
        <w:ind w:firstLine="709" w:left="0" w:right="0"/>
        <w:rPr>
          <w:rFonts w:ascii="Times New Roman" w:hAnsi="Times New Roman"/>
        </w:rPr>
      </w:pPr>
      <w:r>
        <w:rPr>
          <w:rFonts w:ascii="Times New Roman" w:hAnsi="Times New Roman"/>
        </w:rPr>
        <w:t>Покрытие фундаментной части: битумный лак;</w:t>
      </w:r>
    </w:p>
    <w:p w14:paraId="64000000">
      <w:pPr>
        <w:widowControl w:val="1"/>
        <w:spacing w:after="0" w:before="0" w:line="240" w:lineRule="auto"/>
        <w:ind w:firstLine="709" w:left="0" w:right="0"/>
        <w:rPr>
          <w:rFonts w:ascii="Times New Roman" w:hAnsi="Times New Roman"/>
        </w:rPr>
      </w:pPr>
      <w:r>
        <w:rPr>
          <w:rFonts w:ascii="Times New Roman" w:hAnsi="Times New Roman"/>
        </w:rPr>
        <w:t>Материал фундаментной части: металл;</w:t>
      </w:r>
    </w:p>
    <w:p w14:paraId="65000000">
      <w:pPr>
        <w:widowControl w:val="1"/>
        <w:spacing w:after="0" w:before="0" w:line="240" w:lineRule="auto"/>
        <w:ind w:firstLine="709" w:left="0" w:right="0"/>
        <w:rPr>
          <w:rFonts w:ascii="Times New Roman" w:hAnsi="Times New Roman"/>
        </w:rPr>
      </w:pPr>
      <w:r>
        <w:rPr>
          <w:rFonts w:ascii="Times New Roman" w:hAnsi="Times New Roman"/>
        </w:rPr>
        <w:t>* -Учитывая установку элементов освещения в условиях повышенной влажности и наличия морского воздействия, предусмотреть обработку опор и кронштейнов процессом пассивации оцинкованных металлоконструкций, что позволяет существенно замедлить процессы коррозии, особенно на ранних стадиях, сохранить блеск и внешний вид изделий. При этом необходимо отметить, что пассивирующий слой служит лишь дополнительной мерой и не является заменой основному цинковому покрытию.</w:t>
      </w:r>
    </w:p>
    <w:p w14:paraId="66000000">
      <w:pPr>
        <w:widowControl w:val="1"/>
        <w:spacing w:after="0" w:before="0" w:line="240" w:lineRule="auto"/>
        <w:ind w:firstLine="709" w:left="0" w:right="0"/>
        <w:rPr>
          <w:rFonts w:ascii="Times New Roman" w:hAnsi="Times New Roman"/>
        </w:rPr>
      </w:pPr>
      <w:r>
        <w:rPr>
          <w:rFonts w:ascii="Times New Roman" w:hAnsi="Times New Roman"/>
        </w:rPr>
        <w:t>* * - Опора и закладной элемент соединяются при помощи комплекта крепёжных деталей, входящих в поставку резьбовых шпилек с гайками. Монтажный комплект крепежных изделий должны обработаны термодиффузионным покрытием (ТДЦ) по ГОСТ Р 9.3162006 «Покрытия термодиффузионные цинковые». Покрытие ТДЦ обладает высокой коррозионной стойкостью, высокой адгезией к подложке за счет формирования диффузионного слоя, а соответственно механические свойства покрытия выше, чем у других способов цинкования.</w:t>
      </w:r>
    </w:p>
    <w:p w14:paraId="67000000">
      <w:pPr>
        <w:widowControl w:val="1"/>
        <w:spacing w:after="0" w:before="0" w:line="240" w:lineRule="auto"/>
        <w:ind w:firstLine="709" w:left="0" w:right="0"/>
        <w:rPr>
          <w:rFonts w:ascii="Times New Roman" w:hAnsi="Times New Roman"/>
        </w:rPr>
      </w:pPr>
      <w:r>
        <w:rPr>
          <w:rFonts w:ascii="Times New Roman" w:hAnsi="Times New Roman"/>
        </w:rPr>
        <w:t>4.7. Закладная деталь фундаментов опор прямого исполнения, устанавливаются фланцами по уровню покрытия автомобильной дороги в котлованы на щебеночную подушку высотой не менее 200 мм, бетонируются бетоном марки не ниже В 20.</w:t>
      </w:r>
    </w:p>
    <w:p w14:paraId="68000000">
      <w:pPr>
        <w:widowControl w:val="1"/>
        <w:spacing w:after="0" w:before="0" w:line="240" w:lineRule="auto"/>
        <w:ind w:firstLine="709" w:left="0" w:right="0"/>
        <w:rPr>
          <w:rFonts w:ascii="Times New Roman" w:hAnsi="Times New Roman"/>
        </w:rPr>
      </w:pPr>
      <w:r>
        <w:rPr>
          <w:rFonts w:ascii="Times New Roman" w:hAnsi="Times New Roman"/>
        </w:rPr>
        <w:t>4.8. На мостовых сооружениях и путепроводах опоры монтируются согласно решениям разработанными в ПНР.</w:t>
      </w:r>
    </w:p>
    <w:p w14:paraId="69000000">
      <w:pPr>
        <w:widowControl w:val="1"/>
        <w:spacing w:after="0" w:before="0" w:line="240" w:lineRule="auto"/>
        <w:ind w:firstLine="709" w:left="0" w:right="0"/>
        <w:rPr>
          <w:rFonts w:ascii="Times New Roman" w:hAnsi="Times New Roman"/>
        </w:rPr>
      </w:pPr>
      <w:r>
        <w:rPr>
          <w:rFonts w:ascii="Times New Roman" w:hAnsi="Times New Roman"/>
        </w:rPr>
        <w:t>4.9. Предусмотреть нумерацию опор краской черного цвета трафаретно шрифтом 150 мм на высоте 2 м со стороны проезжей части согласно ПУЭ-7</w:t>
      </w:r>
    </w:p>
    <w:p w14:paraId="6A000000">
      <w:pPr>
        <w:widowControl w:val="1"/>
        <w:spacing w:after="0" w:before="0" w:line="240" w:lineRule="auto"/>
        <w:ind w:firstLine="709" w:left="0" w:right="0"/>
        <w:rPr>
          <w:rFonts w:ascii="Times New Roman" w:hAnsi="Times New Roman"/>
        </w:rPr>
      </w:pPr>
      <w:r>
        <w:rPr>
          <w:rFonts w:ascii="Times New Roman" w:hAnsi="Times New Roman"/>
        </w:rPr>
        <w:t>4.10. Предусмотреть в нижней части опор щиты вертикальной дорожной разметки 2.1.12.1.3 размером не менее 300x1300 мм светоотражающей пленкой типа Б-2.</w:t>
      </w:r>
    </w:p>
    <w:p w14:paraId="6B000000">
      <w:pPr>
        <w:widowControl w:val="1"/>
        <w:spacing w:after="0" w:before="0" w:line="240" w:lineRule="auto"/>
        <w:ind w:firstLine="709" w:left="0" w:right="0"/>
        <w:rPr>
          <w:rFonts w:ascii="Times New Roman" w:hAnsi="Times New Roman"/>
        </w:rPr>
      </w:pPr>
      <w:r>
        <w:rPr>
          <w:rFonts w:ascii="Times New Roman" w:hAnsi="Times New Roman"/>
        </w:rPr>
        <w:t>4.11. Установка светильников на опорах на кронштейнах с углом установки светильника к горизонту 15 градусов, высотой не менее 2,5 м и длиной (выносом) не менее 2,0 м.</w:t>
      </w:r>
    </w:p>
    <w:p w14:paraId="6C000000">
      <w:pPr>
        <w:widowControl w:val="1"/>
        <w:spacing w:after="0" w:before="0" w:line="240" w:lineRule="auto"/>
        <w:ind w:firstLine="709" w:left="0" w:right="0"/>
        <w:rPr>
          <w:rFonts w:ascii="Times New Roman" w:hAnsi="Times New Roman"/>
        </w:rPr>
      </w:pPr>
      <w:r>
        <w:rPr>
          <w:rFonts w:ascii="Times New Roman" w:hAnsi="Times New Roman"/>
        </w:rPr>
        <w:t>4.12.</w:t>
      </w:r>
      <w:r>
        <w:rPr>
          <w:rFonts w:ascii="Times New Roman" w:hAnsi="Times New Roman"/>
        </w:rPr>
        <w:t xml:space="preserve"> </w:t>
      </w:r>
      <w:r>
        <w:rPr>
          <w:rFonts w:ascii="Times New Roman" w:hAnsi="Times New Roman"/>
          <w:b w:val="1"/>
        </w:rPr>
        <w:t>Тип светильника.</w:t>
      </w:r>
      <w:r>
        <w:rPr>
          <w:rFonts w:ascii="Times New Roman" w:hAnsi="Times New Roman"/>
        </w:rPr>
        <w:t xml:space="preserve"> </w:t>
      </w:r>
      <w:r>
        <w:rPr>
          <w:rFonts w:ascii="Times New Roman" w:hAnsi="Times New Roman"/>
        </w:rPr>
        <w:t>Светильник для освещения автомобильной дороги и пешеходных переходов светодиодный мощностью не менее 120 Вт (при необходимости не менее 140 Вт);</w:t>
      </w:r>
    </w:p>
    <w:p w14:paraId="6D000000">
      <w:pPr>
        <w:widowControl w:val="1"/>
        <w:spacing w:after="0" w:before="0" w:line="240" w:lineRule="auto"/>
        <w:ind w:firstLine="709" w:left="0" w:right="0"/>
        <w:rPr>
          <w:rFonts w:ascii="Times New Roman" w:hAnsi="Times New Roman"/>
        </w:rPr>
      </w:pPr>
      <w:r>
        <w:rPr>
          <w:rFonts w:ascii="Times New Roman" w:hAnsi="Times New Roman"/>
          <w:b w:val="1"/>
        </w:rPr>
        <w:t>Технические данные:</w:t>
      </w:r>
    </w:p>
    <w:p w14:paraId="6E000000">
      <w:pPr>
        <w:widowControl w:val="1"/>
        <w:spacing w:after="0" w:before="0" w:line="240" w:lineRule="auto"/>
        <w:ind w:firstLine="709" w:left="0" w:right="0"/>
        <w:rPr>
          <w:rFonts w:ascii="Times New Roman" w:hAnsi="Times New Roman"/>
        </w:rPr>
      </w:pPr>
      <w:r>
        <w:rPr>
          <w:rFonts w:ascii="Times New Roman" w:hAnsi="Times New Roman"/>
        </w:rPr>
        <w:t>Световой поток, лм, не менее 18000</w:t>
      </w:r>
    </w:p>
    <w:p w14:paraId="6F000000">
      <w:pPr>
        <w:widowControl w:val="1"/>
        <w:spacing w:after="0" w:before="0" w:line="240" w:lineRule="auto"/>
        <w:ind w:firstLine="709" w:left="0" w:right="0"/>
        <w:rPr>
          <w:rFonts w:ascii="Times New Roman" w:hAnsi="Times New Roman"/>
        </w:rPr>
      </w:pPr>
      <w:r>
        <w:rPr>
          <w:rFonts w:ascii="Times New Roman" w:hAnsi="Times New Roman"/>
        </w:rPr>
        <w:t>Напряжение питания, В: 230+/-10%</w:t>
      </w:r>
    </w:p>
    <w:p w14:paraId="70000000">
      <w:pPr>
        <w:widowControl w:val="1"/>
        <w:spacing w:after="0" w:before="0" w:line="240" w:lineRule="auto"/>
        <w:ind w:firstLine="709" w:left="0" w:right="0"/>
        <w:rPr>
          <w:rFonts w:ascii="Times New Roman" w:hAnsi="Times New Roman"/>
        </w:rPr>
      </w:pPr>
      <w:r>
        <w:rPr>
          <w:rFonts w:ascii="Times New Roman" w:hAnsi="Times New Roman"/>
        </w:rPr>
        <w:t>Мощность, не менее (Вт): 120 (140 по необходимости)</w:t>
      </w:r>
    </w:p>
    <w:p w14:paraId="71000000">
      <w:pPr>
        <w:widowControl w:val="1"/>
        <w:spacing w:after="0" w:before="0" w:line="240" w:lineRule="auto"/>
        <w:ind w:firstLine="709" w:left="0" w:right="0"/>
        <w:rPr>
          <w:rFonts w:ascii="Times New Roman" w:hAnsi="Times New Roman"/>
        </w:rPr>
      </w:pPr>
      <w:r>
        <w:rPr>
          <w:rFonts w:ascii="Times New Roman" w:hAnsi="Times New Roman"/>
        </w:rPr>
        <w:t>Коэффициент мощности, не менее 0,95</w:t>
      </w:r>
    </w:p>
    <w:p w14:paraId="72000000">
      <w:pPr>
        <w:widowControl w:val="1"/>
        <w:spacing w:after="0" w:before="0" w:line="240" w:lineRule="auto"/>
        <w:ind w:firstLine="709" w:left="0" w:right="0"/>
        <w:rPr>
          <w:rFonts w:ascii="Times New Roman" w:hAnsi="Times New Roman"/>
        </w:rPr>
      </w:pPr>
      <w:r>
        <w:rPr>
          <w:rFonts w:ascii="Times New Roman" w:hAnsi="Times New Roman"/>
        </w:rPr>
        <w:t>Световая отдача светильника, не менее, 145 лм/Вт</w:t>
      </w:r>
    </w:p>
    <w:p w14:paraId="73000000">
      <w:pPr>
        <w:widowControl w:val="1"/>
        <w:spacing w:after="0" w:before="0" w:line="240" w:lineRule="auto"/>
        <w:ind w:firstLine="709" w:left="0" w:right="0"/>
        <w:rPr>
          <w:rFonts w:ascii="Times New Roman" w:hAnsi="Times New Roman"/>
        </w:rPr>
      </w:pPr>
      <w:r>
        <w:rPr>
          <w:rFonts w:ascii="Times New Roman" w:hAnsi="Times New Roman"/>
        </w:rPr>
        <w:t>Диапазон цветовой температуры, К, 4000</w:t>
      </w:r>
    </w:p>
    <w:p w14:paraId="74000000">
      <w:pPr>
        <w:widowControl w:val="1"/>
        <w:spacing w:after="0" w:before="0" w:line="240" w:lineRule="auto"/>
        <w:ind w:firstLine="709" w:left="0" w:right="0"/>
        <w:rPr>
          <w:rFonts w:ascii="Times New Roman" w:hAnsi="Times New Roman"/>
        </w:rPr>
      </w:pPr>
      <w:r>
        <w:rPr>
          <w:rFonts w:ascii="Times New Roman" w:hAnsi="Times New Roman"/>
        </w:rPr>
        <w:t>Степень защиты светильника, IP, 66</w:t>
      </w:r>
    </w:p>
    <w:p w14:paraId="75000000">
      <w:pPr>
        <w:widowControl w:val="1"/>
        <w:spacing w:after="0" w:before="0" w:line="240" w:lineRule="auto"/>
        <w:ind w:firstLine="709" w:left="0" w:right="0"/>
        <w:rPr>
          <w:rFonts w:ascii="Times New Roman" w:hAnsi="Times New Roman"/>
        </w:rPr>
      </w:pPr>
      <w:r>
        <w:rPr>
          <w:rFonts w:ascii="Times New Roman" w:hAnsi="Times New Roman"/>
        </w:rPr>
        <w:t>Световой поток, лм, не менее 17400</w:t>
      </w:r>
    </w:p>
    <w:p w14:paraId="76000000">
      <w:pPr>
        <w:widowControl w:val="1"/>
        <w:spacing w:after="0" w:before="0" w:line="240" w:lineRule="auto"/>
        <w:ind w:firstLine="709" w:left="0" w:right="0"/>
        <w:rPr>
          <w:rFonts w:ascii="Times New Roman" w:hAnsi="Times New Roman"/>
        </w:rPr>
      </w:pPr>
      <w:r>
        <w:rPr>
          <w:rFonts w:ascii="Times New Roman" w:hAnsi="Times New Roman"/>
        </w:rPr>
        <w:t>Тип КСС (кривая сила света) широкая боковая 2А</w:t>
      </w:r>
    </w:p>
    <w:p w14:paraId="77000000">
      <w:pPr>
        <w:widowControl w:val="1"/>
        <w:spacing w:after="0" w:before="0" w:line="240" w:lineRule="auto"/>
        <w:ind w:firstLine="709" w:left="0" w:right="0"/>
        <w:rPr>
          <w:rFonts w:ascii="Times New Roman" w:hAnsi="Times New Roman"/>
        </w:rPr>
      </w:pPr>
      <w:r>
        <w:rPr>
          <w:rFonts w:ascii="Times New Roman" w:hAnsi="Times New Roman"/>
        </w:rPr>
        <w:t>Коэффициент пульсации светового потока, не более, 5%</w:t>
      </w:r>
    </w:p>
    <w:p w14:paraId="78000000">
      <w:pPr>
        <w:widowControl w:val="1"/>
        <w:spacing w:after="0" w:before="0" w:line="240" w:lineRule="auto"/>
        <w:ind w:firstLine="709" w:left="0" w:right="0"/>
        <w:rPr>
          <w:rFonts w:ascii="Times New Roman" w:hAnsi="Times New Roman"/>
        </w:rPr>
      </w:pPr>
      <w:r>
        <w:rPr>
          <w:rFonts w:ascii="Times New Roman" w:hAnsi="Times New Roman"/>
        </w:rPr>
        <w:t>Угол</w:t>
      </w:r>
    </w:p>
    <w:p w14:paraId="79000000">
      <w:pPr>
        <w:widowControl w:val="1"/>
        <w:spacing w:after="0" w:before="0" w:line="240" w:lineRule="auto"/>
        <w:ind w:firstLine="709" w:left="0" w:right="0"/>
        <w:rPr>
          <w:rFonts w:ascii="Times New Roman" w:hAnsi="Times New Roman"/>
        </w:rPr>
      </w:pPr>
      <w:r>
        <w:rPr>
          <w:rFonts w:ascii="Times New Roman" w:hAnsi="Times New Roman"/>
        </w:rPr>
        <w:t>Температура эксплуатации, С°: -50...+50</w:t>
      </w:r>
    </w:p>
    <w:p w14:paraId="7A000000">
      <w:pPr>
        <w:widowControl w:val="1"/>
        <w:spacing w:after="0" w:before="0" w:line="240" w:lineRule="auto"/>
        <w:ind w:firstLine="709" w:left="0" w:right="0"/>
        <w:rPr>
          <w:rFonts w:ascii="Times New Roman" w:hAnsi="Times New Roman"/>
        </w:rPr>
      </w:pPr>
      <w:r>
        <w:rPr>
          <w:rFonts w:ascii="Times New Roman" w:hAnsi="Times New Roman"/>
        </w:rPr>
        <w:t>Габаритные размеры ДхШхВ (мм) 607x301x115</w:t>
      </w:r>
    </w:p>
    <w:p w14:paraId="7B000000">
      <w:pPr>
        <w:widowControl w:val="1"/>
        <w:spacing w:after="0" w:before="0" w:line="240" w:lineRule="auto"/>
        <w:ind w:firstLine="709" w:left="0" w:right="0"/>
        <w:rPr>
          <w:rFonts w:ascii="Times New Roman" w:hAnsi="Times New Roman"/>
        </w:rPr>
      </w:pPr>
      <w:r>
        <w:rPr>
          <w:rFonts w:ascii="Times New Roman" w:hAnsi="Times New Roman"/>
        </w:rPr>
        <w:t>Степень защиты от механических ударов IK08</w:t>
      </w:r>
    </w:p>
    <w:p w14:paraId="7C000000">
      <w:pPr>
        <w:widowControl w:val="1"/>
        <w:spacing w:after="0" w:before="0" w:line="240" w:lineRule="auto"/>
        <w:ind w:firstLine="709" w:left="0" w:right="0"/>
        <w:rPr>
          <w:rFonts w:ascii="Times New Roman" w:hAnsi="Times New Roman"/>
        </w:rPr>
      </w:pPr>
      <w:r>
        <w:rPr>
          <w:rFonts w:ascii="Times New Roman" w:hAnsi="Times New Roman"/>
        </w:rPr>
        <w:t>Масса: не более 7,500 кг</w:t>
      </w:r>
    </w:p>
    <w:p w14:paraId="7D000000">
      <w:pPr>
        <w:widowControl w:val="1"/>
        <w:spacing w:after="0" w:before="0" w:line="240" w:lineRule="auto"/>
        <w:ind w:firstLine="709" w:left="0" w:right="0"/>
        <w:rPr>
          <w:rFonts w:ascii="Times New Roman" w:hAnsi="Times New Roman"/>
        </w:rPr>
      </w:pPr>
      <w:r>
        <w:rPr>
          <w:rFonts w:ascii="Times New Roman" w:hAnsi="Times New Roman"/>
        </w:rPr>
        <w:t>Доступ в электрический отсек: бесключевой</w:t>
      </w:r>
    </w:p>
    <w:p w14:paraId="7E000000">
      <w:pPr>
        <w:widowControl w:val="1"/>
        <w:spacing w:after="0" w:before="0" w:line="240" w:lineRule="auto"/>
        <w:ind w:firstLine="709" w:left="0" w:right="0"/>
        <w:rPr>
          <w:rFonts w:ascii="Times New Roman" w:hAnsi="Times New Roman"/>
        </w:rPr>
      </w:pPr>
      <w:r>
        <w:rPr>
          <w:rFonts w:ascii="Times New Roman" w:hAnsi="Times New Roman"/>
        </w:rPr>
        <w:t>Оптическая часть: закаленное стекло</w:t>
      </w:r>
    </w:p>
    <w:p w14:paraId="7F000000">
      <w:pPr>
        <w:widowControl w:val="1"/>
        <w:spacing w:after="0" w:before="0" w:line="240" w:lineRule="auto"/>
        <w:ind w:firstLine="709" w:left="0" w:right="0"/>
        <w:rPr>
          <w:rFonts w:ascii="Times New Roman" w:hAnsi="Times New Roman"/>
        </w:rPr>
      </w:pPr>
      <w:r>
        <w:rPr>
          <w:rFonts w:ascii="Times New Roman" w:hAnsi="Times New Roman"/>
        </w:rPr>
        <w:t>Светильнике должен оснащен вторичной оптикой, которая, была специально разработана для обеспечения требуемой нормы освещенности, средней яркости, поперечной и продольной равномерности освещения, минимальной слепимости и требуемой освещенности обочины.</w:t>
      </w:r>
    </w:p>
    <w:p w14:paraId="80000000">
      <w:pPr>
        <w:widowControl w:val="1"/>
        <w:spacing w:after="0" w:before="0" w:line="240" w:lineRule="auto"/>
        <w:ind w:firstLine="709" w:left="0" w:right="0"/>
        <w:rPr>
          <w:rFonts w:ascii="Times New Roman" w:hAnsi="Times New Roman"/>
        </w:rPr>
      </w:pPr>
      <w:r>
        <w:rPr>
          <w:rFonts w:ascii="Times New Roman" w:hAnsi="Times New Roman"/>
        </w:rPr>
        <w:t>4.13.</w:t>
      </w:r>
      <w:r>
        <w:rPr>
          <w:rFonts w:ascii="Times New Roman" w:hAnsi="Times New Roman"/>
        </w:rPr>
        <w:t xml:space="preserve"> </w:t>
      </w:r>
      <w:r>
        <w:rPr>
          <w:rFonts w:ascii="Times New Roman" w:hAnsi="Times New Roman"/>
          <w:b w:val="1"/>
        </w:rPr>
        <w:t>КТП.</w:t>
      </w:r>
      <w:r>
        <w:rPr>
          <w:rFonts w:ascii="Times New Roman" w:hAnsi="Times New Roman"/>
        </w:rPr>
        <w:t xml:space="preserve"> </w:t>
      </w:r>
      <w:r>
        <w:rPr>
          <w:rFonts w:ascii="Times New Roman" w:hAnsi="Times New Roman"/>
        </w:rPr>
        <w:t>Комплектные трансформаторные подстанции наружной установки (КТП) предназначены для приема, распределения трехфазного переменного тока напряжением 6-10 кВ, частотой 50 Гц и преобразования его в напряжение 0,4 кВ, а также для распределения и учета электроэнергии. КТП изготавливаются в исполнении УХ Л категории 1 в атмосфере II типа по ГОСТ 15150-69 и предназначены для работы в условиях:</w:t>
      </w:r>
    </w:p>
    <w:p w14:paraId="81000000">
      <w:pPr>
        <w:widowControl w:val="1"/>
        <w:spacing w:after="0" w:before="0" w:line="240" w:lineRule="auto"/>
        <w:ind w:firstLine="709" w:left="0" w:right="0"/>
        <w:rPr>
          <w:rFonts w:ascii="Times New Roman" w:hAnsi="Times New Roman"/>
        </w:rPr>
      </w:pPr>
      <w:r>
        <w:rPr>
          <w:rFonts w:ascii="Times New Roman" w:hAnsi="Times New Roman"/>
        </w:rPr>
        <w:t>- температура окружающего воздуха от -45С до +40С;</w:t>
      </w:r>
    </w:p>
    <w:p w14:paraId="82000000">
      <w:pPr>
        <w:widowControl w:val="1"/>
        <w:spacing w:after="0" w:before="0" w:line="240" w:lineRule="auto"/>
        <w:ind w:firstLine="709" w:left="0" w:right="0"/>
        <w:rPr>
          <w:rFonts w:ascii="Times New Roman" w:hAnsi="Times New Roman"/>
        </w:rPr>
      </w:pPr>
      <w:r>
        <w:rPr>
          <w:rFonts w:ascii="Times New Roman" w:hAnsi="Times New Roman"/>
        </w:rPr>
        <w:t>- степень защиты персонала и оборудования - IP34;</w:t>
      </w:r>
    </w:p>
    <w:p w14:paraId="83000000">
      <w:pPr>
        <w:widowControl w:val="1"/>
        <w:spacing w:after="0" w:before="0" w:line="240" w:lineRule="auto"/>
        <w:ind w:firstLine="709" w:left="0" w:right="0"/>
        <w:rPr>
          <w:rFonts w:ascii="Times New Roman" w:hAnsi="Times New Roman"/>
        </w:rPr>
      </w:pPr>
      <w:r>
        <w:rPr>
          <w:rFonts w:ascii="Times New Roman" w:hAnsi="Times New Roman"/>
        </w:rPr>
        <w:t>- конструктивное исполнение</w:t>
      </w:r>
      <w:r>
        <w:rPr>
          <w:rFonts w:ascii="Times New Roman" w:hAnsi="Times New Roman"/>
        </w:rPr>
        <w:t xml:space="preserve"> </w:t>
      </w:r>
      <w:r>
        <w:rPr>
          <w:rFonts w:ascii="Times New Roman" w:hAnsi="Times New Roman"/>
          <w:b w:val="1"/>
        </w:rPr>
        <w:t>- киосковая;</w:t>
      </w:r>
    </w:p>
    <w:p w14:paraId="84000000">
      <w:pPr>
        <w:widowControl w:val="1"/>
        <w:spacing w:after="0" w:before="0" w:line="240" w:lineRule="auto"/>
        <w:ind w:firstLine="709" w:left="0" w:right="0"/>
        <w:rPr>
          <w:rFonts w:ascii="Times New Roman" w:hAnsi="Times New Roman"/>
        </w:rPr>
      </w:pPr>
      <w:r>
        <w:rPr>
          <w:rFonts w:ascii="Times New Roman" w:hAnsi="Times New Roman"/>
        </w:rPr>
        <w:t>- по схемному исполнению- тупиковая/проходная;</w:t>
      </w:r>
    </w:p>
    <w:p w14:paraId="85000000">
      <w:pPr>
        <w:widowControl w:val="1"/>
        <w:spacing w:after="0" w:before="0" w:line="240" w:lineRule="auto"/>
        <w:ind w:firstLine="709" w:left="0" w:right="0"/>
        <w:rPr>
          <w:rFonts w:ascii="Times New Roman" w:hAnsi="Times New Roman"/>
        </w:rPr>
      </w:pPr>
      <w:r>
        <w:rPr>
          <w:rFonts w:ascii="Times New Roman" w:hAnsi="Times New Roman"/>
        </w:rPr>
        <w:t>- по типу силового трансформатора- с масляным трансформатором;</w:t>
      </w:r>
    </w:p>
    <w:p w14:paraId="86000000">
      <w:pPr>
        <w:widowControl w:val="1"/>
        <w:spacing w:after="0" w:before="0" w:line="240" w:lineRule="auto"/>
        <w:ind w:firstLine="709" w:left="0" w:right="0"/>
        <w:rPr>
          <w:rFonts w:ascii="Times New Roman" w:hAnsi="Times New Roman"/>
        </w:rPr>
      </w:pPr>
      <w:r>
        <w:rPr>
          <w:rFonts w:ascii="Times New Roman" w:hAnsi="Times New Roman"/>
        </w:rPr>
        <w:t>- по выполнению высоковольтного ввода КТП- воздушный ввод/кабельный ввод;</w:t>
      </w:r>
    </w:p>
    <w:p w14:paraId="87000000">
      <w:pPr>
        <w:widowControl w:val="1"/>
        <w:spacing w:after="0" w:before="0" w:line="240" w:lineRule="auto"/>
        <w:ind w:firstLine="709" w:left="0" w:right="0"/>
        <w:rPr>
          <w:rFonts w:ascii="Times New Roman" w:hAnsi="Times New Roman"/>
        </w:rPr>
      </w:pPr>
      <w:r>
        <w:rPr>
          <w:rFonts w:ascii="Times New Roman" w:hAnsi="Times New Roman"/>
        </w:rPr>
        <w:t>- по числу применяемых силовых трансформаторов- 1 шт.</w:t>
      </w:r>
    </w:p>
    <w:p w14:paraId="88000000">
      <w:pPr>
        <w:widowControl w:val="1"/>
        <w:spacing w:after="0" w:before="0" w:line="240" w:lineRule="auto"/>
        <w:ind w:firstLine="709" w:left="0" w:right="0"/>
        <w:rPr>
          <w:rFonts w:ascii="Times New Roman" w:hAnsi="Times New Roman"/>
        </w:rPr>
      </w:pPr>
      <w:r>
        <w:rPr>
          <w:rFonts w:ascii="Times New Roman" w:hAnsi="Times New Roman"/>
        </w:rPr>
        <w:t>- габаритные размеры: не менее 3600 мм*2400 мм, высота не менее 2450/4500 мм;</w:t>
      </w:r>
    </w:p>
    <w:p w14:paraId="89000000">
      <w:pPr>
        <w:widowControl w:val="1"/>
        <w:spacing w:after="0" w:before="0" w:line="240" w:lineRule="auto"/>
        <w:ind w:firstLine="709" w:left="0" w:right="0"/>
        <w:rPr>
          <w:rFonts w:ascii="Times New Roman" w:hAnsi="Times New Roman"/>
        </w:rPr>
      </w:pPr>
      <w:r>
        <w:rPr>
          <w:rFonts w:ascii="Times New Roman" w:hAnsi="Times New Roman"/>
        </w:rPr>
        <w:t>- мощность силового трансформатора, кВа- 25/40;</w:t>
      </w:r>
    </w:p>
    <w:p w14:paraId="8A000000">
      <w:pPr>
        <w:widowControl w:val="1"/>
        <w:spacing w:after="0" w:before="0" w:line="240" w:lineRule="auto"/>
        <w:ind w:firstLine="709" w:left="0" w:right="0"/>
        <w:rPr>
          <w:rFonts w:ascii="Times New Roman" w:hAnsi="Times New Roman"/>
        </w:rPr>
      </w:pPr>
      <w:r>
        <w:rPr>
          <w:rFonts w:ascii="Times New Roman" w:hAnsi="Times New Roman"/>
        </w:rPr>
        <w:t>- гарантийный срок эксплуатации КТП- 5 лет с момента ввода в эксплуатацию.</w:t>
      </w:r>
    </w:p>
    <w:p w14:paraId="8B000000">
      <w:pPr>
        <w:widowControl w:val="1"/>
        <w:spacing w:after="0" w:before="0" w:line="240" w:lineRule="auto"/>
        <w:ind w:firstLine="709" w:left="0" w:right="0"/>
        <w:rPr>
          <w:rFonts w:ascii="Times New Roman" w:hAnsi="Times New Roman"/>
        </w:rPr>
      </w:pPr>
      <w:r>
        <w:rPr>
          <w:rFonts w:ascii="Times New Roman" w:hAnsi="Times New Roman"/>
        </w:rPr>
        <w:t>- полный срок службы КТП- не менее 30 лет;</w:t>
      </w:r>
    </w:p>
    <w:p w14:paraId="8C000000">
      <w:pPr>
        <w:widowControl w:val="1"/>
        <w:spacing w:after="0" w:before="0" w:line="240" w:lineRule="auto"/>
        <w:ind w:firstLine="709" w:left="0" w:right="0"/>
        <w:rPr>
          <w:rFonts w:ascii="Times New Roman" w:hAnsi="Times New Roman"/>
        </w:rPr>
      </w:pPr>
      <w:r>
        <w:rPr>
          <w:rFonts w:ascii="Times New Roman" w:hAnsi="Times New Roman"/>
        </w:rPr>
        <w:t>Двери в КТП должны иметь возможность запирания на навесной замок.</w:t>
      </w:r>
    </w:p>
    <w:p w14:paraId="8D000000">
      <w:pPr>
        <w:widowControl w:val="1"/>
        <w:spacing w:after="0" w:before="0" w:line="240" w:lineRule="auto"/>
        <w:ind w:firstLine="709" w:left="0" w:right="0"/>
        <w:rPr>
          <w:rFonts w:ascii="Times New Roman" w:hAnsi="Times New Roman"/>
        </w:rPr>
      </w:pPr>
      <w:r>
        <w:rPr>
          <w:rFonts w:ascii="Times New Roman" w:hAnsi="Times New Roman"/>
        </w:rPr>
        <w:t>Конструкция КТП должна исключать возможность проникновения животных и птиц внутрь корпуса.</w:t>
      </w:r>
    </w:p>
    <w:p w14:paraId="8E000000">
      <w:pPr>
        <w:widowControl w:val="1"/>
        <w:spacing w:after="0" w:before="0" w:line="240" w:lineRule="auto"/>
        <w:ind w:firstLine="709" w:left="0" w:right="0"/>
        <w:rPr>
          <w:rFonts w:ascii="Times New Roman" w:hAnsi="Times New Roman"/>
        </w:rPr>
      </w:pPr>
      <w:r>
        <w:rPr>
          <w:rFonts w:ascii="Times New Roman" w:hAnsi="Times New Roman"/>
        </w:rPr>
        <w:t>Корпус КТП должен быть выполнен из листовой оцинкованной стали не менее 2 мм.</w:t>
      </w:r>
    </w:p>
    <w:p w14:paraId="8F000000">
      <w:pPr>
        <w:widowControl w:val="1"/>
        <w:spacing w:after="0" w:before="0" w:line="240" w:lineRule="auto"/>
        <w:ind w:firstLine="0" w:left="0" w:right="0"/>
        <w:jc w:val="center"/>
        <w:rPr>
          <w:rFonts w:ascii="Times New Roman" w:hAnsi="Times New Roman"/>
        </w:rPr>
      </w:pPr>
      <w:r>
        <w:rPr>
          <w:rFonts w:ascii="Times New Roman" w:hAnsi="Times New Roman"/>
          <w:b w:val="1"/>
        </w:rPr>
        <w:t>5. Сертификация</w:t>
      </w:r>
    </w:p>
    <w:p w14:paraId="90000000">
      <w:pPr>
        <w:widowControl w:val="1"/>
        <w:spacing w:after="0" w:before="0" w:line="240" w:lineRule="auto"/>
        <w:ind w:firstLine="709" w:left="0" w:right="0"/>
        <w:rPr>
          <w:rFonts w:ascii="Times New Roman" w:hAnsi="Times New Roman"/>
        </w:rPr>
      </w:pPr>
      <w:r>
        <w:rPr>
          <w:rFonts w:ascii="Times New Roman" w:hAnsi="Times New Roman"/>
        </w:rPr>
        <w:t>- Соответствовать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w:t>
      </w:r>
    </w:p>
    <w:p w14:paraId="91000000">
      <w:pPr>
        <w:widowControl w:val="1"/>
        <w:spacing w:after="0" w:before="0" w:line="240" w:lineRule="auto"/>
        <w:ind w:firstLine="0" w:left="0" w:right="0"/>
        <w:jc w:val="center"/>
        <w:rPr>
          <w:rFonts w:ascii="Times New Roman" w:hAnsi="Times New Roman"/>
        </w:rPr>
      </w:pPr>
      <w:r>
        <w:rPr>
          <w:rFonts w:ascii="Times New Roman" w:hAnsi="Times New Roman"/>
          <w:b w:val="1"/>
        </w:rPr>
        <w:t>6. Гарантия</w:t>
      </w:r>
    </w:p>
    <w:p w14:paraId="92000000">
      <w:pPr>
        <w:widowControl w:val="1"/>
        <w:spacing w:after="0" w:before="0" w:line="240" w:lineRule="auto"/>
        <w:ind w:firstLine="709" w:left="0" w:right="0"/>
        <w:rPr>
          <w:rFonts w:ascii="Times New Roman" w:hAnsi="Times New Roman"/>
        </w:rPr>
      </w:pPr>
      <w:r>
        <w:rPr>
          <w:rFonts w:ascii="Times New Roman" w:hAnsi="Times New Roman"/>
        </w:rPr>
        <w:t>- Гарантийный срок эксплуатации светильника должен составлять не менее 5 лет с момента отгрузки.</w:t>
      </w:r>
    </w:p>
    <w:p w14:paraId="93000000">
      <w:pPr>
        <w:widowControl w:val="1"/>
        <w:spacing w:after="0" w:before="0" w:line="240" w:lineRule="auto"/>
        <w:ind w:firstLine="709" w:left="0" w:right="0"/>
        <w:rPr>
          <w:rFonts w:ascii="Times New Roman" w:hAnsi="Times New Roman"/>
        </w:rPr>
      </w:pPr>
      <w:r>
        <w:rPr>
          <w:rFonts w:ascii="Times New Roman" w:hAnsi="Times New Roman"/>
        </w:rPr>
        <w:t>-Срок службы светильника должен составлять не менее 12 лет.</w:t>
      </w:r>
    </w:p>
    <w:p w14:paraId="94000000">
      <w:pPr>
        <w:widowControl w:val="1"/>
        <w:spacing w:after="0" w:before="0" w:line="240" w:lineRule="auto"/>
        <w:ind w:firstLine="709" w:left="0" w:right="0"/>
        <w:rPr>
          <w:rFonts w:ascii="Times New Roman" w:hAnsi="Times New Roman"/>
        </w:rPr>
      </w:pPr>
      <w:r>
        <w:rPr>
          <w:rFonts w:ascii="Times New Roman" w:hAnsi="Times New Roman"/>
        </w:rPr>
        <w:t>6.1. Освещение пешеходных переходов в одном уровне с проезжей частью в темное время суток должно обеспечивать среднюю вертикальную освещенность вдоль продольной оси перехода со стороны хода движения транспорта не менее 15 лк и не допускать ослепление водителей встречного транспорта, а также иметь среднюю горизонтальную освещенность на 50% выше средней нормируемой освещенности автомобильной дороги.</w:t>
      </w:r>
    </w:p>
    <w:p w14:paraId="95000000">
      <w:pPr>
        <w:widowControl w:val="1"/>
        <w:spacing w:after="0" w:before="0" w:line="240" w:lineRule="auto"/>
        <w:ind w:firstLine="709" w:left="0" w:right="0"/>
        <w:rPr>
          <w:rFonts w:ascii="Times New Roman" w:hAnsi="Times New Roman"/>
        </w:rPr>
      </w:pPr>
      <w:r>
        <w:rPr>
          <w:rFonts w:ascii="Times New Roman" w:hAnsi="Times New Roman"/>
        </w:rPr>
        <w:t xml:space="preserve">6.2. Предусмотреть контуры заземления крайних опор освещения согласно </w:t>
      </w:r>
      <w:r>
        <w:rPr>
          <w:rFonts w:ascii="Times New Roman" w:hAnsi="Times New Roman"/>
        </w:rPr>
        <w:t>действующих норм. Контуры заземления выполнить с помощью отдельных заземляющих электродов, количеством и длиной согласно произведенного расчета.</w:t>
      </w:r>
    </w:p>
    <w:p w14:paraId="96000000">
      <w:pPr>
        <w:widowControl w:val="1"/>
        <w:spacing w:after="0" w:before="0" w:line="240" w:lineRule="auto"/>
        <w:ind w:firstLine="709" w:left="0" w:right="0"/>
        <w:rPr>
          <w:rFonts w:ascii="Times New Roman" w:hAnsi="Times New Roman"/>
        </w:rPr>
      </w:pPr>
      <w:r>
        <w:rPr>
          <w:rFonts w:ascii="Times New Roman" w:hAnsi="Times New Roman"/>
        </w:rPr>
        <w:t>6.3. Кабельные линии на вводе в закладные детали опор должны защищаться отрезками электротехнических двустенных ПНД труб длиной не менее 500 мм.</w:t>
      </w:r>
    </w:p>
    <w:p w14:paraId="97000000">
      <w:pPr>
        <w:widowControl w:val="1"/>
        <w:spacing w:after="0" w:before="0" w:line="240" w:lineRule="auto"/>
        <w:ind w:firstLine="709" w:left="0" w:right="0"/>
        <w:rPr>
          <w:rFonts w:ascii="Times New Roman" w:hAnsi="Times New Roman"/>
        </w:rPr>
      </w:pPr>
      <w:r>
        <w:rPr>
          <w:rFonts w:ascii="Times New Roman" w:hAnsi="Times New Roman"/>
        </w:rPr>
        <w:t>6.4. Кабельные линии прокладываются на подушке из просеянного грунта высотой не менее 150 мм и покрываются просеянным грунтом (песка) на высоту 150 мм. Кабельная линия обозначается сигнальной лентой шириной не менее 150 мм с прокладкой, согласно действующих норм.</w:t>
      </w:r>
    </w:p>
    <w:p w14:paraId="98000000">
      <w:pPr>
        <w:widowControl w:val="1"/>
        <w:spacing w:after="57" w:before="0" w:line="240" w:lineRule="auto"/>
        <w:ind w:firstLine="0" w:left="0" w:right="0"/>
        <w:rPr>
          <w:rFonts w:ascii="Times New Roman" w:hAnsi="Times New Roman"/>
        </w:rPr>
      </w:pPr>
      <w:r>
        <w:rPr>
          <w:rFonts w:ascii="Times New Roman" w:hAnsi="Times New Roman"/>
        </w:rPr>
        <w:t>6.5. При выполнении работ учесть технические условия электросетевой организации.</w:t>
      </w:r>
    </w:p>
    <w:p w14:paraId="99000000">
      <w:pPr>
        <w:widowControl w:val="1"/>
        <w:spacing w:after="57" w:before="0" w:line="240" w:lineRule="auto"/>
        <w:ind w:firstLine="0" w:left="0" w:right="0"/>
        <w:jc w:val="center"/>
        <w:rPr>
          <w:rFonts w:ascii="Times New Roman" w:hAnsi="Times New Roman"/>
        </w:rPr>
      </w:pPr>
      <w:r>
        <w:rPr>
          <w:rFonts w:ascii="Times New Roman" w:hAnsi="Times New Roman"/>
          <w:b w:val="1"/>
        </w:rPr>
        <w:t>7. Особые условия</w:t>
      </w:r>
    </w:p>
    <w:p w14:paraId="9A000000">
      <w:pPr>
        <w:widowControl w:val="1"/>
        <w:spacing w:after="57" w:before="0" w:line="240" w:lineRule="auto"/>
        <w:ind w:firstLine="709" w:left="0" w:right="0"/>
        <w:rPr>
          <w:rFonts w:ascii="Times New Roman" w:hAnsi="Times New Roman"/>
        </w:rPr>
      </w:pPr>
      <w:r>
        <w:rPr>
          <w:rFonts w:ascii="Times New Roman" w:hAnsi="Times New Roman"/>
        </w:rPr>
        <w:t>7.1. Места производства строительно-монтажных работ - это бурение в скальных породах, развозка материалов на крутых склонах, установка опор в горных условиях, монтаж кабеля СИП-2 в горных условиях на высоте больше 8 м.</w:t>
      </w:r>
    </w:p>
    <w:p w14:paraId="9B000000">
      <w:pPr>
        <w:widowControl w:val="1"/>
        <w:spacing w:after="57" w:before="0" w:line="240" w:lineRule="auto"/>
        <w:ind w:firstLine="709" w:left="0" w:right="0"/>
        <w:rPr>
          <w:rFonts w:ascii="Times New Roman" w:hAnsi="Times New Roman"/>
        </w:rPr>
      </w:pPr>
      <w:r>
        <w:rPr>
          <w:rFonts w:ascii="Times New Roman" w:hAnsi="Times New Roman"/>
        </w:rPr>
        <w:t>7.2. Сложное производство работ на одной половине проезжей части при систематическом движении транспорта по другой.</w:t>
      </w:r>
    </w:p>
    <w:p w14:paraId="9C000000">
      <w:pPr>
        <w:widowControl w:val="1"/>
        <w:spacing w:after="57" w:before="0" w:line="240" w:lineRule="auto"/>
        <w:ind w:firstLine="709" w:left="0" w:right="0"/>
        <w:rPr>
          <w:rFonts w:ascii="Times New Roman" w:hAnsi="Times New Roman"/>
        </w:rPr>
      </w:pPr>
      <w:r>
        <w:rPr>
          <w:rFonts w:ascii="Times New Roman" w:hAnsi="Times New Roman"/>
        </w:rPr>
        <w:t>7.3. Строительно-монтажные работы аналогичны технологическому процессу нового строительства.</w:t>
      </w:r>
    </w:p>
    <w:p w14:paraId="9D000000">
      <w:pPr>
        <w:widowControl w:val="1"/>
        <w:spacing w:after="269" w:before="269" w:line="240" w:lineRule="auto"/>
        <w:ind w:firstLine="0" w:left="0" w:right="0"/>
        <w:jc w:val="center"/>
        <w:rPr>
          <w:rFonts w:ascii="Times New Roman" w:hAnsi="Times New Roman"/>
        </w:rPr>
      </w:pPr>
      <w:r>
        <w:rPr>
          <w:rFonts w:ascii="Times New Roman" w:hAnsi="Times New Roman"/>
          <w:b w:val="1"/>
        </w:rPr>
        <w:t>8. Техника безопасности</w:t>
      </w:r>
    </w:p>
    <w:p w14:paraId="9E000000">
      <w:pPr>
        <w:widowControl w:val="1"/>
        <w:spacing w:after="0" w:before="0" w:line="240" w:lineRule="auto"/>
        <w:ind w:firstLine="709" w:left="0" w:right="0"/>
        <w:rPr>
          <w:rFonts w:ascii="Times New Roman" w:hAnsi="Times New Roman"/>
        </w:rPr>
      </w:pPr>
      <w:r>
        <w:rPr>
          <w:rFonts w:ascii="Times New Roman" w:hAnsi="Times New Roman"/>
        </w:rPr>
        <w:t>8.1. Безопасность производства работ должна выполняться в строгом соответствии с действующими нормами и правилами.</w:t>
      </w:r>
    </w:p>
    <w:p w14:paraId="9F000000">
      <w:pPr>
        <w:widowControl w:val="1"/>
        <w:spacing w:after="0" w:before="0" w:line="240" w:lineRule="auto"/>
        <w:ind w:firstLine="709" w:left="0" w:right="0"/>
        <w:rPr>
          <w:rFonts w:ascii="Times New Roman" w:hAnsi="Times New Roman"/>
        </w:rPr>
      </w:pPr>
      <w:r>
        <w:rPr>
          <w:rFonts w:ascii="Times New Roman" w:hAnsi="Times New Roman"/>
        </w:rPr>
        <w:t>8.2. Обучение персонала безопасным методам труда и проверку знаний Подрядчик проводит самостоятельно в соответствии с действующими правилами.</w:t>
      </w:r>
    </w:p>
    <w:p w14:paraId="A0000000">
      <w:pPr>
        <w:widowControl w:val="1"/>
        <w:spacing w:after="0" w:before="0" w:line="240" w:lineRule="auto"/>
        <w:ind w:firstLine="709" w:left="0" w:right="0"/>
        <w:rPr>
          <w:rFonts w:ascii="Times New Roman" w:hAnsi="Times New Roman"/>
        </w:rPr>
      </w:pPr>
      <w:r>
        <w:rPr>
          <w:rFonts w:ascii="Times New Roman" w:hAnsi="Times New Roman"/>
        </w:rPr>
        <w:t>8.3. Организация движения и ограждение мест производства дорожных работ производится Подрядчиком согласно действующих норм.</w:t>
      </w:r>
    </w:p>
    <w:p w14:paraId="A1000000">
      <w:pPr>
        <w:widowControl w:val="1"/>
        <w:spacing w:after="0" w:before="0" w:line="240" w:lineRule="auto"/>
        <w:ind w:firstLine="709" w:left="0" w:right="0"/>
        <w:rPr>
          <w:rFonts w:ascii="Times New Roman" w:hAnsi="Times New Roman"/>
        </w:rPr>
      </w:pPr>
      <w:r>
        <w:rPr>
          <w:rFonts w:ascii="Times New Roman" w:hAnsi="Times New Roman"/>
        </w:rPr>
        <w:t>8.4. До начала производства работ Подрядчик обязан представить на согласование Заказчику схему организации дорожного движения и ограждения места производства работ.</w:t>
      </w:r>
    </w:p>
    <w:p w14:paraId="A2000000">
      <w:pPr>
        <w:widowControl w:val="1"/>
        <w:spacing w:after="0" w:before="0" w:line="240" w:lineRule="auto"/>
        <w:ind w:firstLine="709" w:left="0" w:right="0"/>
        <w:rPr>
          <w:rFonts w:ascii="Times New Roman" w:hAnsi="Times New Roman"/>
        </w:rPr>
      </w:pPr>
      <w:r>
        <w:rPr>
          <w:rFonts w:ascii="Times New Roman" w:hAnsi="Times New Roman"/>
        </w:rPr>
        <w:t>8.5. При производстве работ согласованная и утвержденная схема организации дорожного движения и ограждения мест производства дорожных работ должна находиться у Подрядчика, непосредственно на участке выполнения работ.</w:t>
      </w:r>
    </w:p>
    <w:p w14:paraId="A3000000">
      <w:pPr>
        <w:widowControl w:val="1"/>
        <w:spacing w:after="0" w:before="0" w:line="240" w:lineRule="auto"/>
        <w:ind w:firstLine="709" w:left="0" w:right="0"/>
        <w:rPr>
          <w:rFonts w:ascii="Times New Roman" w:hAnsi="Times New Roman"/>
        </w:rPr>
      </w:pPr>
      <w:r>
        <w:rPr>
          <w:rFonts w:ascii="Times New Roman" w:hAnsi="Times New Roman"/>
        </w:rPr>
        <w:t>8.6. Подрядчик должен иметь полный комплект дорожных знаков и технических средств регулирования движения и обеспечивать их установку и перестановку в точном соответствии с утвержденной схемой организации дорожного движения и ограждения мест производства дорожных работ.</w:t>
      </w:r>
    </w:p>
    <w:p w14:paraId="A4000000">
      <w:pPr>
        <w:widowControl w:val="1"/>
        <w:spacing w:after="0" w:before="0" w:line="240" w:lineRule="auto"/>
        <w:ind w:firstLine="709" w:left="0" w:right="0"/>
        <w:rPr>
          <w:rFonts w:ascii="Times New Roman" w:hAnsi="Times New Roman"/>
        </w:rPr>
      </w:pPr>
      <w:r>
        <w:rPr>
          <w:rFonts w:ascii="Times New Roman" w:hAnsi="Times New Roman"/>
        </w:rPr>
        <w:t>8.7. Механизаторы, рабочие и специалисты, задействованные при выполнении работ на федеральных дорогах, должны быть обеспечены спецодеждой со светоотражающими элементами оранжевого цвета и с названием предприятия.</w:t>
      </w:r>
    </w:p>
    <w:p w14:paraId="A5000000">
      <w:pPr>
        <w:widowControl w:val="1"/>
        <w:spacing w:after="0" w:before="0" w:line="240" w:lineRule="auto"/>
        <w:ind w:firstLine="0" w:left="0" w:right="0"/>
        <w:jc w:val="center"/>
        <w:rPr>
          <w:rFonts w:ascii="Times New Roman" w:hAnsi="Times New Roman"/>
        </w:rPr>
      </w:pPr>
      <w:r>
        <w:rPr>
          <w:rFonts w:ascii="Times New Roman" w:hAnsi="Times New Roman"/>
          <w:b w:val="1"/>
        </w:rPr>
        <w:t>9. Основные указания по разработке проекта производства работ (ППР)</w:t>
      </w:r>
    </w:p>
    <w:p w14:paraId="A6000000">
      <w:pPr>
        <w:widowControl w:val="1"/>
        <w:spacing w:after="0" w:before="0" w:line="240" w:lineRule="auto"/>
        <w:ind w:firstLine="709" w:left="0" w:right="0"/>
        <w:rPr>
          <w:rFonts w:ascii="Times New Roman" w:hAnsi="Times New Roman"/>
        </w:rPr>
      </w:pPr>
      <w:r>
        <w:rPr>
          <w:rFonts w:ascii="Times New Roman" w:hAnsi="Times New Roman"/>
        </w:rPr>
        <w:t>Проект производства работ (ППР) разрабатывается генеральной подрядной строительно-монтажной организацией (Подрядчиком) и согласовывается с Заказчиком.</w:t>
      </w:r>
    </w:p>
    <w:p w14:paraId="A7000000">
      <w:pPr>
        <w:widowControl w:val="1"/>
        <w:spacing w:after="0" w:before="0" w:line="240" w:lineRule="auto"/>
        <w:ind w:firstLine="709" w:left="0" w:right="0"/>
        <w:rPr>
          <w:rFonts w:ascii="Times New Roman" w:hAnsi="Times New Roman"/>
        </w:rPr>
      </w:pPr>
      <w:r>
        <w:rPr>
          <w:rFonts w:ascii="Times New Roman" w:hAnsi="Times New Roman"/>
        </w:rPr>
        <w:t>В состав ППР включается:</w:t>
      </w:r>
    </w:p>
    <w:p w14:paraId="A8000000">
      <w:pPr>
        <w:widowControl w:val="1"/>
        <w:spacing w:after="0" w:before="0" w:line="240" w:lineRule="auto"/>
        <w:ind w:firstLine="709" w:left="0" w:right="0"/>
        <w:rPr>
          <w:rFonts w:ascii="Times New Roman" w:hAnsi="Times New Roman"/>
        </w:rPr>
      </w:pPr>
      <w:r>
        <w:rPr>
          <w:rFonts w:ascii="Times New Roman" w:hAnsi="Times New Roman"/>
        </w:rPr>
        <w:t>- копия свидетельства об оценке состояния измерений (аттестации) в лаборатории, а в случае заключения договора с аттестованной лабораторией, в том числе и копию договора.</w:t>
      </w:r>
    </w:p>
    <w:p w14:paraId="A9000000">
      <w:pPr>
        <w:widowControl w:val="1"/>
        <w:spacing w:after="0" w:before="0" w:line="240" w:lineRule="auto"/>
        <w:ind w:firstLine="709" w:left="0" w:right="0"/>
        <w:rPr>
          <w:rFonts w:ascii="Times New Roman" w:hAnsi="Times New Roman"/>
        </w:rPr>
      </w:pPr>
      <w:r>
        <w:rPr>
          <w:rFonts w:ascii="Times New Roman" w:hAnsi="Times New Roman"/>
        </w:rPr>
        <w:t>Приказы о назначении ответственных лиц:</w:t>
      </w:r>
    </w:p>
    <w:p w14:paraId="AA000000">
      <w:pPr>
        <w:widowControl w:val="1"/>
        <w:spacing w:after="0" w:before="0" w:line="240" w:lineRule="auto"/>
        <w:ind w:firstLine="709" w:left="0" w:right="0"/>
        <w:rPr>
          <w:rFonts w:ascii="Times New Roman" w:hAnsi="Times New Roman"/>
        </w:rPr>
      </w:pPr>
      <w:r>
        <w:rPr>
          <w:rFonts w:ascii="Times New Roman" w:hAnsi="Times New Roman"/>
        </w:rPr>
        <w:t>- по организации и обеспечению качества выполнения работ на Объекте;</w:t>
      </w:r>
    </w:p>
    <w:p w14:paraId="AB000000">
      <w:pPr>
        <w:widowControl w:val="1"/>
        <w:spacing w:after="0" w:before="0" w:line="240" w:lineRule="auto"/>
        <w:ind w:firstLine="709" w:left="0" w:right="0"/>
        <w:rPr>
          <w:rFonts w:ascii="Times New Roman" w:hAnsi="Times New Roman"/>
        </w:rPr>
      </w:pPr>
      <w:r>
        <w:rPr>
          <w:rFonts w:ascii="Times New Roman" w:hAnsi="Times New Roman"/>
        </w:rPr>
        <w:t>- по подготовке исполнительной документации;</w:t>
      </w:r>
    </w:p>
    <w:p w14:paraId="AC000000">
      <w:pPr>
        <w:widowControl w:val="1"/>
        <w:spacing w:after="0" w:before="0" w:line="240" w:lineRule="auto"/>
        <w:ind w:firstLine="709" w:left="0" w:right="0"/>
        <w:rPr>
          <w:rFonts w:ascii="Times New Roman" w:hAnsi="Times New Roman"/>
        </w:rPr>
      </w:pPr>
      <w:r>
        <w:rPr>
          <w:rFonts w:ascii="Times New Roman" w:hAnsi="Times New Roman"/>
        </w:rPr>
        <w:t>- по выполнению мероприятий противопожарной безопасности объекта;</w:t>
      </w:r>
    </w:p>
    <w:p w14:paraId="AD000000">
      <w:pPr>
        <w:widowControl w:val="1"/>
        <w:spacing w:after="0" w:before="0" w:line="240" w:lineRule="auto"/>
        <w:ind w:firstLine="709" w:left="0" w:right="0"/>
        <w:rPr>
          <w:rFonts w:ascii="Times New Roman" w:hAnsi="Times New Roman"/>
        </w:rPr>
      </w:pPr>
      <w:r>
        <w:rPr>
          <w:rFonts w:ascii="Times New Roman" w:hAnsi="Times New Roman"/>
        </w:rPr>
        <w:t>Содержание проекта:</w:t>
      </w:r>
    </w:p>
    <w:p w14:paraId="AE000000">
      <w:pPr>
        <w:widowControl w:val="1"/>
        <w:spacing w:after="0" w:before="0" w:line="240" w:lineRule="auto"/>
        <w:ind w:firstLine="709" w:left="0" w:right="0"/>
        <w:rPr>
          <w:rFonts w:ascii="Times New Roman" w:hAnsi="Times New Roman"/>
        </w:rPr>
      </w:pPr>
      <w:r>
        <w:rPr>
          <w:rFonts w:ascii="Times New Roman" w:hAnsi="Times New Roman"/>
        </w:rPr>
        <w:t>- пояснительная записка;</w:t>
      </w:r>
    </w:p>
    <w:p w14:paraId="AF000000">
      <w:pPr>
        <w:widowControl w:val="1"/>
        <w:spacing w:after="0" w:before="0" w:line="240" w:lineRule="auto"/>
        <w:ind w:firstLine="709" w:left="0" w:right="0"/>
        <w:rPr>
          <w:rFonts w:ascii="Times New Roman" w:hAnsi="Times New Roman"/>
        </w:rPr>
      </w:pPr>
      <w:r>
        <w:rPr>
          <w:rFonts w:ascii="Times New Roman" w:hAnsi="Times New Roman"/>
        </w:rPr>
        <w:t>- схема организации движения на период выполнения работ;</w:t>
      </w:r>
    </w:p>
    <w:p w14:paraId="B0000000">
      <w:pPr>
        <w:widowControl w:val="1"/>
        <w:spacing w:after="0" w:before="0" w:line="240" w:lineRule="auto"/>
        <w:ind w:firstLine="709" w:left="0" w:right="0"/>
        <w:rPr>
          <w:rFonts w:ascii="Times New Roman" w:hAnsi="Times New Roman"/>
        </w:rPr>
      </w:pPr>
      <w:r>
        <w:rPr>
          <w:rFonts w:ascii="Times New Roman" w:hAnsi="Times New Roman"/>
        </w:rPr>
        <w:t>- календарный график производства работ;</w:t>
      </w:r>
    </w:p>
    <w:p w14:paraId="B1000000">
      <w:pPr>
        <w:widowControl w:val="1"/>
        <w:spacing w:after="0" w:before="0" w:line="240" w:lineRule="auto"/>
        <w:ind w:firstLine="709" w:left="0" w:right="0"/>
        <w:rPr>
          <w:rFonts w:ascii="Times New Roman" w:hAnsi="Times New Roman"/>
        </w:rPr>
      </w:pPr>
      <w:r>
        <w:rPr>
          <w:rFonts w:ascii="Times New Roman" w:hAnsi="Times New Roman"/>
        </w:rPr>
        <w:t>- перечень инженерно-технических работников, ознакомленных с проектом производства работ с подписями;</w:t>
      </w:r>
    </w:p>
    <w:p w14:paraId="B2000000">
      <w:pPr>
        <w:widowControl w:val="1"/>
        <w:spacing w:after="0" w:before="0" w:line="240" w:lineRule="auto"/>
        <w:ind w:firstLine="709" w:left="0" w:right="0"/>
        <w:rPr>
          <w:rFonts w:ascii="Times New Roman" w:hAnsi="Times New Roman"/>
        </w:rPr>
      </w:pPr>
      <w:r>
        <w:rPr>
          <w:rFonts w:ascii="Times New Roman" w:hAnsi="Times New Roman"/>
        </w:rPr>
        <w:t>- обеспечение качества строительно-монтажных работ (порядок осуществления ответственными лицами контроля качества работ, строительных материалов, конструкций и изделий), а именно:</w:t>
      </w:r>
    </w:p>
    <w:p w14:paraId="B3000000">
      <w:pPr>
        <w:widowControl w:val="1"/>
        <w:spacing w:after="0" w:before="0" w:line="240" w:lineRule="auto"/>
        <w:ind w:firstLine="709" w:left="0" w:right="0"/>
        <w:rPr>
          <w:rFonts w:ascii="Times New Roman" w:hAnsi="Times New Roman"/>
        </w:rPr>
      </w:pPr>
      <w:r>
        <w:rPr>
          <w:rFonts w:ascii="Times New Roman" w:hAnsi="Times New Roman"/>
        </w:rPr>
        <w:t>- осуществление технического надзора и контроля за выполнением строительномонтажных и ремонтных работ, производства строительных материалов;</w:t>
      </w:r>
    </w:p>
    <w:p w14:paraId="B4000000">
      <w:pPr>
        <w:widowControl w:val="1"/>
        <w:spacing w:after="0" w:before="0" w:line="240" w:lineRule="auto"/>
        <w:ind w:firstLine="709" w:left="0" w:right="0"/>
        <w:rPr>
          <w:rFonts w:ascii="Times New Roman" w:hAnsi="Times New Roman"/>
        </w:rPr>
      </w:pPr>
      <w:r>
        <w:rPr>
          <w:rFonts w:ascii="Times New Roman" w:hAnsi="Times New Roman"/>
        </w:rPr>
        <w:t>- осуществление контроля за соблюдением требований СНиП, ГОСТ и других нормативных документов при строительно-монтажных и ремонтных работах, производстве строительных материалов;</w:t>
      </w:r>
    </w:p>
    <w:p w14:paraId="B5000000">
      <w:pPr>
        <w:widowControl w:val="1"/>
        <w:spacing w:after="0" w:before="0" w:line="240" w:lineRule="auto"/>
        <w:ind w:firstLine="709" w:left="0" w:right="0"/>
        <w:rPr>
          <w:rFonts w:ascii="Times New Roman" w:hAnsi="Times New Roman"/>
        </w:rPr>
      </w:pPr>
      <w:r>
        <w:rPr>
          <w:rFonts w:ascii="Times New Roman" w:hAnsi="Times New Roman"/>
        </w:rPr>
        <w:t>- осуществление контроля за соблюдением требований законодательства об охране окружающей среды;</w:t>
      </w:r>
    </w:p>
    <w:p w14:paraId="B6000000">
      <w:pPr>
        <w:widowControl w:val="1"/>
        <w:spacing w:after="0" w:before="0" w:line="240" w:lineRule="auto"/>
        <w:ind w:firstLine="709" w:left="0" w:right="0"/>
        <w:rPr>
          <w:rFonts w:ascii="Times New Roman" w:hAnsi="Times New Roman"/>
        </w:rPr>
      </w:pPr>
      <w:r>
        <w:rPr>
          <w:rFonts w:ascii="Times New Roman" w:hAnsi="Times New Roman"/>
        </w:rPr>
        <w:t>- осуществление контроля качества материально-технологического обеспечения работ (сплошной операционный);</w:t>
      </w:r>
    </w:p>
    <w:p w14:paraId="B7000000">
      <w:pPr>
        <w:widowControl w:val="1"/>
        <w:spacing w:after="0" w:before="0" w:line="240" w:lineRule="auto"/>
        <w:ind w:firstLine="709" w:left="0" w:right="0"/>
        <w:rPr>
          <w:rFonts w:ascii="Times New Roman" w:hAnsi="Times New Roman"/>
        </w:rPr>
      </w:pPr>
      <w:r>
        <w:rPr>
          <w:rFonts w:ascii="Times New Roman" w:hAnsi="Times New Roman"/>
        </w:rPr>
        <w:t>- осуществление контроля применяемого оборудования и средств измерений, методов выполнения работ (входной, приемочный);</w:t>
      </w:r>
    </w:p>
    <w:p w14:paraId="B8000000">
      <w:pPr>
        <w:widowControl w:val="1"/>
        <w:spacing w:after="0" w:before="0" w:line="240" w:lineRule="auto"/>
        <w:ind w:firstLine="709" w:left="0" w:right="0"/>
        <w:rPr>
          <w:rFonts w:ascii="Times New Roman" w:hAnsi="Times New Roman"/>
        </w:rPr>
      </w:pPr>
      <w:r>
        <w:rPr>
          <w:rFonts w:ascii="Times New Roman" w:hAnsi="Times New Roman"/>
        </w:rPr>
        <w:t>- описание предлагаемых к выполнению работ техники, и механизмов, их технические характеристики, а также их принадлежность;</w:t>
      </w:r>
    </w:p>
    <w:p w14:paraId="B9000000">
      <w:pPr>
        <w:widowControl w:val="1"/>
        <w:spacing w:after="0" w:before="0" w:line="240" w:lineRule="auto"/>
        <w:ind w:firstLine="709" w:left="0" w:right="0"/>
        <w:rPr>
          <w:rFonts w:ascii="Times New Roman" w:hAnsi="Times New Roman"/>
        </w:rPr>
      </w:pPr>
      <w:r>
        <w:rPr>
          <w:rFonts w:ascii="Times New Roman" w:hAnsi="Times New Roman"/>
        </w:rPr>
        <w:t>- графики потребности в кадрах с указанием ожидаемой максимальной численности и затрат труда на весь объем работ;</w:t>
      </w:r>
    </w:p>
    <w:p w14:paraId="BA000000">
      <w:pPr>
        <w:widowControl w:val="1"/>
        <w:spacing w:after="0" w:before="0" w:line="240" w:lineRule="auto"/>
        <w:ind w:firstLine="709" w:left="0" w:right="0"/>
        <w:rPr>
          <w:rFonts w:ascii="Times New Roman" w:hAnsi="Times New Roman"/>
        </w:rPr>
      </w:pPr>
      <w:r>
        <w:rPr>
          <w:rFonts w:ascii="Times New Roman" w:hAnsi="Times New Roman"/>
        </w:rPr>
        <w:t>- описание технологических карт (схем) на выполнение отдельных видов работ, описание методов производства работ, указанием трудозатрат и потребности материалов, дорожных машинах, приспособлениях и средствах защиты дорожных рабочих, приемочный и операционный контроль согласно СНиП;</w:t>
      </w:r>
    </w:p>
    <w:p w14:paraId="BB000000">
      <w:pPr>
        <w:widowControl w:val="1"/>
        <w:spacing w:after="0" w:before="0" w:line="240" w:lineRule="auto"/>
        <w:ind w:firstLine="709" w:left="0" w:right="0"/>
        <w:rPr>
          <w:rFonts w:ascii="Times New Roman" w:hAnsi="Times New Roman"/>
        </w:rPr>
      </w:pPr>
      <w:r>
        <w:rPr>
          <w:rFonts w:ascii="Times New Roman" w:hAnsi="Times New Roman"/>
        </w:rPr>
        <w:t>- описание комплекса природоохранных мероприятий при производстве работ;</w:t>
      </w:r>
    </w:p>
    <w:p w14:paraId="BC000000">
      <w:pPr>
        <w:widowControl w:val="1"/>
        <w:spacing w:after="0" w:before="0" w:line="240" w:lineRule="auto"/>
        <w:ind w:firstLine="709" w:left="0" w:right="0"/>
        <w:rPr>
          <w:rFonts w:ascii="Times New Roman" w:hAnsi="Times New Roman"/>
        </w:rPr>
      </w:pPr>
      <w:r>
        <w:rPr>
          <w:rFonts w:ascii="Times New Roman" w:hAnsi="Times New Roman"/>
        </w:rPr>
        <w:t>- описание мероприятий по обеспечению безопасности дорожного движения и производства работ.</w:t>
      </w:r>
    </w:p>
    <w:p w14:paraId="BD000000">
      <w:pPr>
        <w:widowControl w:val="1"/>
        <w:spacing w:after="0" w:before="0" w:line="240" w:lineRule="auto"/>
        <w:ind w:firstLine="709" w:left="0" w:right="0"/>
        <w:rPr>
          <w:rFonts w:ascii="Times New Roman" w:hAnsi="Times New Roman"/>
        </w:rPr>
      </w:pPr>
      <w:r>
        <w:rPr>
          <w:rFonts w:ascii="Times New Roman" w:hAnsi="Times New Roman"/>
        </w:rPr>
        <w:t>- описание комплекса противопожарных мероприятий при производстве работ.</w:t>
      </w:r>
    </w:p>
    <w:p w14:paraId="BE000000">
      <w:pPr>
        <w:widowControl w:val="1"/>
        <w:spacing w:after="0" w:before="0" w:line="240" w:lineRule="auto"/>
        <w:ind w:firstLine="0" w:left="0" w:right="0"/>
        <w:jc w:val="center"/>
        <w:rPr>
          <w:rFonts w:ascii="Times New Roman" w:hAnsi="Times New Roman"/>
        </w:rPr>
      </w:pPr>
      <w:r>
        <w:rPr>
          <w:rFonts w:ascii="Times New Roman" w:hAnsi="Times New Roman"/>
          <w:b w:val="1"/>
        </w:rPr>
        <w:t>10. Порядок информирования Заказчика при выполнении работ.</w:t>
      </w:r>
    </w:p>
    <w:p w14:paraId="BF000000">
      <w:pPr>
        <w:widowControl w:val="1"/>
        <w:spacing w:after="0" w:before="0" w:line="240" w:lineRule="auto"/>
        <w:ind w:firstLine="709" w:left="0" w:right="0"/>
        <w:rPr>
          <w:rFonts w:ascii="Times New Roman" w:hAnsi="Times New Roman"/>
        </w:rPr>
      </w:pPr>
      <w:r>
        <w:rPr>
          <w:rFonts w:ascii="Times New Roman" w:hAnsi="Times New Roman"/>
        </w:rPr>
        <w:t>10.1. Подрядчик представляет Заказчику:</w:t>
      </w:r>
    </w:p>
    <w:p w14:paraId="C0000000">
      <w:pPr>
        <w:widowControl w:val="1"/>
        <w:spacing w:after="0" w:before="0" w:line="240" w:lineRule="auto"/>
        <w:ind w:firstLine="709" w:left="0" w:right="0"/>
        <w:rPr>
          <w:rFonts w:ascii="Times New Roman" w:hAnsi="Times New Roman"/>
        </w:rPr>
      </w:pPr>
      <w:r>
        <w:rPr>
          <w:rFonts w:ascii="Times New Roman" w:hAnsi="Times New Roman"/>
        </w:rPr>
        <w:t>10.1.1 по письменному запросу Заказчика дополнительные данные о ходе работ, в том числе наличие на Объекте технических и людских ресурсов, наличие Товаров и других данных, имеющих отношение к выполняемым Подрядчиком работам;</w:t>
      </w:r>
    </w:p>
    <w:p w14:paraId="C1000000">
      <w:pPr>
        <w:widowControl w:val="1"/>
        <w:spacing w:after="0" w:before="0" w:line="240" w:lineRule="auto"/>
        <w:ind w:firstLine="709" w:left="0" w:right="0"/>
        <w:rPr>
          <w:rFonts w:ascii="Times New Roman" w:hAnsi="Times New Roman"/>
        </w:rPr>
      </w:pPr>
      <w:r>
        <w:rPr>
          <w:rFonts w:ascii="Times New Roman" w:hAnsi="Times New Roman"/>
        </w:rPr>
        <w:t>10.1.2 ежемесячно в электронном виде фотографии, отражающие стадию производства работ на строительной площадке;</w:t>
      </w:r>
    </w:p>
    <w:p w14:paraId="C2000000">
      <w:pPr>
        <w:widowControl w:val="1"/>
        <w:spacing w:after="0" w:before="0" w:line="240" w:lineRule="auto"/>
        <w:ind w:firstLine="709" w:left="0" w:right="0"/>
        <w:rPr>
          <w:rFonts w:ascii="Times New Roman" w:hAnsi="Times New Roman"/>
        </w:rPr>
      </w:pPr>
      <w:r>
        <w:rPr>
          <w:rFonts w:ascii="Times New Roman" w:hAnsi="Times New Roman"/>
        </w:rPr>
        <w:t>10.1.3 по Запросу Заказчика в 3-х дневный срок любую информацию об Объекте, с приложением документов, в том числе на электронных носителях;</w:t>
      </w:r>
    </w:p>
    <w:p w14:paraId="C3000000">
      <w:pPr>
        <w:widowControl w:val="1"/>
        <w:spacing w:after="0" w:before="0" w:line="240" w:lineRule="auto"/>
        <w:ind w:firstLine="709" w:left="0" w:right="0"/>
        <w:rPr>
          <w:rFonts w:ascii="Times New Roman" w:hAnsi="Times New Roman"/>
        </w:rPr>
      </w:pPr>
      <w:r>
        <w:rPr>
          <w:rFonts w:ascii="Times New Roman" w:hAnsi="Times New Roman"/>
        </w:rPr>
        <w:t>10.1.4 документы, необходимые для оформления разрешения на ввод в эксплуатацию электроустановок, принимать участие в оформлении таких разрешений;</w:t>
      </w:r>
    </w:p>
    <w:p w14:paraId="C4000000">
      <w:pPr>
        <w:widowControl w:val="1"/>
        <w:spacing w:after="0" w:before="0" w:line="240" w:lineRule="auto"/>
        <w:ind w:firstLine="709" w:left="0" w:right="0"/>
        <w:rPr>
          <w:rFonts w:ascii="Times New Roman" w:hAnsi="Times New Roman"/>
        </w:rPr>
      </w:pPr>
      <w:r>
        <w:rPr>
          <w:rFonts w:ascii="Times New Roman" w:hAnsi="Times New Roman"/>
        </w:rPr>
        <w:t>10.2. Подрядчик обязуется уведомлять Заказчика о любых внештатных ситуациях и происшествиях на Объекте и/или в связи с исполнением Контракта, включая, но не ограничиваясь:</w:t>
      </w:r>
    </w:p>
    <w:p w14:paraId="C5000000">
      <w:pPr>
        <w:widowControl w:val="1"/>
        <w:spacing w:after="0" w:before="0" w:line="240" w:lineRule="auto"/>
        <w:ind w:firstLine="709" w:left="0" w:right="0"/>
        <w:rPr>
          <w:rFonts w:ascii="Times New Roman" w:hAnsi="Times New Roman"/>
        </w:rPr>
      </w:pPr>
      <w:r>
        <w:rPr>
          <w:rFonts w:ascii="Times New Roman" w:hAnsi="Times New Roman"/>
        </w:rPr>
        <w:t>10.2.1 аварии и несчастные случаи - в порядке и в сроки, установленные действующим законодательством, отраслевыми нормами и руководящими документами Заказчика (Федерального дорожного агентства);</w:t>
      </w:r>
    </w:p>
    <w:p w14:paraId="C6000000">
      <w:pPr>
        <w:widowControl w:val="1"/>
        <w:spacing w:after="0" w:before="0" w:line="240" w:lineRule="auto"/>
        <w:ind w:firstLine="709" w:left="0" w:right="0"/>
        <w:rPr>
          <w:rFonts w:ascii="Times New Roman" w:hAnsi="Times New Roman"/>
        </w:rPr>
      </w:pPr>
      <w:r>
        <w:rPr>
          <w:rFonts w:ascii="Times New Roman" w:hAnsi="Times New Roman"/>
        </w:rPr>
        <w:t>10.2.2 иные внештатные ситуации - в порядке и в сроки, предусмотренные Контрактом.</w:t>
      </w:r>
    </w:p>
    <w:p w14:paraId="C7000000">
      <w:pPr>
        <w:widowControl w:val="1"/>
        <w:spacing w:after="0" w:before="0" w:line="240" w:lineRule="auto"/>
        <w:ind w:firstLine="709" w:left="0" w:right="0"/>
        <w:rPr>
          <w:rFonts w:ascii="Times New Roman" w:hAnsi="Times New Roman"/>
        </w:rPr>
      </w:pPr>
      <w:r>
        <w:rPr>
          <w:rFonts w:ascii="Times New Roman" w:hAnsi="Times New Roman"/>
        </w:rPr>
        <w:t>10.3. При возникновении внештатной ситуации уполномоченный представитель Подрядчика, назначенный приказом подрядной организации, обязан:</w:t>
      </w:r>
    </w:p>
    <w:p w14:paraId="C8000000">
      <w:pPr>
        <w:widowControl w:val="1"/>
        <w:spacing w:after="0" w:before="0" w:line="240" w:lineRule="auto"/>
        <w:ind w:firstLine="709" w:left="0" w:right="0"/>
        <w:rPr>
          <w:rFonts w:ascii="Times New Roman" w:hAnsi="Times New Roman"/>
        </w:rPr>
      </w:pPr>
      <w:r>
        <w:rPr>
          <w:rFonts w:ascii="Times New Roman" w:hAnsi="Times New Roman"/>
        </w:rPr>
        <w:t>10.3.1 в течение 15 минут с момента наступления внештатной ситуации предоставить устное донесение дежурному сотруднику (диспетчеру) Заказчика;</w:t>
      </w:r>
    </w:p>
    <w:p w14:paraId="C9000000">
      <w:pPr>
        <w:widowControl w:val="1"/>
        <w:spacing w:after="0" w:before="0" w:line="240" w:lineRule="auto"/>
        <w:ind w:firstLine="709" w:left="0" w:right="0"/>
        <w:rPr>
          <w:rFonts w:ascii="Times New Roman" w:hAnsi="Times New Roman"/>
        </w:rPr>
      </w:pPr>
      <w:r>
        <w:rPr>
          <w:rFonts w:ascii="Times New Roman" w:hAnsi="Times New Roman"/>
        </w:rPr>
        <w:t>10.3.2 в случае, если дежурный сотрудник (диспетчер) Заказчика не доступен для телефонной связи, уполномоченный представитель Подрядчика обязан предоставить устное донесение начальнику Заказчика или его заместителю по содержанию, при этом начальник Заказчика или его заместитель по содержанию обязаны обеспечить предоставление информации оперативном дежурному и информирование сторонних организаций;</w:t>
      </w:r>
    </w:p>
    <w:p w14:paraId="CA000000">
      <w:pPr>
        <w:widowControl w:val="1"/>
        <w:spacing w:after="0" w:before="0" w:line="240" w:lineRule="auto"/>
        <w:ind w:firstLine="709" w:left="0" w:right="0"/>
        <w:rPr>
          <w:rFonts w:ascii="Times New Roman" w:hAnsi="Times New Roman"/>
        </w:rPr>
      </w:pPr>
      <w:r>
        <w:rPr>
          <w:rFonts w:ascii="Times New Roman" w:hAnsi="Times New Roman"/>
        </w:rPr>
        <w:t>10.3.3 в случае, если дежурный сотрудник (диспетчер) Заказчика, начальник Заказчика и его заместитель по содержанию не доступны для телефонной связи, уполномоченный представитель Подрядчика обязан предоставить устное донесение оперативному дежурному;</w:t>
      </w:r>
    </w:p>
    <w:p w14:paraId="CB000000">
      <w:pPr>
        <w:widowControl w:val="1"/>
        <w:spacing w:after="0" w:before="0" w:line="240" w:lineRule="auto"/>
        <w:ind w:firstLine="709" w:left="0" w:right="0"/>
        <w:rPr>
          <w:rFonts w:ascii="Times New Roman" w:hAnsi="Times New Roman"/>
        </w:rPr>
      </w:pPr>
      <w:r>
        <w:rPr>
          <w:rFonts w:ascii="Times New Roman" w:hAnsi="Times New Roman"/>
        </w:rPr>
        <w:t>10.3.4 в течение 60 минут с наступления внештатной ситуации предоставить письменное донесение в свободной форме дежурному сотруднику (диспетчеру) Заказчика;</w:t>
      </w:r>
    </w:p>
    <w:p w14:paraId="CC000000">
      <w:pPr>
        <w:widowControl w:val="1"/>
        <w:spacing w:after="0" w:before="0" w:line="240" w:lineRule="auto"/>
        <w:ind w:firstLine="709" w:left="0" w:right="0"/>
        <w:rPr>
          <w:rFonts w:ascii="Times New Roman" w:hAnsi="Times New Roman"/>
        </w:rPr>
      </w:pPr>
      <w:r>
        <w:rPr>
          <w:rFonts w:ascii="Times New Roman" w:hAnsi="Times New Roman"/>
        </w:rPr>
        <w:t>10.3.5 к письменному донесению по возможности следует приложить фотоматериалы, позволяющие более полно оценить характер и последствия возникшей внештатной ситуации;</w:t>
      </w:r>
    </w:p>
    <w:p w14:paraId="CD000000">
      <w:pPr>
        <w:widowControl w:val="1"/>
        <w:spacing w:after="0" w:before="0" w:line="240" w:lineRule="auto"/>
        <w:ind w:firstLine="709" w:left="0" w:right="0"/>
        <w:rPr>
          <w:rFonts w:ascii="Times New Roman" w:hAnsi="Times New Roman"/>
        </w:rPr>
      </w:pPr>
      <w:r>
        <w:rPr>
          <w:rFonts w:ascii="Times New Roman" w:hAnsi="Times New Roman"/>
        </w:rPr>
        <w:t>10.3.6 передача фотоматериалов должна осуществляться преимущественно посредством электронной почты, при отсутствии такой возможности - допускается передача фотоматериалов MMS-сообщением или факсимильной связью;</w:t>
      </w:r>
    </w:p>
    <w:p w14:paraId="CE000000">
      <w:pPr>
        <w:widowControl w:val="1"/>
        <w:spacing w:after="0" w:before="0" w:line="240" w:lineRule="auto"/>
        <w:ind w:firstLine="709" w:left="0" w:right="0"/>
        <w:rPr>
          <w:rFonts w:ascii="Times New Roman" w:hAnsi="Times New Roman"/>
        </w:rPr>
      </w:pPr>
      <w:r>
        <w:rPr>
          <w:rFonts w:ascii="Times New Roman" w:hAnsi="Times New Roman"/>
        </w:rPr>
        <w:t>10.3.7 при невозможности предоставить письменное донесение дежурному сотруднику (диспетчеру) Заказчика, уполномоченный представитель Подрядчика обязан предоставить письменное донесение начальнику Заказчика или его заместителю по содержанию, при этом начальник Заказчика или его заместитель по содержанию обязаны обеспечить предоставление информации оперативному дежурному и информирование сторонних организаций;</w:t>
      </w:r>
    </w:p>
    <w:p w14:paraId="CF000000">
      <w:pPr>
        <w:widowControl w:val="1"/>
        <w:spacing w:after="0" w:before="0" w:line="240" w:lineRule="auto"/>
        <w:ind w:firstLine="709" w:left="0" w:right="0"/>
        <w:rPr>
          <w:rFonts w:ascii="Times New Roman" w:hAnsi="Times New Roman"/>
        </w:rPr>
      </w:pPr>
      <w:r>
        <w:rPr>
          <w:rFonts w:ascii="Times New Roman" w:hAnsi="Times New Roman"/>
        </w:rPr>
        <w:t xml:space="preserve">10.3.8 </w:t>
      </w:r>
      <w:r>
        <w:rPr>
          <w:rFonts w:ascii="Times New Roman" w:hAnsi="Times New Roman"/>
        </w:rPr>
        <w:t xml:space="preserve">при невозможности предоставить письменное донесение дежурному сотруднику (диспетчеру) Заказчика, начальнику Заказчика или его заместителю по </w:t>
      </w:r>
      <w:r>
        <w:rPr>
          <w:rFonts w:ascii="Times New Roman" w:hAnsi="Times New Roman"/>
        </w:rPr>
        <w:t>содержанию уполномоченный представитель Подрядчика обязан предоставить письменное донесение оперативному дежурному.</w:t>
      </w:r>
    </w:p>
    <w:p w14:paraId="D0000000">
      <w:pPr>
        <w:widowControl w:val="1"/>
        <w:spacing w:after="0" w:before="0" w:line="240" w:lineRule="auto"/>
        <w:ind w:firstLine="0" w:left="0" w:right="0"/>
        <w:jc w:val="center"/>
        <w:rPr>
          <w:rFonts w:ascii="Times New Roman" w:hAnsi="Times New Roman"/>
        </w:rPr>
      </w:pPr>
      <w:r>
        <w:rPr>
          <w:rFonts w:ascii="Times New Roman" w:hAnsi="Times New Roman"/>
          <w:b w:val="1"/>
        </w:rPr>
        <w:t>11. Нормативная документация*</w:t>
      </w:r>
    </w:p>
    <w:p w14:paraId="D1000000">
      <w:pPr>
        <w:widowControl w:val="1"/>
        <w:spacing w:after="0" w:before="0" w:line="240" w:lineRule="auto"/>
        <w:ind w:firstLine="709" w:left="0" w:right="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Приказ Минтранса России от 16.11.2012 N 402 (ред. от 20.03.2023) "Об утверждении Классификации работ по капитальному ремонту, ремонту и содержанию автомобильных дорог"</w:t>
      </w:r>
    </w:p>
    <w:p w14:paraId="D2000000">
      <w:pPr>
        <w:widowControl w:val="1"/>
        <w:spacing w:after="0" w:before="0" w:line="240" w:lineRule="auto"/>
        <w:ind w:firstLine="709" w:left="0" w:right="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СП 34.13330.2021-Автомобильные дороги. Актуализированная редакция СНиП 2.05.02-85;</w:t>
      </w:r>
    </w:p>
    <w:p w14:paraId="D3000000">
      <w:pPr>
        <w:widowControl w:val="1"/>
        <w:spacing w:after="0" w:before="0" w:line="240" w:lineRule="auto"/>
        <w:ind w:firstLine="709" w:left="0" w:right="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 xml:space="preserve">Методические рекомендации по ремонту и содержанию автомобильных </w:t>
      </w:r>
      <w:r>
        <w:rPr>
          <w:rFonts w:ascii="Times New Roman" w:hAnsi="Times New Roman"/>
        </w:rPr>
        <w:t>дорог общего пользования;</w:t>
      </w:r>
    </w:p>
    <w:p w14:paraId="D4000000">
      <w:pPr>
        <w:widowControl w:val="1"/>
        <w:spacing w:after="0" w:before="0" w:line="240" w:lineRule="auto"/>
        <w:ind w:firstLine="709" w:left="0" w:right="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СП 78.13330.2012-Свод правил. Автомобильные дороги. Актуализированная редакция СНиП 3.06.03-85;</w:t>
      </w:r>
    </w:p>
    <w:p w14:paraId="D5000000">
      <w:pPr>
        <w:widowControl w:val="1"/>
        <w:spacing w:after="0" w:before="0" w:line="240" w:lineRule="auto"/>
        <w:ind w:firstLine="709" w:left="0" w:right="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ПУЭ-7-Правила устройств электроустановок;</w:t>
      </w:r>
    </w:p>
    <w:p w14:paraId="D6000000">
      <w:pPr>
        <w:widowControl w:val="1"/>
        <w:spacing w:after="0" w:before="0" w:line="240" w:lineRule="auto"/>
        <w:ind w:firstLine="709" w:left="0" w:right="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ПТЭЭП-Правила технической эксплуатации электроустановок потребителей;</w:t>
      </w:r>
    </w:p>
    <w:p w14:paraId="D7000000">
      <w:pPr>
        <w:widowControl w:val="1"/>
        <w:spacing w:after="0" w:before="0" w:line="240" w:lineRule="auto"/>
        <w:ind w:firstLine="709" w:left="0" w:right="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ПОТЭУ-Правила по охране труда при эксплуатации электроустановок;</w:t>
      </w:r>
    </w:p>
    <w:p w14:paraId="D8000000">
      <w:pPr>
        <w:widowControl w:val="1"/>
        <w:spacing w:after="0" w:before="0" w:line="240" w:lineRule="auto"/>
        <w:ind w:firstLine="709" w:left="0" w:right="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СП 52.13330.2016-Естественное и искусственное освещение. Актуализированная редакция СНиП 23-05-95;</w:t>
      </w:r>
    </w:p>
    <w:p w14:paraId="D9000000">
      <w:pPr>
        <w:widowControl w:val="1"/>
        <w:spacing w:after="0" w:before="0" w:line="240" w:lineRule="auto"/>
        <w:ind w:firstLine="709" w:left="0" w:right="0"/>
        <w:rPr>
          <w:rFonts w:ascii="Times New Roman" w:hAnsi="Times New Roman"/>
        </w:rPr>
      </w:pPr>
      <w:r>
        <w:rPr>
          <w:rFonts w:ascii="Times New Roman" w:hAnsi="Times New Roman"/>
        </w:rPr>
        <w:t>- ГОСТ Р 52766-2007-Дороги автомобильные общего назначения. Элементы обустройства. Общие требования;</w:t>
      </w:r>
    </w:p>
    <w:p w14:paraId="DA000000">
      <w:pPr>
        <w:widowControl w:val="1"/>
        <w:spacing w:after="0" w:before="0" w:line="240" w:lineRule="auto"/>
        <w:ind w:firstLine="709" w:left="0" w:right="0"/>
        <w:rPr>
          <w:rFonts w:ascii="Times New Roman" w:hAnsi="Times New Roman"/>
        </w:rPr>
      </w:pPr>
      <w:r>
        <w:rPr>
          <w:rFonts w:ascii="Times New Roman" w:hAnsi="Times New Roman"/>
        </w:rPr>
        <w:t>- ГОСТ 33151-2014-Дороги автомобильные общего пользования. Элементы обустройства. Технические требования. Правила применения;</w:t>
      </w:r>
    </w:p>
    <w:p w14:paraId="DB000000">
      <w:pPr>
        <w:widowControl w:val="1"/>
        <w:spacing w:after="0" w:before="0" w:line="240" w:lineRule="auto"/>
        <w:ind w:firstLine="709" w:left="0" w:right="0"/>
        <w:rPr>
          <w:rFonts w:ascii="Times New Roman" w:hAnsi="Times New Roman"/>
        </w:rPr>
      </w:pPr>
      <w:r>
        <w:rPr>
          <w:rFonts w:ascii="Times New Roman" w:hAnsi="Times New Roman"/>
        </w:rPr>
        <w:t>- ГОСТ Р 55707-2013-Освещение наружное утилитарное. Методы измерений нормируемых параметров;</w:t>
      </w:r>
    </w:p>
    <w:p w14:paraId="DC000000">
      <w:pPr>
        <w:widowControl w:val="1"/>
        <w:spacing w:after="0" w:before="0" w:line="240" w:lineRule="auto"/>
        <w:ind w:firstLine="709" w:left="0" w:right="0"/>
        <w:rPr>
          <w:rFonts w:ascii="Times New Roman" w:hAnsi="Times New Roman"/>
        </w:rPr>
      </w:pPr>
      <w:r>
        <w:rPr>
          <w:rFonts w:ascii="Times New Roman" w:hAnsi="Times New Roman"/>
        </w:rPr>
        <w:t>- ГОСТ Р 55708-2013-Освещение наружное утилитарное. Методы расчета нормируемых параметров;</w:t>
      </w:r>
    </w:p>
    <w:p w14:paraId="DD000000">
      <w:pPr>
        <w:widowControl w:val="1"/>
        <w:spacing w:after="0" w:before="0" w:line="240" w:lineRule="auto"/>
        <w:ind w:firstLine="709" w:left="0" w:right="0"/>
        <w:rPr>
          <w:rFonts w:ascii="Times New Roman" w:hAnsi="Times New Roman"/>
        </w:rPr>
      </w:pPr>
      <w:r>
        <w:rPr>
          <w:rFonts w:ascii="Times New Roman" w:hAnsi="Times New Roman"/>
        </w:rPr>
        <w:t>- ГОСТ 33220-2015-Дороги автомобильные общего пользования. Требования к эксплуатационному состоянию;</w:t>
      </w:r>
    </w:p>
    <w:p w14:paraId="DE000000">
      <w:pPr>
        <w:widowControl w:val="1"/>
        <w:spacing w:after="0" w:before="0" w:line="240" w:lineRule="auto"/>
        <w:ind w:firstLine="709" w:left="0" w:right="0"/>
        <w:rPr>
          <w:rFonts w:ascii="Times New Roman" w:hAnsi="Times New Roman"/>
        </w:rPr>
      </w:pPr>
      <w:r>
        <w:rPr>
          <w:rFonts w:ascii="Times New Roman" w:hAnsi="Times New Roman"/>
        </w:rPr>
        <w:t>- СП 76.13330.2016-Электротехнические устройства. Актуализированная редакция СНиП 3.05.06-85;</w:t>
      </w:r>
    </w:p>
    <w:p w14:paraId="DF000000">
      <w:pPr>
        <w:widowControl w:val="1"/>
        <w:spacing w:after="0" w:before="0" w:line="240" w:lineRule="auto"/>
        <w:ind w:firstLine="709" w:left="0" w:right="0"/>
        <w:rPr>
          <w:rFonts w:ascii="Times New Roman" w:hAnsi="Times New Roman"/>
        </w:rPr>
      </w:pPr>
      <w:r>
        <w:rPr>
          <w:rFonts w:ascii="Times New Roman" w:hAnsi="Times New Roman"/>
        </w:rPr>
        <w:t>-ГОСТ 24940-2016-Здания и сооружения. Методы измерения освещенности;</w:t>
      </w:r>
    </w:p>
    <w:p w14:paraId="E0000000">
      <w:pPr>
        <w:widowControl w:val="1"/>
        <w:spacing w:after="0" w:before="0" w:line="240" w:lineRule="auto"/>
        <w:ind w:firstLine="709" w:left="0" w:right="0"/>
        <w:rPr>
          <w:rFonts w:ascii="Times New Roman" w:hAnsi="Times New Roman"/>
        </w:rPr>
      </w:pPr>
      <w:r>
        <w:rPr>
          <w:rFonts w:ascii="Times New Roman" w:hAnsi="Times New Roman"/>
        </w:rPr>
        <w:t>- Федеральный закон «Об энергосбережении и о повышении энергетической эффективности, и о внесении изменений в отдельные законодательные акты Российской Федерации» от 23.11.2009 N 261-ФЗ;</w:t>
      </w:r>
    </w:p>
    <w:p w14:paraId="E1000000">
      <w:pPr>
        <w:widowControl w:val="1"/>
        <w:spacing w:after="0" w:before="0" w:line="240" w:lineRule="auto"/>
        <w:ind w:firstLine="709" w:left="0" w:right="0"/>
        <w:rPr>
          <w:rFonts w:ascii="Times New Roman" w:hAnsi="Times New Roman"/>
        </w:rPr>
      </w:pPr>
      <w:r>
        <w:rPr>
          <w:rFonts w:ascii="Times New Roman" w:hAnsi="Times New Roman"/>
        </w:rPr>
        <w:t>- ГОСТ 33176-2014-Дороги автомобильные общего пользования. Горизонтальная освещенность от искусственного освещения. Технические требования;</w:t>
      </w:r>
    </w:p>
    <w:p w14:paraId="E2000000">
      <w:pPr>
        <w:widowControl w:val="1"/>
        <w:spacing w:after="0" w:before="0" w:line="240" w:lineRule="auto"/>
        <w:ind w:firstLine="709" w:left="0" w:right="0"/>
        <w:rPr>
          <w:rFonts w:ascii="Times New Roman" w:hAnsi="Times New Roman"/>
        </w:rPr>
      </w:pPr>
      <w:r>
        <w:rPr>
          <w:rFonts w:ascii="Times New Roman" w:hAnsi="Times New Roman"/>
        </w:rPr>
        <w:t>- И 1.13-07-Инструкция по оформлению приемосдаточной документации по электромонтажным работам;</w:t>
      </w:r>
    </w:p>
    <w:p w14:paraId="E3000000">
      <w:pPr>
        <w:widowControl w:val="1"/>
        <w:spacing w:after="0" w:before="0" w:line="240" w:lineRule="auto"/>
        <w:ind w:firstLine="709" w:left="0" w:right="0"/>
        <w:rPr>
          <w:rFonts w:ascii="Times New Roman" w:hAnsi="Times New Roman"/>
        </w:rPr>
      </w:pPr>
      <w:r>
        <w:rPr>
          <w:rFonts w:ascii="Times New Roman" w:hAnsi="Times New Roman"/>
        </w:rPr>
        <w:t>- ГОСТ Р 50597-2017-Дороги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E4000000">
      <w:pPr>
        <w:widowControl w:val="1"/>
        <w:spacing w:after="0" w:before="0" w:line="240" w:lineRule="auto"/>
        <w:ind w:firstLine="709" w:left="0" w:right="0"/>
        <w:rPr>
          <w:rFonts w:ascii="Times New Roman" w:hAnsi="Times New Roman"/>
        </w:rPr>
      </w:pPr>
      <w:r>
        <w:rPr>
          <w:rFonts w:ascii="Times New Roman" w:hAnsi="Times New Roman"/>
        </w:rPr>
        <w:t>- ОДМ 218.6.019-2016-Рекомендации по организации движения и ограждению мест производства дорожных работ;</w:t>
      </w:r>
    </w:p>
    <w:p w14:paraId="E5000000">
      <w:pPr>
        <w:widowControl w:val="1"/>
        <w:spacing w:after="0" w:before="0" w:line="240" w:lineRule="auto"/>
        <w:ind w:firstLine="709" w:left="0" w:right="0"/>
        <w:rPr>
          <w:rFonts w:ascii="Times New Roman" w:hAnsi="Times New Roman"/>
        </w:rPr>
      </w:pPr>
      <w:r>
        <w:rPr>
          <w:rFonts w:ascii="Times New Roman" w:hAnsi="Times New Roman"/>
        </w:rPr>
        <w:t>- ОДМ 218.8.007-2016-Методические рекомендации по проектированию искусственного освещения автомобильных дорог общего пользования.</w:t>
      </w:r>
    </w:p>
    <w:p w14:paraId="E6000000">
      <w:pPr>
        <w:widowControl w:val="1"/>
        <w:spacing w:after="0" w:before="0" w:line="240" w:lineRule="auto"/>
        <w:ind w:firstLine="709" w:left="0" w:right="0"/>
        <w:rPr>
          <w:rFonts w:ascii="Times New Roman" w:hAnsi="Times New Roman"/>
        </w:rPr>
      </w:pPr>
      <w:r>
        <w:rPr>
          <w:rFonts w:ascii="Times New Roman" w:hAnsi="Times New Roman"/>
        </w:rPr>
        <w:t>-TP ТС 014/2011 Технический регламент Таможенного союза «Безопасность автомобильных дорог».</w:t>
      </w:r>
    </w:p>
    <w:p w14:paraId="E7000000">
      <w:pPr>
        <w:widowControl w:val="1"/>
        <w:spacing w:after="0" w:before="0" w:line="240" w:lineRule="auto"/>
        <w:ind w:firstLine="709" w:left="0" w:right="0"/>
        <w:rPr>
          <w:rFonts w:ascii="Times New Roman" w:hAnsi="Times New Roman"/>
        </w:rPr>
      </w:pPr>
      <w:r>
        <w:rPr>
          <w:rFonts w:ascii="Times New Roman" w:hAnsi="Times New Roman"/>
        </w:rPr>
        <w:t>* в случае, если в период действия контракта указанные документы будут изменены (отменены), либо изданы новые нормативно-технические документы, регулирующие те же вопросы, следует руководствоваться измененными либо вновь изданными документами.</w:t>
      </w:r>
    </w:p>
    <w:p w14:paraId="E8000000">
      <w:pPr>
        <w:widowControl w:val="1"/>
        <w:spacing w:after="0" w:before="0" w:line="240" w:lineRule="auto"/>
        <w:ind w:firstLine="709" w:left="0" w:right="0"/>
        <w:rPr>
          <w:rFonts w:ascii="Times New Roman" w:hAnsi="Times New Roman"/>
        </w:rPr>
      </w:pPr>
      <w:r>
        <w:rPr>
          <w:rFonts w:ascii="Times New Roman" w:hAnsi="Times New Roman"/>
        </w:rPr>
        <w:t>Приложение №1: Ведомость объемов и стоимости работ.</w:t>
      </w:r>
    </w:p>
    <w:sectPr>
      <w:pgSz w:h="16838" w:orient="portrait" w:w="11906"/>
      <w:pgMar w:bottom="1134" w:footer="1134" w:header="1134" w:left="1304" w:right="737"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line="240" w:lineRule="auto"/>
      <w:ind/>
      <w:jc w:val="both"/>
    </w:pPr>
    <w:rPr>
      <w:rFonts w:ascii="XO Thames" w:hAnsi="XO Thames"/>
      <w:sz w:val="28"/>
    </w:rPr>
  </w:style>
  <w:style w:default="1" w:styleId="Style_1_ch" w:type="character">
    <w:name w:val="Normal"/>
    <w:link w:val="Style_1"/>
    <w:rPr>
      <w:rFonts w:ascii="XO Thames" w:hAnsi="XO Thames"/>
      <w:sz w:val="28"/>
    </w:rPr>
  </w:style>
  <w:style w:styleId="Style_2" w:type="paragraph">
    <w:name w:val="toc 2"/>
    <w:next w:val="Style_1"/>
    <w:link w:val="Style_2_ch"/>
    <w:uiPriority w:val="39"/>
    <w:pPr>
      <w:widowControl w:val="1"/>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1"/>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widowControl w:val="1"/>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widowControl w:val="1"/>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widowControl w:val="1"/>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widowControl w:val="1"/>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widowControl w:val="1"/>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widowControl w:val="1"/>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widowControl w:val="1"/>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widowControl w:val="1"/>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widowControl w:val="1"/>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widowControl w:val="1"/>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toc 9"/>
    <w:next w:val="Style_1"/>
    <w:link w:val="Style_15_ch"/>
    <w:uiPriority w:val="39"/>
    <w:pPr>
      <w:widowControl w:val="1"/>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1"/>
    <w:link w:val="Style_16_ch"/>
    <w:uiPriority w:val="39"/>
    <w:pPr>
      <w:widowControl w:val="1"/>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1"/>
    <w:link w:val="Style_17_ch"/>
    <w:uiPriority w:val="39"/>
    <w:pPr>
      <w:widowControl w:val="1"/>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1"/>
    <w:link w:val="Style_18_ch"/>
    <w:uiPriority w:val="11"/>
    <w:qFormat/>
    <w:pPr>
      <w:widowControl w:val="1"/>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1"/>
    <w:link w:val="Style_19_ch"/>
    <w:uiPriority w:val="10"/>
    <w:qFormat/>
    <w:pPr>
      <w:widowControl w:val="1"/>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1"/>
    <w:link w:val="Style_20_ch"/>
    <w:uiPriority w:val="9"/>
    <w:qFormat/>
    <w:pPr>
      <w:widowControl w:val="1"/>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1"/>
    <w:link w:val="Style_21_ch"/>
    <w:uiPriority w:val="9"/>
    <w:qFormat/>
    <w:pPr>
      <w:widowControl w:val="1"/>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2025-07-25T09:04:47Z</dcterms:created>
  <dcterms:modified xsi:type="dcterms:W3CDTF">2026-09-25T13:00:45Z</dcterms:modified>
</cp:coreProperties>
</file>