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header4.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ind w:firstLine="567"/>
        <w:jc w:val="right"/>
        <w:rPr>
          <w:b w:val="false"/>
        </w:rPr>
      </w:pPr>
      <w:r>
        <w:rPr>
          <w:b w:val="false"/>
        </w:rPr>
      </w:r>
    </w:p>
    <w:p>
      <w:pPr>
        <w:pStyle w:val="Normal"/>
        <w:shd w:val="clear" w:color="auto" w:fill="FFFFFF"/>
        <w:tabs>
          <w:tab w:val="clear" w:pos="709"/>
          <w:tab w:val="left" w:pos="6926" w:leader="none"/>
        </w:tabs>
        <w:jc w:val="center"/>
        <w:rPr>
          <w:b/>
          <w:sz w:val="24"/>
          <w:szCs w:val="24"/>
        </w:rPr>
      </w:pPr>
      <w:r>
        <w:rPr>
          <w:b/>
          <w:bCs/>
          <w:sz w:val="24"/>
          <w:szCs w:val="24"/>
        </w:rPr>
        <w:t>Договор поставки</w:t>
      </w:r>
    </w:p>
    <w:p>
      <w:pPr>
        <w:pStyle w:val="Normal"/>
        <w:shd w:val="clear" w:color="auto" w:fill="FFFFFF"/>
        <w:rPr>
          <w:b/>
          <w:bCs/>
          <w:sz w:val="24"/>
          <w:szCs w:val="24"/>
        </w:rPr>
      </w:pPr>
      <w:r>
        <w:rPr>
          <w:b/>
          <w:bCs/>
          <w:sz w:val="24"/>
          <w:szCs w:val="24"/>
        </w:rPr>
      </w:r>
    </w:p>
    <w:p>
      <w:pPr>
        <w:pStyle w:val="Normal"/>
        <w:shd w:val="clear" w:color="auto" w:fill="FFFFFF"/>
        <w:tabs>
          <w:tab w:val="clear" w:pos="709"/>
          <w:tab w:val="right" w:pos="9639" w:leader="none"/>
        </w:tabs>
        <w:jc w:val="right"/>
        <w:rPr>
          <w:bCs/>
          <w:sz w:val="24"/>
          <w:szCs w:val="24"/>
        </w:rPr>
      </w:pPr>
      <w:r>
        <w:rPr>
          <w:bCs/>
          <w:sz w:val="24"/>
          <w:szCs w:val="24"/>
        </w:rPr>
        <w:t>г. Пятигор</w:t>
      </w:r>
      <w:r>
        <w:rPr>
          <w:bCs/>
          <w:sz w:val="24"/>
          <w:szCs w:val="24"/>
        </w:rPr>
        <w:t>c</w:t>
      </w:r>
      <w:r>
        <w:rPr>
          <w:bCs/>
          <w:sz w:val="24"/>
          <w:szCs w:val="24"/>
        </w:rPr>
        <w:t>к</w:t>
        <w:tab/>
        <w:t xml:space="preserve">   «___» _________ 20__ г.</w:t>
      </w:r>
    </w:p>
    <w:p>
      <w:pPr>
        <w:pStyle w:val="Normal"/>
        <w:shd w:val="clear" w:color="auto" w:fill="FFFFFF"/>
        <w:tabs>
          <w:tab w:val="clear" w:pos="709"/>
          <w:tab w:val="right" w:pos="9639" w:leader="none"/>
        </w:tabs>
        <w:jc w:val="right"/>
        <w:rPr>
          <w:bCs/>
          <w:sz w:val="24"/>
          <w:szCs w:val="24"/>
        </w:rPr>
      </w:pPr>
      <w:r>
        <w:rPr>
          <w:bCs/>
          <w:sz w:val="24"/>
          <w:szCs w:val="24"/>
        </w:rPr>
      </w:r>
    </w:p>
    <w:p>
      <w:pPr>
        <w:pStyle w:val="Normal"/>
        <w:ind w:firstLine="709"/>
        <w:jc w:val="both"/>
        <w:rPr>
          <w:spacing w:val="10"/>
          <w:sz w:val="24"/>
          <w:szCs w:val="24"/>
        </w:rPr>
      </w:pPr>
      <w:r>
        <w:rPr>
          <w:b/>
          <w:sz w:val="24"/>
          <w:szCs w:val="24"/>
        </w:rPr>
        <w:t xml:space="preserve">Акционерное общество «Транспортная компания РусГидро» </w:t>
      </w:r>
      <w:r>
        <w:rPr>
          <w:sz w:val="24"/>
          <w:szCs w:val="24"/>
        </w:rPr>
        <w:t>(АО «ТК РусГидро»)</w:t>
      </w:r>
      <w:r>
        <w:rPr>
          <w:spacing w:val="2"/>
          <w:sz w:val="24"/>
          <w:szCs w:val="24"/>
        </w:rPr>
        <w:t xml:space="preserve"> (далее – </w:t>
      </w:r>
      <w:r>
        <w:rPr>
          <w:sz w:val="24"/>
          <w:szCs w:val="24"/>
        </w:rPr>
        <w:t>«Покупатель»), в лице директора Южного филиала АО «ТК РусГидро» Изотова Виталия Анатольевича</w:t>
      </w:r>
      <w:r>
        <w:rPr>
          <w:spacing w:val="4"/>
          <w:sz w:val="24"/>
          <w:szCs w:val="24"/>
        </w:rPr>
        <w:t>, действующего на основании доверенность от _______ №___ (доверенности (МЧД) от __________ №____________________________), с одной стороны, и</w:t>
      </w:r>
      <w:r>
        <w:rPr>
          <w:spacing w:val="10"/>
          <w:sz w:val="24"/>
          <w:szCs w:val="24"/>
        </w:rPr>
        <w:t xml:space="preserve"> </w:t>
      </w:r>
      <w:r>
        <w:rPr>
          <w:b/>
          <w:spacing w:val="10"/>
          <w:sz w:val="24"/>
          <w:szCs w:val="24"/>
        </w:rPr>
        <w:t>____________________</w:t>
      </w:r>
      <w:r>
        <w:rPr>
          <w:bCs/>
          <w:sz w:val="24"/>
          <w:szCs w:val="24"/>
        </w:rPr>
        <w:t xml:space="preserve"> </w:t>
      </w:r>
      <w:r>
        <w:rPr>
          <w:sz w:val="24"/>
          <w:szCs w:val="24"/>
        </w:rPr>
        <w:t xml:space="preserve">(далее – «Поставщик»), в лице _________________________, действующего на основании ___________________, с другой стороны, </w:t>
      </w:r>
    </w:p>
    <w:p>
      <w:pPr>
        <w:pStyle w:val="Normal"/>
        <w:ind w:firstLine="709"/>
        <w:jc w:val="both"/>
        <w:rPr>
          <w:sz w:val="24"/>
          <w:szCs w:val="24"/>
        </w:rPr>
      </w:pPr>
      <w:r>
        <w:rPr>
          <w:sz w:val="24"/>
          <w:szCs w:val="24"/>
        </w:rPr>
        <w:t xml:space="preserve">совместно в дальнейшем именуемые «Стороны», а по отдельности – «Сторона», по результатам проведенной Покупателем конкурентной процедуры </w:t>
      </w:r>
      <w:r>
        <w:rPr>
          <w:bCs/>
          <w:sz w:val="24"/>
          <w:szCs w:val="24"/>
        </w:rPr>
        <w:t>по лоту № </w:t>
      </w:r>
      <w:r>
        <w:rPr>
          <w:bCs/>
          <w:sz w:val="24"/>
          <w:szCs w:val="24"/>
          <w:highlight w:val="lightGray"/>
          <w:lang w:eastAsia="en-US"/>
        </w:rPr>
        <w:t>_________________</w:t>
      </w:r>
      <w:r>
        <w:rPr>
          <w:sz w:val="24"/>
          <w:szCs w:val="24"/>
        </w:rPr>
        <w:t xml:space="preserve"> и на основании протокола от «___» _________ г. №_______,</w:t>
      </w:r>
    </w:p>
    <w:p>
      <w:pPr>
        <w:pStyle w:val="Normal"/>
        <w:ind w:firstLine="709"/>
        <w:jc w:val="both"/>
        <w:rPr>
          <w:b w:val="false"/>
          <w:bCs w:val="false"/>
        </w:rPr>
      </w:pPr>
      <w:r>
        <w:rPr>
          <w:b w:val="false"/>
          <w:bCs w:val="false"/>
          <w:spacing w:val="10"/>
          <w:sz w:val="24"/>
          <w:szCs w:val="24"/>
        </w:rPr>
        <w:t>заключили настоящий договор поставки (далее – «Договор») о нижеследующем:</w:t>
      </w:r>
    </w:p>
    <w:p>
      <w:pPr>
        <w:pStyle w:val="Normal"/>
        <w:shd w:val="clear" w:color="auto" w:fill="FFFFFF"/>
        <w:rPr>
          <w:bCs/>
          <w:sz w:val="24"/>
          <w:szCs w:val="24"/>
          <w:lang w:val="x-none"/>
        </w:rPr>
      </w:pPr>
      <w:r>
        <w:rPr>
          <w:bCs/>
          <w:sz w:val="24"/>
          <w:szCs w:val="24"/>
          <w:lang w:val="x-none"/>
        </w:rPr>
      </w:r>
    </w:p>
    <w:p>
      <w:pPr>
        <w:pStyle w:val="Normal"/>
        <w:shd w:val="clear" w:color="auto" w:fill="FFFFFF"/>
        <w:jc w:val="center"/>
        <w:rPr>
          <w:b/>
          <w:bCs/>
          <w:sz w:val="24"/>
          <w:szCs w:val="24"/>
        </w:rPr>
      </w:pPr>
      <w:r>
        <w:rPr>
          <w:b/>
          <w:bCs/>
          <w:sz w:val="24"/>
          <w:szCs w:val="24"/>
        </w:rPr>
        <w:t>Термины и определения</w:t>
      </w:r>
    </w:p>
    <w:p>
      <w:pPr>
        <w:pStyle w:val="Normal"/>
        <w:shd w:val="clear" w:color="auto" w:fill="FFFFFF"/>
        <w:ind w:firstLine="709"/>
        <w:jc w:val="both"/>
        <w:rPr>
          <w:bCs/>
          <w:sz w:val="24"/>
          <w:szCs w:val="24"/>
        </w:rPr>
      </w:pPr>
      <w:r>
        <w:rPr>
          <w:bCs/>
          <w:sz w:val="24"/>
          <w:szCs w:val="24"/>
        </w:rPr>
        <w:t xml:space="preserve">Термины и определения, приведенные в настоящем разделе, предназначены </w:t>
        <w:br/>
        <w:t>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false"/>
        <w:ind w:firstLine="709" w:left="0"/>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color="auto" w:fill="FFFFFF"/>
        <w:tabs>
          <w:tab w:val="clear" w:pos="709"/>
          <w:tab w:val="left" w:pos="0" w:leader="none"/>
        </w:tabs>
        <w:overflowPunct w:val="false"/>
        <w:ind w:firstLine="709" w:left="0"/>
        <w:jc w:val="both"/>
        <w:textAlignment w:val="baseline"/>
        <w:rPr>
          <w:sz w:val="24"/>
          <w:szCs w:val="24"/>
          <w:lang w:eastAsia="en-US"/>
        </w:rPr>
      </w:pPr>
      <w:r>
        <w:rPr>
          <w:b/>
          <w:sz w:val="24"/>
          <w:szCs w:val="24"/>
          <w:lang w:eastAsia="en-US"/>
        </w:rPr>
        <w:t>«Банковская гарантия»</w:t>
      </w:r>
      <w:r>
        <w:rPr>
          <w:sz w:val="24"/>
          <w:szCs w:val="24"/>
          <w:lang w:eastAsia="en-US"/>
        </w:rPr>
        <w:t xml:space="preserve"> – независимая гарантия, выданная в обеспечение исполнения Поставщиком обязательств по Договору согласованным с Покупателем банком (гарантом), которая регулируется Унифицированными правилами для гарантий </w:t>
        <w:br/>
        <w:t>по требованию, включая типовые формы (URDG 758) (публикация Международной торговой палаты № 758),</w:t>
      </w:r>
      <w:r>
        <w:rPr>
          <w:sz w:val="24"/>
          <w:szCs w:val="24"/>
        </w:rPr>
        <w:t xml:space="preserve"> </w:t>
      </w:r>
      <w:r>
        <w:rPr>
          <w:sz w:val="24"/>
          <w:szCs w:val="24"/>
          <w:lang w:eastAsia="en-US"/>
        </w:rPr>
        <w:t>в той мере, в какой указанные правила не противоречат законодательству Российской Федерации и условиям настоящего Договора.</w:t>
      </w:r>
    </w:p>
    <w:p>
      <w:pPr>
        <w:pStyle w:val="ListParagraph"/>
        <w:shd w:val="clear" w:color="auto" w:fill="FFFFFF"/>
        <w:tabs>
          <w:tab w:val="clear" w:pos="709"/>
          <w:tab w:val="left" w:pos="567" w:leader="none"/>
          <w:tab w:val="left" w:pos="1134" w:leader="none"/>
        </w:tabs>
        <w:overflowPunct w:val="false"/>
        <w:ind w:firstLine="708" w:left="0"/>
        <w:jc w:val="both"/>
        <w:textAlignment w:val="baseline"/>
        <w:rPr>
          <w:sz w:val="24"/>
          <w:szCs w:val="24"/>
          <w:lang w:eastAsia="en-US"/>
        </w:rPr>
      </w:pPr>
      <w:r>
        <w:rPr>
          <w:b/>
          <w:sz w:val="24"/>
          <w:szCs w:val="24"/>
          <w:lang w:eastAsia="en-US"/>
        </w:rPr>
        <w:t>«Гарантийный срок»</w:t>
      </w:r>
      <w:r>
        <w:rPr>
          <w:sz w:val="24"/>
          <w:szCs w:val="24"/>
        </w:rPr>
        <w:t xml:space="preserve"> </w:t>
      </w:r>
      <w:r>
        <w:rPr>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shd w:val="clear" w:color="auto" w:fill="FFFFFF"/>
        <w:tabs>
          <w:tab w:val="clear" w:pos="709"/>
          <w:tab w:val="left" w:pos="0" w:leader="none"/>
        </w:tabs>
        <w:overflowPunct w:val="false"/>
        <w:ind w:firstLine="709" w:left="0"/>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false"/>
        <w:ind w:firstLine="709" w:left="0"/>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color="auto" w:fill="FFFFFF"/>
        <w:tabs>
          <w:tab w:val="clear" w:pos="709"/>
          <w:tab w:val="left" w:pos="0" w:leader="none"/>
        </w:tabs>
        <w:overflowPunct w:val="false"/>
        <w:ind w:firstLine="709" w:left="0"/>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 xml:space="preserve">от 25.12.1998 № 132, подписываемый Сторонами после завершения приемки Товара </w:t>
        <w:br/>
        <w:t>по количеству, качеству и комплектности.</w:t>
      </w:r>
    </w:p>
    <w:p>
      <w:pPr>
        <w:pStyle w:val="ListParagraph"/>
        <w:shd w:val="clear" w:color="auto" w:fill="FFFFFF"/>
        <w:tabs>
          <w:tab w:val="clear" w:pos="709"/>
          <w:tab w:val="left" w:pos="0" w:leader="none"/>
        </w:tabs>
        <w:overflowPunct w:val="false"/>
        <w:ind w:firstLine="709" w:left="0"/>
        <w:jc w:val="both"/>
        <w:textAlignment w:val="baseline"/>
        <w:rPr>
          <w:b/>
          <w:sz w:val="24"/>
          <w:szCs w:val="24"/>
          <w:lang w:eastAsia="en-US"/>
        </w:rPr>
      </w:pPr>
      <w:r>
        <w:rPr>
          <w:b/>
          <w:bCs/>
          <w:sz w:val="24"/>
          <w:szCs w:val="24"/>
        </w:rPr>
        <w:t>«Национальный режим»</w:t>
      </w:r>
      <w:r>
        <w:rPr>
          <w:bCs/>
          <w:sz w:val="24"/>
          <w:szCs w:val="24"/>
        </w:rPr>
        <w:t xml:space="preserve"> - установленные законодательством Российской Федерации условия, обеспечивающие предоставление (или непредоставление) для происходящей из иностранного государства продукции прав участия в закупке, равных с правами для продукции российского происхождения.</w:t>
      </w:r>
      <w:r>
        <w:rPr>
          <w:b/>
          <w:sz w:val="24"/>
          <w:szCs w:val="24"/>
          <w:lang w:eastAsia="en-US"/>
        </w:rPr>
        <w:t xml:space="preserve"> </w:t>
      </w:r>
    </w:p>
    <w:p>
      <w:pPr>
        <w:pStyle w:val="ListParagraph"/>
        <w:shd w:val="clear" w:color="auto" w:fill="FFFFFF"/>
        <w:tabs>
          <w:tab w:val="clear" w:pos="709"/>
          <w:tab w:val="left" w:pos="0" w:leader="none"/>
        </w:tabs>
        <w:overflowPunct w:val="false"/>
        <w:ind w:firstLine="709" w:left="0"/>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Российской Федерации (далее – ГК РФ) в случаях, установленных Договором. </w:t>
      </w:r>
    </w:p>
    <w:p>
      <w:pPr>
        <w:pStyle w:val="Heading3"/>
        <w:keepNext w:val="false"/>
        <w:tabs>
          <w:tab w:val="clear" w:pos="709"/>
          <w:tab w:val="left" w:pos="0" w:leader="none"/>
        </w:tabs>
        <w:overflowPunct w:val="false"/>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«Применимое право»</w:t>
      </w:r>
      <w:r>
        <w:rPr>
          <w:rFonts w:ascii="Times New Roman" w:hAnsi="Times New Roman"/>
          <w:b w:val="false"/>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9"/>
        <w:jc w:val="both"/>
        <w:rPr>
          <w:sz w:val="24"/>
          <w:szCs w:val="24"/>
          <w:lang w:eastAsia="en-US"/>
        </w:rPr>
      </w:pPr>
      <w:r>
        <w:rPr>
          <w:b/>
          <w:sz w:val="24"/>
          <w:szCs w:val="24"/>
          <w:lang w:eastAsia="en-US"/>
        </w:rPr>
        <w:t>«Проектная документация»</w:t>
      </w:r>
      <w:r>
        <w:rPr>
          <w:sz w:val="24"/>
          <w:szCs w:val="24"/>
          <w:lang w:eastAsia="en-US"/>
        </w:rPr>
        <w:t xml:space="preserve"> – совокупность текстовых и графических (в виде карт (схем)) документов и материалов, определяющих архитектурные, функционально-технологические, конструктивные и инженерно-технические решения для обеспечения строительства, реконструкции, модернизации, технического перевооружения объектов капитального строительства, их частей. </w:t>
      </w:r>
    </w:p>
    <w:p>
      <w:pPr>
        <w:pStyle w:val="Normal"/>
        <w:ind w:firstLine="709"/>
        <w:jc w:val="both"/>
        <w:rPr>
          <w:sz w:val="24"/>
          <w:szCs w:val="24"/>
          <w:lang w:eastAsia="en-US"/>
        </w:rPr>
      </w:pPr>
      <w:r>
        <w:rPr>
          <w:sz w:val="24"/>
          <w:szCs w:val="24"/>
          <w:lang w:eastAsia="en-US"/>
        </w:rPr>
        <w:t xml:space="preserve">Состав разделов Проектной документации определяется Применимым правом. </w:t>
      </w:r>
    </w:p>
    <w:p>
      <w:pPr>
        <w:pStyle w:val="Normal"/>
        <w:ind w:firstLine="709"/>
        <w:jc w:val="both"/>
        <w:rPr>
          <w:b/>
          <w:sz w:val="24"/>
          <w:szCs w:val="24"/>
          <w:lang w:eastAsia="en-US"/>
        </w:rPr>
      </w:pPr>
      <w:r>
        <w:rPr>
          <w:sz w:val="24"/>
          <w:szCs w:val="24"/>
          <w:lang w:eastAsia="en-US"/>
        </w:rPr>
        <w:t>В состав Проектной документации может включаться также иная документация, необходимая для выполнения работ и эксплуатации объекта капитального строительства, разработанная, в том числе, на основании Технического задания Покупателя.</w:t>
      </w:r>
    </w:p>
    <w:p>
      <w:pPr>
        <w:pStyle w:val="Normal"/>
        <w:ind w:firstLine="708"/>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Heading3"/>
        <w:keepNext w:val="false"/>
        <w:widowControl w:val="false"/>
        <w:tabs>
          <w:tab w:val="clear" w:pos="709"/>
          <w:tab w:val="left" w:pos="567" w:leader="none"/>
        </w:tabs>
        <w:overflowPunct w:val="false"/>
        <w:spacing w:before="0" w:after="0"/>
        <w:ind w:firstLine="708"/>
        <w:jc w:val="both"/>
        <w:textAlignment w:val="baseline"/>
        <w:rPr>
          <w:highlight w:val="none"/>
          <w:shd w:fill="auto" w:val="clear"/>
        </w:rPr>
      </w:pPr>
      <w:r>
        <w:rPr>
          <w:rFonts w:eastAsia="Times New Roman" w:cs="Times New Roman" w:ascii="Times New Roman" w:hAnsi="Times New Roman"/>
          <w:b/>
          <w:color w:val="000000"/>
          <w:kern w:val="0"/>
          <w:sz w:val="24"/>
          <w:szCs w:val="24"/>
          <w:shd w:fill="auto" w:val="clear"/>
          <w:lang w:val="ru-RU" w:eastAsia="en-US" w:bidi="ar-SA"/>
        </w:rPr>
        <w:t xml:space="preserve">«Универсальный передаточный документ», «УПД» </w:t>
      </w:r>
      <w:r>
        <w:rPr>
          <w:rFonts w:eastAsia="Times New Roman" w:cs="Times New Roman" w:ascii="Times New Roman" w:hAnsi="Times New Roman"/>
          <w:b w:val="false"/>
          <w:color w:val="000000"/>
          <w:kern w:val="0"/>
          <w:sz w:val="24"/>
          <w:szCs w:val="24"/>
          <w:shd w:fill="auto" w:val="clear"/>
          <w:lang w:val="ru-RU" w:eastAsia="en-US" w:bidi="ar-SA"/>
        </w:rPr>
        <w:t>–</w:t>
      </w:r>
      <w:r>
        <w:rPr>
          <w:rFonts w:eastAsia="Times New Roman" w:cs="Times New Roman" w:ascii="Times New Roman" w:hAnsi="Times New Roman"/>
          <w:b/>
          <w:color w:val="000000"/>
          <w:kern w:val="0"/>
          <w:sz w:val="24"/>
          <w:szCs w:val="24"/>
          <w:shd w:fill="auto" w:val="clear"/>
          <w:lang w:val="ru-RU" w:eastAsia="en-US" w:bidi="ar-SA"/>
        </w:rPr>
        <w:t xml:space="preserve"> </w:t>
      </w:r>
      <w:r>
        <w:rPr>
          <w:rFonts w:eastAsia="Times New Roman" w:cs="Times New Roman" w:ascii="Times New Roman" w:hAnsi="Times New Roman"/>
          <w:b w:val="false"/>
          <w:color w:val="000000"/>
          <w:kern w:val="0"/>
          <w:sz w:val="24"/>
          <w:szCs w:val="24"/>
          <w:shd w:fill="auto" w:val="clear"/>
          <w:lang w:val="ru-RU" w:eastAsia="en-US" w:bidi="ar-SA"/>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eastAsia="Times New Roman" w:cs="Times New Roman" w:ascii="Times New Roman" w:hAnsi="Times New Roman"/>
          <w:b w:val="false"/>
          <w:bCs w:val="false"/>
          <w:color w:val="000000"/>
          <w:kern w:val="0"/>
          <w:sz w:val="24"/>
          <w:szCs w:val="24"/>
          <w:shd w:fill="auto" w:val="clear"/>
          <w:lang w:val="ru-RU" w:eastAsia="en-US" w:bidi="ar-SA"/>
        </w:rPr>
        <w:t>.</w:t>
      </w:r>
    </w:p>
    <w:p>
      <w:pPr>
        <w:pStyle w:val="Heading3"/>
        <w:tabs>
          <w:tab w:val="clear" w:pos="709"/>
          <w:tab w:val="left" w:pos="0" w:leader="none"/>
        </w:tabs>
        <w:overflowPunct w:val="false"/>
        <w:spacing w:before="0" w:after="0"/>
        <w:ind w:firstLine="708"/>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false"/>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w:t>
        <w:br/>
        <w:t xml:space="preserve">и причитающееся ему вознаграждение, а также инфляционные риски на весь период действия Договора. </w:t>
      </w:r>
    </w:p>
    <w:p>
      <w:pPr>
        <w:pStyle w:val="Normal"/>
        <w:shd w:val="clear" w:color="auto" w:fill="FFFFFF"/>
        <w:ind w:firstLine="709"/>
        <w:jc w:val="center"/>
        <w:rPr>
          <w:bCs/>
          <w:sz w:val="24"/>
          <w:szCs w:val="24"/>
        </w:rPr>
      </w:pPr>
      <w:r>
        <w:rPr>
          <w:bCs/>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Предмет Договора</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Поставщик обязуется в порядке и сроки, установленные Договором, передать </w:t>
        <w:br/>
        <w:t>в собственность Покупателю</w:t>
      </w:r>
      <w:r>
        <w:rPr>
          <w:rFonts w:eastAsia="Calibri"/>
          <w:sz w:val="24"/>
          <w:szCs w:val="24"/>
          <w:lang w:eastAsia="en-US"/>
        </w:rPr>
        <w:t xml:space="preserve"> </w:t>
      </w:r>
      <w:r>
        <w:rPr>
          <w:rFonts w:eastAsia="Calibri"/>
          <w:i/>
          <w:sz w:val="24"/>
          <w:szCs w:val="24"/>
          <w:highlight w:val="lightGray"/>
          <w:lang w:eastAsia="en-US"/>
        </w:rPr>
        <w:t xml:space="preserve"> </w:t>
      </w:r>
      <w:r>
        <w:rPr>
          <w:rFonts w:eastAsia="Calibri" w:cs="Times New Roman"/>
          <w:b/>
          <w:i/>
          <w:color w:val="000000"/>
          <w:sz w:val="24"/>
          <w:szCs w:val="24"/>
          <w:highlight w:val="lightGray"/>
          <w:lang w:eastAsia="ru-RU"/>
        </w:rPr>
        <w:t>внедорожники представительского класса</w:t>
      </w:r>
      <w:r>
        <w:rPr>
          <w:rFonts w:eastAsia="Calibri"/>
          <w:i/>
          <w:sz w:val="24"/>
          <w:szCs w:val="24"/>
          <w:highlight w:val="lightGray"/>
          <w:lang w:eastAsia="en-US"/>
        </w:rPr>
        <w:t xml:space="preserve"> </w:t>
      </w:r>
      <w:r>
        <w:rPr>
          <w:rFonts w:eastAsia="Times New Roman" w:cs="Times New Roman"/>
          <w:b w:val="false"/>
          <w:bCs w:val="false"/>
          <w:i/>
          <w:color w:val="000000"/>
          <w:sz w:val="24"/>
          <w:szCs w:val="24"/>
          <w:highlight w:val="lightGray"/>
          <w:shd w:fill="auto" w:val="clear"/>
          <w:lang w:eastAsia="ru-RU"/>
        </w:rPr>
        <w:t>для нужд Южного филиала АО "ТК РусГидро"</w:t>
      </w:r>
      <w:r>
        <w:rPr>
          <w:sz w:val="24"/>
          <w:szCs w:val="24"/>
        </w:rPr>
        <w:t xml:space="preserve"> (далее – «Товар») в соответствии со Спецификацией (Приложение № 1 к Договору) и Техническими требованиями (Приложение № 2 к Договору), а Покупатель обязуется принять Товар и уплатить Цену Договора.</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Поставка Товара по Договору осуществляется для нужд Южного филиала АО «ТК РусГидро»</w:t>
      </w:r>
      <w:r>
        <w:rPr>
          <w:bCs/>
          <w:sz w:val="24"/>
          <w:szCs w:val="24"/>
          <w:highlight w:val="lightGray"/>
        </w:rPr>
        <w:t>.</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Место поставки Товара:</w:t>
      </w:r>
      <w:r>
        <w:rPr>
          <w:bCs/>
          <w:sz w:val="24"/>
          <w:szCs w:val="24"/>
          <w:shd w:fill="auto" w:val="clear"/>
        </w:rPr>
        <w:t xml:space="preserve"> </w:t>
      </w:r>
    </w:p>
    <w:p>
      <w:pPr>
        <w:pStyle w:val="Normal"/>
        <w:numPr>
          <w:ilvl w:val="0"/>
          <w:numId w:val="0"/>
        </w:numPr>
        <w:shd w:val="clear" w:color="auto" w:fill="FFFFFF"/>
        <w:tabs>
          <w:tab w:val="clear" w:pos="709"/>
          <w:tab w:val="left" w:pos="0" w:leader="none"/>
          <w:tab w:val="left" w:pos="1134" w:leader="none"/>
        </w:tabs>
        <w:ind w:hanging="0" w:left="0"/>
        <w:jc w:val="both"/>
        <w:rPr>
          <w:bCs/>
          <w:sz w:val="24"/>
          <w:szCs w:val="24"/>
        </w:rPr>
      </w:pPr>
      <w:r>
        <w:rPr>
          <w:bCs/>
          <w:sz w:val="24"/>
          <w:szCs w:val="24"/>
          <w:shd w:fill="auto" w:val="clear"/>
        </w:rPr>
        <w:t xml:space="preserve">- </w:t>
      </w:r>
      <w:r>
        <w:rPr>
          <w:rFonts w:eastAsia="Calibri" w:cs="Times New Roman"/>
          <w:b w:val="false"/>
          <w:bCs w:val="false"/>
          <w:iCs/>
          <w:color w:val="000000"/>
          <w:kern w:val="0"/>
          <w:sz w:val="24"/>
          <w:szCs w:val="24"/>
          <w:shd w:fill="auto" w:val="clear"/>
          <w:lang w:val="ru-RU" w:eastAsia="en-US" w:bidi="ar-SA"/>
        </w:rPr>
        <w:t>Россия, КЧР, Карачаевский район, ПГТ Правокубанский;</w:t>
      </w:r>
    </w:p>
    <w:p>
      <w:pPr>
        <w:pStyle w:val="Normal"/>
        <w:numPr>
          <w:ilvl w:val="0"/>
          <w:numId w:val="0"/>
        </w:numPr>
        <w:shd w:val="clear" w:color="auto" w:fill="FFFFFF"/>
        <w:tabs>
          <w:tab w:val="clear" w:pos="709"/>
          <w:tab w:val="left" w:pos="0" w:leader="none"/>
          <w:tab w:val="left" w:pos="1134" w:leader="none"/>
        </w:tabs>
        <w:ind w:hanging="0" w:left="0"/>
        <w:jc w:val="both"/>
        <w:rPr>
          <w:bCs/>
          <w:sz w:val="24"/>
          <w:szCs w:val="24"/>
        </w:rPr>
      </w:pPr>
      <w:r>
        <w:rPr>
          <w:rFonts w:eastAsia="Calibri" w:cs="Times New Roman"/>
          <w:b w:val="false"/>
          <w:bCs w:val="false"/>
          <w:iCs/>
          <w:color w:val="000000"/>
          <w:kern w:val="0"/>
          <w:sz w:val="24"/>
          <w:szCs w:val="24"/>
          <w:shd w:fill="auto" w:val="clear"/>
          <w:lang w:val="ru-RU" w:eastAsia="en-US" w:bidi="ar-SA"/>
        </w:rPr>
        <w:t>- Россия, РСО-А, г. Владикавказ;</w:t>
      </w:r>
      <w:r>
        <w:rPr>
          <w:sz w:val="24"/>
          <w:szCs w:val="24"/>
          <w:shd w:fill="auto" w:val="clear"/>
        </w:rPr>
        <w:t xml:space="preserve"> </w:t>
      </w:r>
    </w:p>
    <w:p>
      <w:pPr>
        <w:pStyle w:val="Normal"/>
        <w:numPr>
          <w:ilvl w:val="0"/>
          <w:numId w:val="0"/>
        </w:numPr>
        <w:shd w:val="clear" w:color="auto" w:fill="FFFFFF"/>
        <w:tabs>
          <w:tab w:val="clear" w:pos="709"/>
          <w:tab w:val="left" w:pos="0" w:leader="none"/>
          <w:tab w:val="left" w:pos="1134" w:leader="none"/>
        </w:tabs>
        <w:ind w:hanging="0" w:left="0"/>
        <w:jc w:val="both"/>
        <w:rPr>
          <w:bCs/>
          <w:sz w:val="24"/>
          <w:szCs w:val="24"/>
        </w:rPr>
      </w:pPr>
      <w:r>
        <w:rPr>
          <w:sz w:val="24"/>
          <w:szCs w:val="24"/>
          <w:shd w:fill="auto" w:val="clear"/>
        </w:rPr>
        <w:t xml:space="preserve">- </w:t>
      </w:r>
      <w:r>
        <w:rPr>
          <w:iCs/>
          <w:sz w:val="24"/>
          <w:szCs w:val="24"/>
          <w:shd w:fill="auto" w:val="clear"/>
          <w:lang w:val="en-US"/>
        </w:rPr>
        <w:t xml:space="preserve">Россия, Республика Дагестан г. Каспийск. </w:t>
      </w:r>
      <w:r>
        <w:rPr>
          <w:sz w:val="24"/>
          <w:szCs w:val="24"/>
          <w:shd w:fill="auto" w:val="clear"/>
        </w:rPr>
        <w:t>(да</w:t>
      </w:r>
      <w:r>
        <w:rPr>
          <w:sz w:val="24"/>
          <w:szCs w:val="24"/>
        </w:rPr>
        <w:t>лее – «Место поставки»).</w:t>
      </w:r>
    </w:p>
    <w:p>
      <w:pPr>
        <w:pStyle w:val="Normal"/>
        <w:numPr>
          <w:ilvl w:val="1"/>
          <w:numId w:val="2"/>
        </w:numPr>
        <w:shd w:val="clear" w:color="auto" w:fill="FFFFFF"/>
        <w:tabs>
          <w:tab w:val="clear" w:pos="709"/>
          <w:tab w:val="left" w:pos="0" w:leader="none"/>
          <w:tab w:val="left" w:pos="540" w:leader="none"/>
          <w:tab w:val="left" w:pos="1134" w:leader="none"/>
        </w:tabs>
        <w:ind w:firstLine="709" w:left="0"/>
        <w:jc w:val="both"/>
        <w:rPr>
          <w:bCs/>
          <w:sz w:val="24"/>
          <w:szCs w:val="24"/>
        </w:rPr>
      </w:pPr>
      <w:r>
        <w:rPr>
          <w:bCs/>
          <w:sz w:val="24"/>
          <w:szCs w:val="24"/>
        </w:rPr>
        <w:t>Срок поставки Товара: 15 календарных дней с даты оплаты аванса.</w:t>
      </w:r>
    </w:p>
    <w:p>
      <w:pPr>
        <w:pStyle w:val="Normal"/>
        <w:shd w:val="clear" w:color="auto" w:fill="FFFFFF"/>
        <w:tabs>
          <w:tab w:val="clear" w:pos="709"/>
          <w:tab w:val="left" w:pos="540" w:leader="none"/>
        </w:tabs>
        <w:ind w:hanging="0" w:left="1134"/>
        <w:jc w:val="both"/>
        <w:rPr>
          <w:sz w:val="24"/>
          <w:szCs w:val="24"/>
        </w:rPr>
      </w:pPr>
      <w:r>
        <w:rPr>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Цена Договора и порядок расчетов</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sz w:val="24"/>
          <w:szCs w:val="24"/>
        </w:rPr>
        <w:t xml:space="preserve">Цена Договора в соответствии со Спецификацией (Приложение № 1 к Договору) </w:t>
      </w:r>
      <w:r>
        <w:rPr>
          <w:bCs/>
          <w:sz w:val="24"/>
          <w:szCs w:val="24"/>
        </w:rPr>
        <w:t xml:space="preserve">является </w:t>
      </w:r>
      <w:r>
        <w:rPr>
          <w:bCs/>
          <w:sz w:val="24"/>
          <w:szCs w:val="24"/>
          <w:highlight w:val="lightGray"/>
        </w:rPr>
        <w:t>твердой</w:t>
      </w:r>
      <w:r>
        <w:rPr>
          <w:bCs/>
          <w:sz w:val="24"/>
          <w:szCs w:val="24"/>
        </w:rPr>
        <w:t xml:space="preserve"> и составляет </w:t>
      </w:r>
      <w:r>
        <w:rPr>
          <w:sz w:val="24"/>
          <w:szCs w:val="24"/>
          <w:highlight w:val="lightGray"/>
        </w:rPr>
        <w:t>_______</w:t>
      </w:r>
      <w:r>
        <w:rPr>
          <w:bCs/>
          <w:sz w:val="24"/>
          <w:szCs w:val="24"/>
        </w:rPr>
        <w:t xml:space="preserve"> (</w:t>
      </w:r>
      <w:r>
        <w:rPr>
          <w:sz w:val="24"/>
          <w:szCs w:val="24"/>
          <w:highlight w:val="lightGray"/>
        </w:rPr>
        <w:t>__________________</w:t>
      </w:r>
      <w:r>
        <w:rPr>
          <w:bCs/>
          <w:sz w:val="24"/>
          <w:szCs w:val="24"/>
          <w:highlight w:val="lightGray"/>
        </w:rPr>
        <w:t>)</w:t>
      </w:r>
      <w:r>
        <w:rPr>
          <w:bCs/>
          <w:sz w:val="24"/>
          <w:szCs w:val="24"/>
        </w:rPr>
        <w:t xml:space="preserve"> рублей </w:t>
      </w:r>
      <w:r>
        <w:rPr>
          <w:sz w:val="24"/>
          <w:szCs w:val="24"/>
          <w:highlight w:val="lightGray"/>
        </w:rPr>
        <w:t>___</w:t>
      </w:r>
      <w:r>
        <w:rPr>
          <w:bCs/>
          <w:sz w:val="24"/>
          <w:szCs w:val="24"/>
        </w:rPr>
        <w:t xml:space="preserve"> копеек без учета НДС, при этом НДС исчисляется дополнительно по ставке, установленной ст. 164 Налогового кодекса Российской Федерации.</w:t>
      </w:r>
    </w:p>
    <w:p>
      <w:pPr>
        <w:pStyle w:val="Norma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Цена Договора включает в себя прибыль Поставщика, а также все расходы </w:t>
        <w:br/>
        <w:t xml:space="preserve">и затраты Поставщика на: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Производство и / или приобретение Товара.</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Транспортировку Товара до Места поставки, погрузку, разгрузку, </w:t>
      </w:r>
      <w:r>
        <w:rPr>
          <w:bCs/>
          <w:sz w:val="24"/>
          <w:szCs w:val="24"/>
          <w:highlight w:val="lightGray"/>
        </w:rPr>
        <w:t>перемещение по территории Покупателя</w:t>
      </w:r>
      <w:r>
        <w:rPr>
          <w:rStyle w:val="FootnoteReference"/>
          <w:highlight w:val="lightGray"/>
          <w:vertAlign w:val="superscript"/>
        </w:rPr>
        <w:footnoteReference w:id="2"/>
      </w:r>
      <w:r>
        <w:rPr>
          <w:bCs/>
          <w:sz w:val="24"/>
          <w:szCs w:val="24"/>
        </w:rPr>
        <w:t xml:space="preserve">, стоимость тары и упаковки, лицензий, необходимых для использования Товара (если применимо).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Заработную плату, накладные и командировочные расходы, перемещение </w:t>
        <w:br/>
        <w:t xml:space="preserve">и размещение персонала Поставщика.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Все прочие затраты и расходы Поставщика, связанные с поставкой Товара </w:t>
        <w:br/>
        <w:t xml:space="preserve">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2"/>
        </w:numPr>
        <w:shd w:val="clear" w:color="auto" w:fill="FFFFFF"/>
        <w:tabs>
          <w:tab w:val="clear" w:pos="709"/>
          <w:tab w:val="left" w:pos="568" w:leader="none"/>
          <w:tab w:val="left" w:pos="1134" w:leader="none"/>
        </w:tabs>
        <w:ind w:firstLine="709" w:left="0"/>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Normal"/>
        <w:numPr>
          <w:ilvl w:val="1"/>
          <w:numId w:val="2"/>
        </w:numPr>
        <w:shd w:val="clear" w:color="auto" w:fill="FFFFFF"/>
        <w:tabs>
          <w:tab w:val="clear" w:pos="709"/>
          <w:tab w:val="left" w:pos="0" w:leader="none"/>
          <w:tab w:val="left" w:pos="1134" w:leader="none"/>
        </w:tabs>
        <w:ind w:firstLine="709" w:left="0"/>
        <w:jc w:val="both"/>
        <w:rPr>
          <w:sz w:val="24"/>
          <w:szCs w:val="24"/>
        </w:rPr>
      </w:pPr>
      <w:r>
        <w:rPr>
          <w:sz w:val="24"/>
          <w:szCs w:val="24"/>
        </w:rPr>
        <w:t xml:space="preserve">Оплата по Договору осуществляется Покупателем в следующем порядке: </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sz w:val="24"/>
          <w:szCs w:val="24"/>
        </w:rPr>
      </w:pPr>
      <w:r>
        <w:rPr>
          <w:sz w:val="24"/>
          <w:szCs w:val="24"/>
        </w:rPr>
        <w:t>Поставщик не позднее, чем за 3 (три) рабочих дня до предполагаемой даты выплаты авансового платежа, обязан предоставить Покупателю Банковскую гарантию возврата авансового платежа, соответствующую требованиям, установленным разделом 5 Договора.</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sz w:val="24"/>
        </w:rPr>
      </w:pPr>
      <w:r>
        <w:rPr>
          <w:sz w:val="24"/>
        </w:rPr>
        <w:t>Авансовый платеж в размере 30 (тридцати) процентов от стоимости Товара выплачивается Поставщику  в течение 30 (тридцати) календарных дней с даты получения Покупателем счета, выставленного Поставщиком, но не ранее чем за 30 (тридцать) календарных дней до даты поставки Товара, и с учетом пунктов 2.4.1, 2.4.4 Договора.</w:t>
      </w:r>
    </w:p>
    <w:p>
      <w:pPr>
        <w:pStyle w:val="ListParagraph"/>
        <w:numPr>
          <w:ilvl w:val="2"/>
          <w:numId w:val="2"/>
        </w:numPr>
        <w:tabs>
          <w:tab w:val="clear" w:pos="709"/>
        </w:tabs>
        <w:ind w:firstLine="709" w:left="0"/>
        <w:jc w:val="both"/>
        <w:rPr>
          <w:sz w:val="24"/>
        </w:rPr>
      </w:pPr>
      <w:r>
        <w:rPr>
          <w:sz w:val="24"/>
        </w:rPr>
        <w:t xml:space="preserve">Окончательный платеж в размере 70 (семидесяти) процентов от стоимости Товара выплачивается Поставщику в течение </w:t>
      </w:r>
      <w:r>
        <w:rPr>
          <w:sz w:val="24"/>
          <w:highlight w:val="lightGray"/>
        </w:rPr>
        <w:t xml:space="preserve"> 45 (сорока пяти) календарных дней</w:t>
      </w:r>
      <w:r>
        <w:rPr>
          <w:rStyle w:val="FootnoteReference"/>
          <w:sz w:val="24"/>
          <w:highlight w:val="lightGray"/>
        </w:rPr>
        <w:footnoteReference w:id="3"/>
      </w:r>
      <w:r>
        <w:rPr>
          <w:sz w:val="24"/>
          <w:highlight w:val="lightGray"/>
        </w:rPr>
        <w:t xml:space="preserve"> / 7 (семи) рабочих дней</w:t>
      </w:r>
      <w:r>
        <w:rPr>
          <w:rStyle w:val="FootnoteReference"/>
          <w:sz w:val="24"/>
          <w:highlight w:val="lightGray"/>
        </w:rPr>
        <w:footnoteReference w:id="4"/>
      </w:r>
      <w:r>
        <w:rPr>
          <w:sz w:val="24"/>
        </w:rPr>
        <w:t xml:space="preserve"> с даты подписания Сторонами Накладной ТОРГ-12/УПД на основании счета, выставленного Поставщиком, и с учетом пункта 2.4.4 Договора.</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bookmarkStart w:id="0" w:name="_Ref373242894"/>
      <w:r>
        <w:rPr>
          <w:bCs/>
          <w:sz w:val="24"/>
          <w:szCs w:val="24"/>
        </w:rPr>
        <w:t xml:space="preserve">Покупатель вправе не выплачивать предварительную оплату (аванс), расторгнуть Договор в одностороннем внесудебном порядке и предъявить требование </w:t>
        <w:br/>
        <w:t xml:space="preserve">о возмещении убытков в случае, если Поставщик не </w:t>
      </w:r>
      <w:r>
        <w:rPr>
          <w:sz w:val="24"/>
          <w:szCs w:val="24"/>
        </w:rPr>
        <w:t>предоставил</w:t>
      </w:r>
      <w:r>
        <w:rPr>
          <w:bCs/>
          <w:sz w:val="24"/>
          <w:szCs w:val="24"/>
        </w:rPr>
        <w:t xml:space="preserve"> финансового обеспечения исполнения обязательств, предусмотренного пунктом 2.4.1 Договора, в установленный срок и при этом не приступил к исполнению обязательств по Договору.</w:t>
      </w:r>
      <w:bookmarkEnd w:id="0"/>
      <w:r>
        <w:rPr>
          <w:bCs/>
          <w:sz w:val="24"/>
          <w:szCs w:val="24"/>
        </w:rPr>
        <w:t xml:space="preserve"> </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rPr>
        <w:t>Индексация Цены Договора не допускается.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rPr>
        <w:t>Поставщик обязан представить Покупателю счета-фактуры/УПД,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2"/>
        </w:numPr>
        <w:tabs>
          <w:tab w:val="clear" w:pos="709"/>
          <w:tab w:val="left" w:pos="1134" w:leader="none"/>
        </w:tabs>
        <w:ind w:firstLine="709" w:left="0"/>
        <w:jc w:val="both"/>
        <w:rPr>
          <w:sz w:val="24"/>
          <w:szCs w:val="24"/>
        </w:rPr>
      </w:pPr>
      <w:r>
        <w:rPr>
          <w:sz w:val="24"/>
          <w:szCs w:val="24"/>
        </w:rPr>
        <w:t xml:space="preserve">Поставщик обязан подписать акты сверки взаимных расчетов, направленные Покупателем в 2 (двух) экземплярах, и вернуть 1 (один) экземпляр Покупателю в течение </w:t>
        <w:br/>
        <w:t>5 (пяти) рабочих дней с даты получения экземпляров актов сверки расчетов от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 w:val="left" w:pos="1276" w:leader="none"/>
        </w:tabs>
        <w:ind w:firstLine="709" w:left="0"/>
        <w:jc w:val="both"/>
        <w:rPr>
          <w:sz w:val="24"/>
          <w:szCs w:val="24"/>
        </w:rPr>
      </w:pPr>
      <w:r>
        <w:rPr>
          <w:sz w:val="24"/>
        </w:rPr>
        <w:t xml:space="preserve">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w:t>
      </w:r>
      <w:r>
        <w:rPr>
          <w:iCs/>
          <w:sz w:val="24"/>
          <w:szCs w:val="24"/>
        </w:rPr>
        <w:t>Поставщика перед Покупателем</w:t>
      </w:r>
      <w:r>
        <w:rPr>
          <w:sz w:val="24"/>
        </w:rPr>
        <w:t xml:space="preserve">, в том числе (включая, но не ограничиваясь), суммы неотработанного аванса по Договору, суммы неустоек (пени, штрафы) </w:t>
        <w:br/>
        <w:t>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pPr>
        <w:pStyle w:val="Normal"/>
        <w:ind w:firstLine="709"/>
        <w:jc w:val="both"/>
        <w:rPr>
          <w:sz w:val="24"/>
          <w:szCs w:val="24"/>
        </w:rPr>
      </w:pPr>
      <w:r>
        <w:rPr>
          <w:sz w:val="24"/>
        </w:rPr>
        <w:t>Покупатель направляет Поставщику уведомление о проведении сальдо взаимных обязательств Сторон по Договору.</w:t>
      </w:r>
    </w:p>
    <w:p>
      <w:pPr>
        <w:pStyle w:val="Normal"/>
        <w:rPr>
          <w:sz w:val="24"/>
          <w:szCs w:val="24"/>
        </w:rPr>
      </w:pPr>
      <w:r>
        <w:rPr>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Порядок поставки и приемки Товара</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sz w:val="24"/>
          <w:szCs w:val="24"/>
        </w:rPr>
        <w:t>Поставка Товара осуществляется в Место поставки, указанное в пункте 1.3 Договора.</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Качество, комплектность, количество и ассортимент поставляемого по Договору Товара должны соответствовать Проектной </w:t>
      </w:r>
      <w:r>
        <w:rPr>
          <w:bCs/>
          <w:sz w:val="24"/>
          <w:szCs w:val="24"/>
          <w:highlight w:val="lightGray"/>
        </w:rPr>
        <w:t>и Рабочей</w:t>
      </w:r>
      <w:r>
        <w:rPr>
          <w:bCs/>
          <w:sz w:val="24"/>
          <w:szCs w:val="24"/>
        </w:rPr>
        <w:t xml:space="preserve"> </w:t>
      </w:r>
      <w:r>
        <w:rPr>
          <w:sz w:val="24"/>
          <w:szCs w:val="24"/>
        </w:rPr>
        <w:t>документации</w:t>
      </w:r>
      <w:r>
        <w:rPr>
          <w:bCs/>
          <w:sz w:val="24"/>
          <w:szCs w:val="24"/>
        </w:rPr>
        <w:t>, требованиям Договора и Покупателя,</w:t>
      </w:r>
      <w:r>
        <w:rPr>
          <w:b/>
          <w:bCs/>
          <w:sz w:val="24"/>
          <w:szCs w:val="24"/>
        </w:rPr>
        <w:t xml:space="preserve"> </w:t>
      </w:r>
      <w:r>
        <w:rPr>
          <w:bCs/>
          <w:sz w:val="24"/>
          <w:szCs w:val="24"/>
        </w:rPr>
        <w:t>в том числе указанным в Спецификации (Приложение № 1 к Договору), а также Применимого права.</w:t>
      </w:r>
    </w:p>
    <w:p>
      <w:pPr>
        <w:pStyle w:val="ListParagraph"/>
        <w:widowControl/>
        <w:shd w:val="clear" w:color="auto" w:fill="FFFFFF"/>
        <w:tabs>
          <w:tab w:val="clear" w:pos="709"/>
          <w:tab w:val="left" w:pos="1276" w:leader="none"/>
        </w:tabs>
        <w:ind w:firstLine="709" w:left="0"/>
        <w:jc w:val="both"/>
        <w:rPr>
          <w:bCs/>
          <w:sz w:val="24"/>
          <w:szCs w:val="24"/>
        </w:rPr>
      </w:pPr>
      <w:r>
        <w:rPr>
          <w:bCs/>
          <w:sz w:val="24"/>
          <w:szCs w:val="24"/>
        </w:rPr>
        <w:t>Поставщик не вправе производить замену Товара на иной Товар, если это приведет к несоблюдению защитных мер, установленных законодательством о Национальном режиме.</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sz w:val="24"/>
          <w:szCs w:val="24"/>
        </w:rPr>
        <w:t>Поставляемый</w:t>
      </w:r>
      <w:r>
        <w:rPr>
          <w:bCs/>
          <w:sz w:val="24"/>
          <w:szCs w:val="24"/>
        </w:rPr>
        <w:t xml:space="preserve">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w:t>
        <w:br/>
        <w:t>и не обременен правами третьих лиц.</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sz w:val="24"/>
          <w:szCs w:val="24"/>
        </w:rPr>
        <w:t>Одновременно</w:t>
      </w:r>
      <w:r>
        <w:rPr>
          <w:bCs/>
          <w:sz w:val="24"/>
          <w:szCs w:val="24"/>
        </w:rPr>
        <w:t xml:space="preserve"> с передачей Товара Поставщик обязан передать Покупателю оригиналы следующих относящихся к Товару документов: </w:t>
      </w:r>
    </w:p>
    <w:p>
      <w:pPr>
        <w:pStyle w:val="Normal"/>
        <w:numPr>
          <w:ilvl w:val="0"/>
          <w:numId w:val="4"/>
        </w:numPr>
        <w:tabs>
          <w:tab w:val="clear" w:pos="709"/>
          <w:tab w:val="left" w:pos="1418" w:leader="none"/>
        </w:tabs>
        <w:ind w:firstLine="709" w:left="0"/>
        <w:jc w:val="both"/>
        <w:rPr>
          <w:sz w:val="24"/>
          <w:szCs w:val="24"/>
        </w:rPr>
      </w:pPr>
      <w:r>
        <w:rPr>
          <w:sz w:val="24"/>
          <w:szCs w:val="24"/>
        </w:rPr>
        <w:t xml:space="preserve">сертификат качества в </w:t>
      </w:r>
      <w:r>
        <w:rPr>
          <w:sz w:val="24"/>
          <w:szCs w:val="24"/>
          <w:highlight w:val="lightGray"/>
        </w:rPr>
        <w:t>__(____)</w:t>
      </w:r>
      <w:r>
        <w:rPr>
          <w:sz w:val="24"/>
          <w:szCs w:val="24"/>
        </w:rPr>
        <w:t xml:space="preserve"> экз.;</w:t>
      </w:r>
    </w:p>
    <w:p>
      <w:pPr>
        <w:pStyle w:val="Normal"/>
        <w:numPr>
          <w:ilvl w:val="0"/>
          <w:numId w:val="4"/>
        </w:numPr>
        <w:tabs>
          <w:tab w:val="clear" w:pos="709"/>
          <w:tab w:val="left" w:pos="1418" w:leader="none"/>
        </w:tabs>
        <w:ind w:firstLine="709" w:left="0"/>
        <w:jc w:val="both"/>
        <w:rPr>
          <w:sz w:val="24"/>
          <w:szCs w:val="24"/>
        </w:rPr>
      </w:pPr>
      <w:r>
        <w:rPr>
          <w:sz w:val="24"/>
          <w:szCs w:val="24"/>
        </w:rPr>
        <w:t xml:space="preserve">технический паспорт на русском языке в </w:t>
      </w:r>
      <w:r>
        <w:rPr>
          <w:sz w:val="24"/>
          <w:szCs w:val="24"/>
          <w:highlight w:val="lightGray"/>
        </w:rPr>
        <w:t>__(____)</w:t>
      </w:r>
      <w:r>
        <w:rPr>
          <w:sz w:val="24"/>
          <w:szCs w:val="24"/>
        </w:rPr>
        <w:t xml:space="preserve"> экз.;</w:t>
      </w:r>
    </w:p>
    <w:p>
      <w:pPr>
        <w:pStyle w:val="Normal"/>
        <w:numPr>
          <w:ilvl w:val="0"/>
          <w:numId w:val="4"/>
        </w:numPr>
        <w:tabs>
          <w:tab w:val="clear" w:pos="709"/>
          <w:tab w:val="left" w:pos="1418" w:leader="none"/>
        </w:tabs>
        <w:ind w:firstLine="709" w:left="0"/>
        <w:jc w:val="both"/>
        <w:rPr>
          <w:sz w:val="24"/>
          <w:szCs w:val="24"/>
        </w:rPr>
      </w:pPr>
      <w:r>
        <w:rPr>
          <w:sz w:val="24"/>
          <w:szCs w:val="24"/>
        </w:rPr>
        <w:t xml:space="preserve">инструкция по эксплуатации на русском языке в </w:t>
      </w:r>
      <w:r>
        <w:rPr>
          <w:sz w:val="24"/>
          <w:szCs w:val="24"/>
          <w:highlight w:val="lightGray"/>
        </w:rPr>
        <w:t>__(____)</w:t>
      </w:r>
      <w:r>
        <w:rPr>
          <w:sz w:val="24"/>
          <w:szCs w:val="24"/>
        </w:rPr>
        <w:t xml:space="preserve"> экз.;</w:t>
      </w:r>
    </w:p>
    <w:p>
      <w:pPr>
        <w:pStyle w:val="Normal"/>
        <w:numPr>
          <w:ilvl w:val="0"/>
          <w:numId w:val="4"/>
        </w:numPr>
        <w:tabs>
          <w:tab w:val="clear" w:pos="709"/>
          <w:tab w:val="left" w:pos="1418" w:leader="none"/>
        </w:tabs>
        <w:ind w:firstLine="709" w:left="0"/>
        <w:jc w:val="both"/>
        <w:rPr>
          <w:sz w:val="24"/>
          <w:szCs w:val="24"/>
        </w:rPr>
      </w:pPr>
      <w:r>
        <w:rPr>
          <w:sz w:val="24"/>
          <w:szCs w:val="24"/>
        </w:rPr>
        <w:t xml:space="preserve">упаковочный лист в </w:t>
      </w:r>
      <w:r>
        <w:rPr>
          <w:sz w:val="24"/>
          <w:szCs w:val="24"/>
          <w:highlight w:val="lightGray"/>
        </w:rPr>
        <w:t>__(____)</w:t>
      </w:r>
      <w:r>
        <w:rPr>
          <w:sz w:val="24"/>
          <w:szCs w:val="24"/>
        </w:rPr>
        <w:t xml:space="preserve"> экз.;</w:t>
      </w:r>
    </w:p>
    <w:p>
      <w:pPr>
        <w:pStyle w:val="Normal"/>
        <w:numPr>
          <w:ilvl w:val="0"/>
          <w:numId w:val="3"/>
        </w:numPr>
        <w:tabs>
          <w:tab w:val="clear" w:pos="709"/>
          <w:tab w:val="left" w:pos="1418" w:leader="none"/>
        </w:tabs>
        <w:ind w:firstLine="709" w:left="0"/>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pPr>
        <w:pStyle w:val="Normal"/>
        <w:numPr>
          <w:ilvl w:val="0"/>
          <w:numId w:val="3"/>
        </w:numPr>
        <w:tabs>
          <w:tab w:val="clear" w:pos="709"/>
          <w:tab w:val="left" w:pos="1418" w:leader="none"/>
        </w:tabs>
        <w:ind w:firstLine="709" w:left="0"/>
        <w:jc w:val="both"/>
        <w:rPr>
          <w:sz w:val="24"/>
          <w:szCs w:val="24"/>
        </w:rPr>
      </w:pPr>
      <w:r>
        <w:rPr>
          <w:sz w:val="24"/>
          <w:szCs w:val="24"/>
        </w:rPr>
        <w:t>товарно-транспортная накладная формы № 1-Т (для учета товарно-материальных ценностей и расчетов за их перевозки) или транспортная железнодорожная накладная (форма № ГУ-27) в __(____) экз.;</w:t>
      </w:r>
    </w:p>
    <w:p>
      <w:pPr>
        <w:pStyle w:val="Normal"/>
        <w:numPr>
          <w:ilvl w:val="0"/>
          <w:numId w:val="3"/>
        </w:numPr>
        <w:shd w:val="clear" w:color="auto" w:fill="FFFFFF"/>
        <w:tabs>
          <w:tab w:val="clear" w:pos="709"/>
          <w:tab w:val="left" w:pos="1418" w:leader="none"/>
        </w:tabs>
        <w:ind w:firstLine="709" w:left="0"/>
        <w:jc w:val="both"/>
        <w:rPr>
          <w:sz w:val="24"/>
          <w:szCs w:val="24"/>
        </w:rPr>
      </w:pPr>
      <w:r>
        <w:rPr>
          <w:sz w:val="24"/>
          <w:szCs w:val="24"/>
        </w:rPr>
        <w:t xml:space="preserve">Накладная ТОРГ-12/УПД в </w:t>
      </w:r>
      <w:r>
        <w:rPr>
          <w:sz w:val="24"/>
          <w:szCs w:val="24"/>
          <w:highlight w:val="lightGray"/>
        </w:rPr>
        <w:t>__(____)</w:t>
      </w:r>
      <w:r>
        <w:rPr>
          <w:sz w:val="24"/>
          <w:szCs w:val="24"/>
        </w:rPr>
        <w:t xml:space="preserve"> экз.</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Поставщик обязан обеспечить присутствие во время приемки Товара и в Месте поставки </w:t>
      </w:r>
      <w:r>
        <w:rPr>
          <w:sz w:val="24"/>
          <w:szCs w:val="24"/>
        </w:rPr>
        <w:t>своего</w:t>
      </w:r>
      <w:r>
        <w:rPr>
          <w:bCs/>
          <w:sz w:val="24"/>
          <w:szCs w:val="24"/>
        </w:rPr>
        <w:t xml:space="preserve"> представителя, уполномоченного надлежащим образом оформленной доверенностью на передачу Товара Покупателю, подписание Акта рекламации. </w:t>
        <w:br/>
        <w:t xml:space="preserve">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w:t>
        <w:br/>
        <w:t xml:space="preserve">по Договору. Стороны будут рассматривать неявку представителя Поставщика </w:t>
        <w:br/>
        <w:t xml:space="preserve">как просрочку поставки. </w:t>
      </w:r>
    </w:p>
    <w:p>
      <w:pPr>
        <w:pStyle w:val="ListParagraph"/>
        <w:shd w:val="clear" w:color="auto" w:fill="FFFFFF"/>
        <w:tabs>
          <w:tab w:val="clear" w:pos="709"/>
          <w:tab w:val="left" w:pos="1134" w:leader="none"/>
          <w:tab w:val="left" w:pos="1418" w:leader="none"/>
        </w:tabs>
        <w:ind w:firstLine="709" w:left="0"/>
        <w:jc w:val="both"/>
        <w:rPr>
          <w:bCs/>
          <w:sz w:val="24"/>
          <w:szCs w:val="24"/>
        </w:rPr>
      </w:pPr>
      <w:r>
        <w:rPr>
          <w:bCs/>
          <w:sz w:val="24"/>
          <w:szCs w:val="24"/>
        </w:rPr>
        <w:t>Оригинал доверенности представителя Поставщика подлежит передаче Покупателю.</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В </w:t>
      </w:r>
      <w:r>
        <w:rPr>
          <w:sz w:val="24"/>
          <w:szCs w:val="24"/>
        </w:rPr>
        <w:t>случае</w:t>
      </w:r>
      <w:r>
        <w:rPr>
          <w:bCs/>
          <w:sz w:val="24"/>
          <w:szCs w:val="24"/>
        </w:rPr>
        <w:t xml:space="preserve"> неявки представителя Поставщика и / или его отказа от подписания Акта рекламации при приемке Товара, составленный и подписанный Покупателем </w:t>
        <w:br/>
        <w:t>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bookmarkStart w:id="1" w:name="_Ref361408474"/>
      <w:r>
        <w:rPr>
          <w:sz w:val="24"/>
          <w:szCs w:val="24"/>
        </w:rPr>
        <w:t>Товар</w:t>
      </w:r>
      <w:r>
        <w:rPr>
          <w:bCs/>
          <w:sz w:val="24"/>
          <w:szCs w:val="24"/>
        </w:rPr>
        <w:t xml:space="preserve">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1"/>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w:t>
        <w:br/>
        <w:t xml:space="preserve">в сопроводительных документах). </w:t>
      </w:r>
    </w:p>
    <w:p>
      <w:pPr>
        <w:pStyle w:val="ListParagraph"/>
        <w:shd w:val="clear" w:color="auto" w:fill="FFFFFF"/>
        <w:tabs>
          <w:tab w:val="clear" w:pos="709"/>
          <w:tab w:val="left" w:pos="1418" w:leader="none"/>
        </w:tabs>
        <w:ind w:firstLine="709" w:left="0"/>
        <w:jc w:val="both"/>
        <w:rPr>
          <w:bCs/>
          <w:sz w:val="24"/>
          <w:szCs w:val="24"/>
        </w:rPr>
      </w:pPr>
      <w:r>
        <w:rPr>
          <w:bCs/>
          <w:sz w:val="24"/>
          <w:szCs w:val="24"/>
        </w:rPr>
        <w:t xml:space="preserve">Отдельные требования к упаковке и маркировке негабаритного Товара, </w:t>
        <w:br/>
        <w:t xml:space="preserve">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w:t>
      </w:r>
    </w:p>
    <w:p>
      <w:pPr>
        <w:pStyle w:val="ListParagraph"/>
        <w:shd w:val="clear" w:color="auto" w:fill="FFFFFF"/>
        <w:tabs>
          <w:tab w:val="clear" w:pos="709"/>
          <w:tab w:val="left" w:pos="1418" w:leader="none"/>
        </w:tabs>
        <w:ind w:firstLine="709" w:left="0"/>
        <w:jc w:val="both"/>
        <w:rPr>
          <w:bCs/>
          <w:sz w:val="24"/>
          <w:szCs w:val="24"/>
        </w:rPr>
      </w:pPr>
      <w:r>
        <w:rPr>
          <w:bCs/>
          <w:sz w:val="24"/>
          <w:szCs w:val="24"/>
        </w:rPr>
        <w:t xml:space="preserve">Стоимость тары и упаковки включена в стоимость Товара. Тара и упаковка возврату </w:t>
        <w:br/>
        <w:t xml:space="preserve">не подлежат.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Погрузка, доставка, разгрузка </w:t>
      </w:r>
      <w:r>
        <w:rPr>
          <w:sz w:val="24"/>
          <w:szCs w:val="24"/>
          <w:highlight w:val="lightGray"/>
        </w:rPr>
        <w:t xml:space="preserve">и перемещение Товара (в том числе </w:t>
        <w:br/>
        <w:t>по территории Покупателя)</w:t>
      </w:r>
      <w:r>
        <w:rPr>
          <w:rStyle w:val="FootnoteReference"/>
          <w:sz w:val="24"/>
          <w:szCs w:val="24"/>
          <w:highlight w:val="lightGray"/>
          <w:vertAlign w:val="superscript"/>
        </w:rPr>
        <w:footnoteReference w:id="5"/>
      </w:r>
      <w:r>
        <w:rPr>
          <w:sz w:val="24"/>
          <w:szCs w:val="24"/>
        </w:rPr>
        <w:t xml:space="preserve"> </w:t>
      </w:r>
      <w:r>
        <w:rPr>
          <w:bCs/>
          <w:sz w:val="24"/>
          <w:szCs w:val="24"/>
        </w:rPr>
        <w:t>осуществляется</w:t>
      </w:r>
      <w:r>
        <w:rPr>
          <w:sz w:val="24"/>
          <w:szCs w:val="24"/>
        </w:rPr>
        <w:t xml:space="preserve"> Поставщиком. Стоимость погрузки, доставки, разгрузки </w:t>
      </w:r>
      <w:r>
        <w:rPr>
          <w:sz w:val="24"/>
          <w:szCs w:val="24"/>
          <w:highlight w:val="lightGray"/>
        </w:rPr>
        <w:t>и перемещения Товара</w:t>
      </w:r>
      <w:r>
        <w:rPr>
          <w:sz w:val="24"/>
          <w:szCs w:val="24"/>
        </w:rPr>
        <w:t xml:space="preserve"> включена в стоимость Товара.</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bookmarkStart w:id="2" w:name="_Ref361396594"/>
      <w:r>
        <w:rPr>
          <w:sz w:val="24"/>
          <w:szCs w:val="24"/>
        </w:rPr>
        <w:t xml:space="preserve">Датой поставки Товара является дата подписания Сторонами Накладной </w:t>
        <w:br/>
        <w:t>ТОРГ-12/УПД.</w:t>
      </w:r>
      <w:bookmarkEnd w:id="2"/>
      <w:r>
        <w:rPr>
          <w:sz w:val="24"/>
          <w:szCs w:val="24"/>
        </w:rPr>
        <w:t xml:space="preserve">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Приемка Товара по количеству тар и упаковок, в которых производилась отгрузка Товара, осуществляется Покупателем в день поставки в присутствии представителя Поставщика согласно представленным транспортным и сопроводительным документам, указанным в пункте 3.4 Договора. По результатам проверки количества упаковочных мест Покупатель подписывает представленные транспортные документы.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При обнаружении 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нарушений. Поставщик обязан в течение </w:t>
      </w:r>
      <w:r>
        <w:rPr>
          <w:sz w:val="24"/>
          <w:szCs w:val="24"/>
          <w:highlight w:val="lightGray"/>
        </w:rPr>
        <w:t>3 (трех)</w:t>
      </w:r>
      <w:r>
        <w:rPr>
          <w:sz w:val="24"/>
          <w:szCs w:val="24"/>
        </w:rPr>
        <w:t xml:space="preserve"> календарных дней с даты выявления указанных нарушений представить Покупателю необходимые принадлежности и / или документы, </w:t>
        <w:br/>
        <w:t xml:space="preserve">а также восполнить недопоставку Товара в срок, письменно согласованный с Покупателем. </w:t>
      </w:r>
    </w:p>
    <w:p>
      <w:pPr>
        <w:pStyle w:val="ListParagraph"/>
        <w:shd w:val="clear" w:color="auto" w:fill="FFFFFF"/>
        <w:tabs>
          <w:tab w:val="clear" w:pos="709"/>
          <w:tab w:val="left" w:pos="1418" w:leader="none"/>
        </w:tabs>
        <w:ind w:firstLine="709" w:left="0"/>
        <w:jc w:val="both"/>
        <w:rPr>
          <w:sz w:val="24"/>
          <w:szCs w:val="24"/>
        </w:rPr>
      </w:pPr>
      <w:bookmarkStart w:id="3" w:name="_Ref361408232"/>
      <w:r>
        <w:rPr>
          <w:sz w:val="24"/>
          <w:szCs w:val="24"/>
        </w:rPr>
        <w:t>Устранение допущенных нарушений не освобождает Поставщика от ответственности за убытки, причиненные Покупателю нарушением условий поставки.</w:t>
      </w:r>
      <w:bookmarkEnd w:id="3"/>
      <w:r>
        <w:rPr>
          <w:sz w:val="24"/>
          <w:szCs w:val="24"/>
        </w:rPr>
        <w:t xml:space="preserve">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Приемка Товара со вскрытием тары и упаковки производится Покупателем </w:t>
        <w:br/>
        <w:t xml:space="preserve">в присутствии представителя Поставщика в течение </w:t>
      </w:r>
      <w:r>
        <w:rPr>
          <w:sz w:val="24"/>
          <w:szCs w:val="24"/>
          <w:highlight w:val="lightGray"/>
        </w:rPr>
        <w:t>10 (десяти)</w:t>
      </w:r>
      <w:r>
        <w:rPr>
          <w:sz w:val="24"/>
          <w:szCs w:val="24"/>
        </w:rPr>
        <w:t xml:space="preserve"> рабочих дней </w:t>
        <w:br/>
        <w:t>с даты подписания Покупателем транспортных документов. В случае отсутствия замечаний Покупатель подписывает Накладную ТОРГ-12/УПД.</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 xml:space="preserve">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w:t>
        <w:br/>
        <w:t>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 xml:space="preserve">Покупатель вправе не производить любые платежи, предусмотренные Договором, </w:t>
        <w:br/>
        <w:t xml:space="preserve">до исполнения Поставщиком своих обязательств по Договору, при этом Покупатель </w:t>
        <w:br/>
        <w:t>не считается просрочившим.</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пунктами 3.12,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(ранее полученный авансовый платеж), </w:t>
        <w:br/>
        <w:t>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9"/>
          <w:tab w:val="left" w:pos="1283" w:leader="none"/>
          <w:tab w:val="left" w:pos="1851" w:leader="none"/>
        </w:tabs>
        <w:ind w:firstLine="709"/>
        <w:jc w:val="both"/>
        <w:rPr>
          <w:sz w:val="24"/>
          <w:szCs w:val="24"/>
        </w:rPr>
      </w:pPr>
      <w:r>
        <w:rPr>
          <w:sz w:val="24"/>
          <w:szCs w:val="24"/>
        </w:rPr>
        <w:t xml:space="preserve">Если Поставщик не вывезет Товар в указанный срок, Покупатель вправе самостоятельно возвратить Товар Поставщику. Расходы, понесенные Покупателем в связи </w:t>
        <w:br/>
        <w:t>с возвратом Товара, подлежат возмещению Поставщиком.</w:t>
      </w:r>
    </w:p>
    <w:p>
      <w:pPr>
        <w:pStyle w:val="ListParagraph"/>
        <w:widowControl/>
        <w:numPr>
          <w:ilvl w:val="1"/>
          <w:numId w:val="2"/>
        </w:numPr>
        <w:shd w:val="clear" w:color="auto" w:fill="FFFFFF"/>
        <w:tabs>
          <w:tab w:val="clear" w:pos="709"/>
          <w:tab w:val="left" w:pos="1276" w:leader="none"/>
        </w:tabs>
        <w:ind w:firstLine="709" w:left="0"/>
        <w:jc w:val="both"/>
        <w:rPr>
          <w:b/>
          <w:color w:val="000000"/>
          <w:sz w:val="24"/>
          <w:szCs w:val="24"/>
        </w:rPr>
      </w:pPr>
      <w:r>
        <w:rPr>
          <w:sz w:val="24"/>
          <w:szCs w:val="24"/>
        </w:rPr>
        <w:t xml:space="preserve">По иным вопросам, касающимся приемки Товара по количеству, качеству </w:t>
        <w:br/>
        <w:t xml:space="preserve">и комплектности в части, не противоречащей законодательству Российской Федерации </w:t>
        <w:br/>
        <w:t>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ТОРГ-12/УПД.</w:t>
      </w:r>
    </w:p>
    <w:p>
      <w:pPr>
        <w:pStyle w:val="Normal"/>
        <w:shd w:val="clear" w:color="auto" w:fill="FFFFFF"/>
        <w:jc w:val="both"/>
        <w:rPr>
          <w:sz w:val="24"/>
          <w:szCs w:val="24"/>
        </w:rPr>
      </w:pPr>
      <w:r>
        <w:rPr>
          <w:sz w:val="24"/>
          <w:szCs w:val="24"/>
        </w:rPr>
      </w:r>
    </w:p>
    <w:p>
      <w:pPr>
        <w:pStyle w:val="ListParagraph"/>
        <w:numPr>
          <w:ilvl w:val="0"/>
          <w:numId w:val="2"/>
        </w:numPr>
        <w:shd w:val="clear" w:color="auto" w:fill="FFFFFF"/>
        <w:tabs>
          <w:tab w:val="clear" w:pos="709"/>
          <w:tab w:val="left" w:pos="284" w:leader="none"/>
        </w:tabs>
        <w:ind w:hanging="0" w:left="0"/>
        <w:jc w:val="center"/>
        <w:rPr>
          <w:b/>
          <w:sz w:val="24"/>
          <w:szCs w:val="24"/>
        </w:rPr>
      </w:pPr>
      <w:r>
        <w:rPr>
          <w:b/>
          <w:sz w:val="24"/>
          <w:szCs w:val="24"/>
        </w:rPr>
        <w:t>Гарантийный срок</w:t>
      </w:r>
    </w:p>
    <w:p>
      <w:pPr>
        <w:pStyle w:val="ListParagraph"/>
        <w:numPr>
          <w:ilvl w:val="1"/>
          <w:numId w:val="2"/>
        </w:numPr>
        <w:tabs>
          <w:tab w:val="left" w:pos="709" w:leader="none"/>
          <w:tab w:val="left" w:pos="1134" w:leader="none"/>
        </w:tabs>
        <w:ind w:firstLine="709" w:left="0"/>
        <w:jc w:val="both"/>
        <w:rPr>
          <w:sz w:val="24"/>
          <w:szCs w:val="24"/>
        </w:rPr>
      </w:pPr>
      <w:r>
        <w:rPr>
          <w:sz w:val="24"/>
          <w:szCs w:val="24"/>
        </w:rPr>
        <w:t>Гарантийный срок на Товар, поставленный по Договору, составляет 36</w:t>
      </w:r>
      <w:r>
        <w:rPr>
          <w:sz w:val="24"/>
          <w:szCs w:val="24"/>
          <w:shd w:fill="auto" w:val="clear"/>
        </w:rPr>
        <w:t xml:space="preserve"> (тридцать шесть) месяцев, либо 150 000 км пробега, что наступит ранее</w:t>
      </w:r>
      <w:r>
        <w:rPr>
          <w:sz w:val="24"/>
          <w:szCs w:val="24"/>
        </w:rPr>
        <w:t xml:space="preserve"> и начинает течь с даты подписания Сторонами Накладной ТОРГ-12/УПД.</w:t>
      </w:r>
      <w:r>
        <w:rPr/>
        <w:t xml:space="preserve"> </w:t>
      </w:r>
      <w:r>
        <w:rPr>
          <w:sz w:val="24"/>
          <w:szCs w:val="24"/>
        </w:rPr>
        <w:t xml:space="preserve">Гарантийный срок может быть продлен в соответствии с условиями Договора. </w:t>
      </w:r>
    </w:p>
    <w:p>
      <w:pPr>
        <w:pStyle w:val="ListParagraph"/>
        <w:tabs>
          <w:tab w:val="clear" w:pos="709"/>
          <w:tab w:val="left" w:pos="1134" w:leader="none"/>
          <w:tab w:val="left" w:pos="1851" w:leader="none"/>
        </w:tabs>
        <w:ind w:firstLine="709" w:left="0"/>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w:t>
        <w:br/>
        <w:t xml:space="preserve">к Товару, и Применимого права, возможность эксплуатации (использования) Товара </w:t>
        <w:br/>
        <w:t xml:space="preserve">в соответствии с его целевым назначением, а также несет безусловную ответственность </w:t>
        <w:br/>
        <w:t xml:space="preserve">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3.4 Договора. </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w:t>
        <w:br/>
        <w:t xml:space="preserve">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w:t>
        <w:br/>
        <w:t>и будет признан Сторонами действительным.</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4" w:name="OLE_LINK5"/>
      <w:bookmarkStart w:id="5" w:name="OLE_LINK6"/>
      <w:r>
        <w:rPr>
          <w:sz w:val="24"/>
          <w:szCs w:val="24"/>
        </w:rPr>
        <w:t>Покупателем в соответствии с пунктом 4.3 Договора</w:t>
      </w:r>
      <w:bookmarkEnd w:id="4"/>
      <w:bookmarkEnd w:id="5"/>
      <w:r>
        <w:rPr>
          <w:sz w:val="24"/>
          <w:szCs w:val="24"/>
        </w:rPr>
        <w:t xml:space="preserve">, путем замены или ремонта Товара. </w:t>
      </w:r>
    </w:p>
    <w:p>
      <w:pPr>
        <w:pStyle w:val="Normal"/>
        <w:shd w:val="clear" w:color="auto" w:fill="FFFFFF"/>
        <w:ind w:firstLine="709"/>
        <w:jc w:val="both"/>
        <w:rPr>
          <w:sz w:val="24"/>
          <w:szCs w:val="24"/>
        </w:rPr>
      </w:pPr>
      <w:r>
        <w:rPr>
          <w:sz w:val="24"/>
          <w:szCs w:val="24"/>
        </w:rPr>
        <w:t xml:space="preserve">Устранение недостатков (дефектов) путем ремонта Товара может осуществляться только по письменному согласованию с Покупателем. Поставщик вправе по согласованию </w:t>
        <w:br/>
        <w:t xml:space="preserve">с Покупателем вместо замены или ремонта Товара возвратить Покупателю его стоимость (ранее полученный авансовый платеж). Вывоз Товара для целей устранения недостатков (дефектов) осуществляется силами Поставщика и за его счет.  </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Поставщик обязан предоставить Покупателю копию(-и) заключения(-ий) </w:t>
        <w:br/>
        <w:t xml:space="preserve">о подтверждении производства Товара на территории Российской Федерации, </w:t>
        <w:br/>
        <w:t>выданного(-ых) Минпромторгом России в соответствии с постановлением Правительства Российской Федерации от 17.07.2015 № 719 «О подтверждении производства промышленной продукции на территории Российской Федерации» не позднее 6 (шести) месяцев после окончания установленного Договором срока поставки Товара</w:t>
      </w:r>
      <w:r>
        <w:rPr>
          <w:rStyle w:val="FootnoteReference"/>
          <w:sz w:val="24"/>
          <w:szCs w:val="24"/>
        </w:rPr>
        <w:footnoteReference w:id="6"/>
      </w:r>
      <w:r>
        <w:rPr>
          <w:sz w:val="24"/>
          <w:szCs w:val="24"/>
        </w:rPr>
        <w:t>.</w:t>
      </w:r>
    </w:p>
    <w:p>
      <w:pPr>
        <w:pStyle w:val="Normal"/>
        <w:shd w:val="clear" w:color="auto" w:fill="FFFFFF"/>
        <w:tabs>
          <w:tab w:val="clear" w:pos="709"/>
          <w:tab w:val="left" w:pos="1190" w:leader="none"/>
        </w:tabs>
        <w:jc w:val="both"/>
        <w:rPr>
          <w:sz w:val="24"/>
          <w:szCs w:val="24"/>
        </w:rPr>
      </w:pPr>
      <w:r>
        <w:rPr>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Банковские гарантии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Банковская гарантия, предоставляемая Поставщиком Покупателю по Договору, должна соответствовать следующим требованиям:</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Банковская гарантия должна быть безотзывной и безусловной (гарантия </w:t>
        <w:br/>
        <w:t>по первому требованию).</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Бенефициар по Банковской гарантии – Покупатель, принципал – Поставщик.</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Сумма Банковской гарантии – выражена в валюте расчетов по Договору.</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Сумма Банковской гарантии возврата авансового платежа – не менее </w:t>
        <w:br/>
        <w:t xml:space="preserve">100 (ста) процентов от размера уплачиваемой по Договору предварительной оплаты (аванса) в совокупной сумме с учетом ранее выплаченных Поставщику и непогашенных (незачтенных) авансовых платежей. </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Банковская гарантия должна предусматривать, что для истребования суммы обеспечения Покупатель направляет Банку-Гаранту только письменное требование </w:t>
        <w:br/>
        <w:t>о предъявлении суммы обеспечения к оплате</w:t>
      </w:r>
      <w:r>
        <w:rPr>
          <w:sz w:val="24"/>
          <w:szCs w:val="24"/>
        </w:rPr>
        <w:t xml:space="preserve"> </w:t>
      </w:r>
      <w:r>
        <w:rPr>
          <w:bCs/>
          <w:sz w:val="24"/>
          <w:szCs w:val="24"/>
        </w:rPr>
        <w:t xml:space="preserve">как полностью, так и частично, с указанием </w:t>
        <w:br/>
        <w:t>на существо допущенных Поставщиком нарушений, в том числе в случаях:</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отказа Поставщика от исполнения обязательств по Договору, в том числе одностороннего отказа от Договора;</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отказа Поставщика от возврата неотработанного аванса при досрочном прекращении Договора / признании Договора недействительным;</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нарушения Поставщиком срока</w:t>
      </w:r>
      <w:r>
        <w:rPr>
          <w:sz w:val="24"/>
          <w:szCs w:val="24"/>
        </w:rPr>
        <w:t xml:space="preserve"> </w:t>
      </w:r>
      <w:r>
        <w:rPr>
          <w:bCs/>
          <w:sz w:val="24"/>
          <w:szCs w:val="24"/>
        </w:rPr>
        <w:t>поставки Товара, установленного пунктом 1.4 Договора более, чем на 60 (шестьдесят) календарных дней;</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введения арбитражным судом процедуры несостоятельности (банкротства)</w:t>
      </w:r>
      <w:r>
        <w:rPr>
          <w:sz w:val="24"/>
          <w:szCs w:val="24"/>
        </w:rPr>
        <w:t xml:space="preserve"> </w:t>
        <w:br/>
      </w:r>
      <w:r>
        <w:rPr>
          <w:bCs/>
          <w:sz w:val="24"/>
          <w:szCs w:val="24"/>
        </w:rPr>
        <w:t>в отношении Поставщика;</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непредоставления Поставщиком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банковской гарантии в части увеличения срока ее действия на новый период, в случаях если срок исполнения обязательств Поставщиком по Договору превышает срок действия банковской гарантии либо срок исполнения обязательств продлен;</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sz w:val="24"/>
          <w:szCs w:val="24"/>
        </w:rPr>
        <w:t>признания Договора недействительным по причинам отсутствия необходимых корпоративных одобрений у Поставщика;</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 xml:space="preserve">установления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br/>
        <w:t xml:space="preserve">а также недостоверности, неточности или неполноты заверений Поставщика </w:t>
        <w:br/>
        <w:t>об обстоятельствах, указанных в разделе 12 Договора, и имеющих существенное значение для его заключения и исполнения.</w:t>
      </w:r>
    </w:p>
    <w:p>
      <w:pPr>
        <w:pStyle w:val="ListParagraph"/>
        <w:shd w:val="clear" w:color="auto" w:fill="FFFFFF"/>
        <w:tabs>
          <w:tab w:val="clear" w:pos="709"/>
          <w:tab w:val="left" w:pos="0" w:leader="none"/>
          <w:tab w:val="left" w:pos="1418" w:leader="none"/>
        </w:tabs>
        <w:ind w:firstLine="709" w:left="0"/>
        <w:jc w:val="both"/>
        <w:rPr>
          <w:sz w:val="24"/>
          <w:szCs w:val="24"/>
        </w:rPr>
      </w:pPr>
      <w:r>
        <w:rPr>
          <w:sz w:val="24"/>
          <w:szCs w:val="24"/>
        </w:rPr>
        <w:t>Вместе с требованием о предъявлении суммы обеспечения к оплате Покупатель направляет Банку-Гаранту копию Банковской гарантии.</w:t>
      </w:r>
    </w:p>
    <w:p>
      <w:pPr>
        <w:pStyle w:val="Normal"/>
        <w:widowControl/>
        <w:shd w:val="clear" w:color="auto" w:fill="FFFFFF"/>
        <w:tabs>
          <w:tab w:val="clear" w:pos="709"/>
          <w:tab w:val="left" w:pos="1418" w:leader="none"/>
          <w:tab w:val="left" w:pos="1855" w:leader="none"/>
        </w:tabs>
        <w:ind w:firstLine="709"/>
        <w:jc w:val="both"/>
        <w:rPr>
          <w:bCs/>
          <w:sz w:val="24"/>
        </w:rPr>
      </w:pPr>
      <w:r>
        <w:rPr>
          <w:bCs/>
          <w:sz w:val="24"/>
        </w:rPr>
        <w:t>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Покупателя, подтверждающего факт осуществления Покупателем авансового платежа, с отметкой банка об исполнении.</w:t>
      </w:r>
    </w:p>
    <w:p>
      <w:pPr>
        <w:pStyle w:val="ListParagraph"/>
        <w:widowControl/>
        <w:numPr>
          <w:ilvl w:val="0"/>
          <w:numId w:val="0"/>
        </w:numPr>
        <w:shd w:val="clear" w:color="auto" w:fill="FFFFFF"/>
        <w:tabs>
          <w:tab w:val="clear" w:pos="709"/>
          <w:tab w:val="left" w:pos="1418" w:leader="none"/>
        </w:tabs>
        <w:suppressAutoHyphens w:val="true"/>
        <w:bidi w:val="0"/>
        <w:spacing w:lineRule="auto" w:line="240" w:before="0" w:after="0"/>
        <w:ind w:firstLine="709" w:left="0"/>
        <w:contextualSpacing/>
        <w:jc w:val="both"/>
        <w:rPr>
          <w:bCs/>
        </w:rPr>
      </w:pPr>
      <w:r>
        <w:rPr>
          <w:rFonts w:eastAsia="Times New Roman" w:cs="Times New Roman"/>
          <w:bCs/>
          <w:color w:val="000000"/>
          <w:kern w:val="0"/>
          <w:sz w:val="24"/>
          <w:szCs w:val="24"/>
          <w:shd w:fill="auto" w:val="clear"/>
          <w:lang w:val="ru-RU" w:eastAsia="ru-RU" w:bidi="ar-SA"/>
        </w:rPr>
        <w:t xml:space="preserve">Банковской гарантией возврата предварительной оплаты (аванса) / надлежащего исполнения обязательств / гарантийных обязательств по Договору должно быть предусмотрено условие о праве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w:t>
      </w:r>
    </w:p>
    <w:p>
      <w:pPr>
        <w:pStyle w:val="Normal"/>
        <w:spacing w:lineRule="auto" w:line="240" w:before="0" w:after="0"/>
        <w:ind w:firstLine="709"/>
        <w:jc w:val="both"/>
        <w:rPr>
          <w:rFonts w:ascii="Times New Roman" w:hAnsi="Times New Roman" w:eastAsia="Times New Roman" w:cs="Times New Roman"/>
          <w:bCs/>
          <w:color w:val="auto"/>
          <w:kern w:val="0"/>
          <w:sz w:val="24"/>
          <w:szCs w:val="24"/>
          <w:highlight w:val="none"/>
          <w:shd w:fill="FFFF00" w:val="clear"/>
          <w:lang w:val="ru-RU" w:eastAsia="ru-RU" w:bidi="ar-SA"/>
        </w:rPr>
      </w:pPr>
      <w:r>
        <w:rPr>
          <w:rFonts w:eastAsia="Times New Roman" w:cs="Times New Roman"/>
          <w:bCs/>
          <w:color w:val="000000"/>
          <w:kern w:val="0"/>
          <w:sz w:val="24"/>
          <w:szCs w:val="24"/>
          <w:shd w:fill="auto" w:val="clear"/>
          <w:lang w:val="ru-RU" w:eastAsia="ru-RU" w:bidi="ar-SA"/>
        </w:rPr>
        <w:t xml:space="preserve">Выбор формы направления такого требования осуществляется Бенефициаром самостоятельно. </w:t>
      </w:r>
      <w:r>
        <w:rPr>
          <w:bCs/>
          <w:sz w:val="24"/>
          <w:szCs w:val="24"/>
        </w:rPr>
        <w:t>Платеж по Банковской гарантии – осуществляется Банком-Гарантом в течение 10 (десяти) рабочих дней после обращения Покупателя.</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Срок окончания действия Банковской гарантии – не ранее 70 (семидесяти) календарных дней после наступления даты поставки Товара.</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Внесение изменений и дополнений в Договор в период срока действия Банковской гарантии не освобождает Банк-Гарант от обязательств перед Покупателем </w:t>
        <w:br/>
        <w:t>по Банковской гарантии.</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Банковская гарантия должна быть подчинена материальному праву Российской Федерации и предусматривать Арбитражный суд города Москвы в качестве органа, компетентного разрешать споры из Банковской гарантии.</w:t>
      </w:r>
    </w:p>
    <w:p>
      <w:pPr>
        <w:pStyle w:val="ListParagraph"/>
        <w:widowControl/>
        <w:numPr>
          <w:ilvl w:val="2"/>
          <w:numId w:val="2"/>
        </w:numPr>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Банковская гарантия не должна содержать условий или требований, противоречащих требованиям, указанным в пунктах 5.1.1 – 5.1.8 Договора, или делающих такие требования неисполнимыми.</w:t>
      </w:r>
    </w:p>
    <w:p>
      <w:pPr>
        <w:pStyle w:val="ListParagraph"/>
        <w:widowControl/>
        <w:numPr>
          <w:ilvl w:val="2"/>
          <w:numId w:val="2"/>
        </w:numPr>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 xml:space="preserve">Банковские гарантии, предусмотренные настоящим разделом Договора, предоставляются (по выбору Заказчика): </w:t>
      </w:r>
    </w:p>
    <w:p>
      <w:pPr>
        <w:pStyle w:val="ListParagraph"/>
        <w:widowControl/>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 либо</w:t>
      </w:r>
    </w:p>
    <w:p>
      <w:pPr>
        <w:pStyle w:val="ListParagraph"/>
        <w:widowControl/>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 в оригинале на бумажном носителе.</w:t>
      </w:r>
    </w:p>
    <w:p>
      <w:pPr>
        <w:pStyle w:val="Normal"/>
        <w:widowControl/>
        <w:numPr>
          <w:ilvl w:val="1"/>
          <w:numId w:val="2"/>
        </w:numPr>
        <w:tabs>
          <w:tab w:val="clear" w:pos="709"/>
          <w:tab w:val="left" w:pos="0" w:leader="none"/>
          <w:tab w:val="left" w:pos="1134" w:leader="none"/>
        </w:tabs>
        <w:ind w:firstLine="709" w:left="0"/>
        <w:jc w:val="both"/>
        <w:rPr>
          <w:bCs/>
          <w:sz w:val="24"/>
          <w:szCs w:val="24"/>
        </w:rPr>
      </w:pPr>
      <w:r>
        <w:rPr>
          <w:bCs/>
          <w:sz w:val="24"/>
          <w:szCs w:val="24"/>
        </w:rPr>
        <w:t>Банк-Гарант, выдавший Банковскую гарантию, должен соответствовать критериям, установленным в Приложении № 3 к Договору.</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Банковская гарантия возвращается Банку-Гаранту или Поставщику после прекращения ее действия в течение 10 (десяти) рабочих дней с даты получения Покупателем соответствующего письменного уведомления.</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Сумма Банковской гарантии возврата авансового платежа по согласованию </w:t>
        <w:br/>
        <w:t>с Покупателем может быть уменьшена пропорционально сумме выполненных Поставщиком обязательств по Договору при условии подтверждения их выполнения.</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В случае увеличения Цены Договора или продления срока выполнения Поставщиком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В случаях</w:t>
      </w:r>
      <w:r>
        <w:rPr>
          <w:bCs/>
          <w:sz w:val="24"/>
          <w:szCs w:val="24"/>
          <w:lang w:val="en-US"/>
        </w:rPr>
        <w:t>:</w:t>
      </w:r>
      <w:r>
        <w:rPr>
          <w:bCs/>
          <w:sz w:val="24"/>
          <w:szCs w:val="24"/>
        </w:rPr>
        <w:t xml:space="preserve"> </w:t>
      </w:r>
    </w:p>
    <w:p>
      <w:pPr>
        <w:pStyle w:val="ListParagraph"/>
        <w:widowControl/>
        <w:numPr>
          <w:ilvl w:val="1"/>
          <w:numId w:val="7"/>
        </w:numPr>
        <w:shd w:val="clear" w:color="auto" w:fill="FFFFFF"/>
        <w:tabs>
          <w:tab w:val="clear" w:pos="709"/>
          <w:tab w:val="left" w:pos="0" w:leader="none"/>
        </w:tabs>
        <w:ind w:firstLine="709" w:left="0"/>
        <w:jc w:val="both"/>
        <w:rPr>
          <w:bCs/>
          <w:sz w:val="24"/>
          <w:szCs w:val="24"/>
        </w:rPr>
      </w:pPr>
      <w:r>
        <w:rPr>
          <w:bCs/>
          <w:sz w:val="24"/>
          <w:szCs w:val="24"/>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pPr>
        <w:pStyle w:val="ListParagraph"/>
        <w:widowControl/>
        <w:numPr>
          <w:ilvl w:val="1"/>
          <w:numId w:val="7"/>
        </w:numPr>
        <w:shd w:val="clear" w:color="auto" w:fill="FFFFFF"/>
        <w:tabs>
          <w:tab w:val="clear" w:pos="709"/>
          <w:tab w:val="left" w:pos="0" w:leader="none"/>
        </w:tabs>
        <w:ind w:firstLine="709" w:left="0"/>
        <w:jc w:val="both"/>
        <w:rPr>
          <w:bCs/>
          <w:sz w:val="24"/>
          <w:szCs w:val="24"/>
        </w:rPr>
      </w:pPr>
      <w:r>
        <w:rPr>
          <w:bCs/>
          <w:sz w:val="24"/>
          <w:szCs w:val="24"/>
        </w:rPr>
        <w:t>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w:t>
      </w:r>
    </w:p>
    <w:p>
      <w:pPr>
        <w:pStyle w:val="ListParagraph"/>
        <w:shd w:val="clear" w:color="auto" w:fill="FFFFFF"/>
        <w:tabs>
          <w:tab w:val="clear" w:pos="709"/>
          <w:tab w:val="left" w:pos="0" w:leader="none"/>
        </w:tabs>
        <w:ind w:firstLine="709" w:left="0"/>
        <w:jc w:val="both"/>
        <w:rPr>
          <w:bCs/>
          <w:sz w:val="24"/>
          <w:szCs w:val="24"/>
        </w:rPr>
      </w:pPr>
      <w:r>
        <w:rPr>
          <w:bCs/>
          <w:sz w:val="24"/>
          <w:szCs w:val="24"/>
        </w:rPr>
        <w:t>Поставщик обязан предоставить Покупателю новую Банковскую гарантию</w:t>
      </w:r>
      <w:r>
        <w:rPr>
          <w:sz w:val="24"/>
          <w:szCs w:val="24"/>
        </w:rPr>
        <w:t xml:space="preserve"> </w:t>
      </w:r>
      <w:r>
        <w:rPr>
          <w:bCs/>
          <w:sz w:val="24"/>
          <w:szCs w:val="24"/>
        </w:rPr>
        <w:t>другого Банка-Гаранта, согласованного с Покупателем, соответствующую требованиям, установленным Договором, не позднее 10 (десяти) календарных дней с даты, когда ему стало известно либо должно стать известным об указанных обстоятельствах, либо с даты обращения Покупателя с требованием о замене Банковской гарантии.</w:t>
      </w:r>
    </w:p>
    <w:p>
      <w:pPr>
        <w:pStyle w:val="ListParagraph"/>
        <w:shd w:val="clear" w:color="auto" w:fill="FFFFFF"/>
        <w:tabs>
          <w:tab w:val="clear" w:pos="709"/>
          <w:tab w:val="left" w:pos="0" w:leader="none"/>
        </w:tabs>
        <w:ind w:firstLine="709" w:left="0"/>
        <w:jc w:val="both"/>
        <w:rPr>
          <w:bCs/>
          <w:sz w:val="24"/>
          <w:szCs w:val="24"/>
        </w:rPr>
      </w:pPr>
      <w:r>
        <w:rPr>
          <w:bCs/>
          <w:sz w:val="24"/>
          <w:szCs w:val="24"/>
        </w:rPr>
        <w:t>В случае непредставления Поставщиком в установленный срок новой Банковской гарантии Покупатель вправе удерживать сумму непогашенного (незачтенного) аванса</w:t>
      </w:r>
      <w:r>
        <w:rPr>
          <w:rStyle w:val="FootnoteReference"/>
          <w:sz w:val="24"/>
          <w:szCs w:val="24"/>
        </w:rPr>
        <w:footnoteReference w:id="7"/>
      </w:r>
      <w:r>
        <w:rPr>
          <w:bCs/>
          <w:sz w:val="24"/>
          <w:szCs w:val="24"/>
        </w:rPr>
        <w:t xml:space="preserve"> при выплате каждого платежа, причитающегося Поставщику, до полного зачета непогашенного (незачтенного) аванса, </w:t>
      </w:r>
      <w:r>
        <w:rPr>
          <w:sz w:val="24"/>
          <w:szCs w:val="24"/>
        </w:rPr>
        <w:t>при выплате каждого платежа, причитающегося Поставщику.</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Во всех случаях, предусмотренных Договором, Поставщик вправе представить Покупателю вместо новой Банковской гарантии изменения к действующей Банковской гарантии, приводящие ее в соответствие с требованиями Договора, при условии, что условиями действующей Банковской гарантии прямо предусмотрена возможность внесения в нее изменений. Любое изменение, внесенное Банком-Гарантом в условия Банковской гарантии, должно быть письменно согласовано с Покупателем.</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Положения пункта 2.5.1 Договора применяются, если совокупный размер авансовых платежей, уплаченных и подлежащих уплате по Договору в соответствии </w:t>
        <w:br/>
        <w:t xml:space="preserve">с выставленными счетами Поставщика составляет 5 000 000 (Пять миллионов) рублей </w:t>
        <w:br/>
        <w:t xml:space="preserve">и более без учета НДС. </w:t>
      </w:r>
    </w:p>
    <w:p>
      <w:pPr>
        <w:pStyle w:val="ListParagraph"/>
        <w:widowControl/>
        <w:numPr>
          <w:ilvl w:val="1"/>
          <w:numId w:val="2"/>
        </w:numPr>
        <w:shd w:val="clear" w:color="auto" w:fill="FFFFFF"/>
        <w:tabs>
          <w:tab w:val="clear" w:pos="709"/>
          <w:tab w:val="left" w:pos="1134" w:leader="none"/>
          <w:tab w:val="left" w:pos="1985" w:leader="none"/>
        </w:tabs>
        <w:ind w:firstLine="709" w:left="0"/>
        <w:jc w:val="both"/>
        <w:rPr>
          <w:bCs/>
          <w:sz w:val="24"/>
          <w:szCs w:val="24"/>
        </w:rPr>
      </w:pPr>
      <w:r>
        <w:rPr>
          <w:sz w:val="24"/>
          <w:szCs w:val="24"/>
          <w:highlight w:val="lightGray"/>
        </w:rPr>
        <w:t xml:space="preserve">Стороны вправе изменить способы и порядок обеспечения обязательств </w:t>
        <w:br/>
        <w:t>по Договору, указанные в настоящем разделе, путем подписания дополнительного соглашения к Договору</w:t>
      </w:r>
      <w:r>
        <w:rPr>
          <w:rStyle w:val="FootnoteReference"/>
          <w:sz w:val="24"/>
          <w:szCs w:val="24"/>
          <w:highlight w:val="lightGray"/>
        </w:rPr>
        <w:footnoteReference w:id="8"/>
      </w:r>
      <w:r>
        <w:rPr>
          <w:sz w:val="24"/>
          <w:szCs w:val="24"/>
          <w:highlight w:val="lightGray"/>
        </w:rPr>
        <w:t>.</w:t>
      </w:r>
    </w:p>
    <w:p>
      <w:pPr>
        <w:pStyle w:val="ListParagraph"/>
        <w:widowControl/>
        <w:numPr>
          <w:ilvl w:val="1"/>
          <w:numId w:val="2"/>
        </w:numPr>
        <w:shd w:val="clear" w:color="auto" w:fill="FFFFFF"/>
        <w:tabs>
          <w:tab w:val="clear" w:pos="709"/>
        </w:tabs>
        <w:ind w:firstLine="709" w:left="0"/>
        <w:jc w:val="both"/>
        <w:rPr>
          <w:bCs/>
          <w:sz w:val="24"/>
          <w:szCs w:val="24"/>
        </w:rPr>
      </w:pPr>
      <w:r>
        <w:rPr>
          <w:sz w:val="24"/>
        </w:rPr>
        <w:t xml:space="preserve">Принадлежащее Покупателю по Банковской гарантии право требования </w:t>
        <w:br/>
        <w:t>к Банку-Гаранту может быть передано новому бенефициару – компании, входящей в Группу РусГидро, с последующим письменным уведомлением Покупателем Банка-Гаранта о смене бенефициара по Банковской гарантии.</w:t>
      </w:r>
    </w:p>
    <w:p>
      <w:pPr>
        <w:pStyle w:val="Normal"/>
        <w:widowControl/>
        <w:shd w:val="clear" w:color="auto" w:fill="FFFFFF"/>
        <w:tabs>
          <w:tab w:val="clear" w:pos="709"/>
          <w:tab w:val="left" w:pos="0" w:leader="none"/>
          <w:tab w:val="left" w:pos="1134" w:leader="none"/>
        </w:tabs>
        <w:ind w:hanging="0" w:left="1419"/>
        <w:jc w:val="both"/>
        <w:rPr>
          <w:bCs/>
          <w:sz w:val="24"/>
          <w:szCs w:val="24"/>
        </w:rPr>
      </w:pPr>
      <w:r>
        <w:rPr>
          <w:bCs/>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Ответственность Сторон</w:t>
      </w:r>
    </w:p>
    <w:p>
      <w:pPr>
        <w:pStyle w:val="ListParagraph"/>
        <w:numPr>
          <w:ilvl w:val="1"/>
          <w:numId w:val="2"/>
        </w:numPr>
        <w:tabs>
          <w:tab w:val="clear" w:pos="709"/>
          <w:tab w:val="left" w:pos="1276" w:leader="none"/>
        </w:tabs>
        <w:ind w:firstLine="709" w:left="0"/>
        <w:jc w:val="both"/>
        <w:rPr>
          <w:sz w:val="24"/>
          <w:szCs w:val="24"/>
        </w:rPr>
      </w:pPr>
      <w:r>
        <w:rPr>
          <w:sz w:val="24"/>
          <w:szCs w:val="24"/>
        </w:rPr>
        <w:t>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w:t>
        <w:br/>
        <w:t xml:space="preserve">и должны рассматриваться как дополнительные, если Договором прямо не предусмотрено иное. </w:t>
      </w:r>
    </w:p>
    <w:p>
      <w:pPr>
        <w:pStyle w:val="Normal"/>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Покупатель не несет ответственности за ненадлежащее исполнение обязательств по внесению предварительной оплаты (аванса). В случае нарушения Покупателем сроков выплаты авансовых платежей Поставщик имеет право приостановить поставку Товара по Договору при условии предварительного письменного уведомления Покупателя о таком приостановлении.</w:t>
      </w:r>
    </w:p>
    <w:p>
      <w:pPr>
        <w:pStyle w:val="Normal"/>
        <w:widowControl/>
        <w:numPr>
          <w:ilvl w:val="1"/>
          <w:numId w:val="2"/>
        </w:numPr>
        <w:tabs>
          <w:tab w:val="clear" w:pos="709"/>
          <w:tab w:val="left" w:pos="1276" w:leader="none"/>
        </w:tabs>
        <w:ind w:firstLine="709" w:left="0"/>
        <w:jc w:val="both"/>
        <w:rPr>
          <w:bCs/>
          <w:sz w:val="24"/>
          <w:szCs w:val="24"/>
        </w:rPr>
      </w:pPr>
      <w:r>
        <w:rPr>
          <w:bCs/>
          <w:sz w:val="24"/>
          <w:szCs w:val="24"/>
        </w:rPr>
        <w:t>В случае нарушения Покупателем сроков оплаты, установленных разделом 2 Договора (за исключением срока оплаты авансовых платежей), Поставщик вправе требовать уплаты Покупателем исключительной неустойки в размере 0,1 (ноль целых и одной десятой)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но не более 5 (пяти) процентов от несвоевременно оплаченной суммы.</w:t>
      </w:r>
    </w:p>
    <w:p>
      <w:pPr>
        <w:pStyle w:val="Normal"/>
        <w:widowControl/>
        <w:numPr>
          <w:ilvl w:val="1"/>
          <w:numId w:val="2"/>
        </w:numPr>
        <w:tabs>
          <w:tab w:val="clear" w:pos="709"/>
          <w:tab w:val="left" w:pos="1276" w:leader="none"/>
        </w:tabs>
        <w:ind w:firstLine="709" w:left="0"/>
        <w:jc w:val="both"/>
        <w:rPr>
          <w:sz w:val="24"/>
          <w:szCs w:val="24"/>
        </w:rPr>
      </w:pPr>
      <w:r>
        <w:rPr>
          <w:bCs/>
          <w:sz w:val="24"/>
          <w:szCs w:val="24"/>
        </w:rPr>
        <w:t xml:space="preserve">В случае </w:t>
      </w:r>
      <w:r>
        <w:rPr>
          <w:sz w:val="24"/>
          <w:szCs w:val="24"/>
        </w:rPr>
        <w:t>нарушения Поставщиком обязательств по поставке Товара (</w:t>
      </w:r>
      <w:r>
        <w:rPr>
          <w:rFonts w:eastAsia="Calibri"/>
          <w:bCs/>
          <w:sz w:val="24"/>
          <w:szCs w:val="24"/>
        </w:rPr>
        <w:t>нарушение срока поставки, недопоставка)</w:t>
      </w:r>
      <w:r>
        <w:rPr>
          <w:sz w:val="24"/>
          <w:szCs w:val="24"/>
        </w:rPr>
        <w:t>, Покупатель вправе требовать уплаты Поставщиком неустойки в размере 0,1 (ноль целых и одной десятой) процента от Цены Договора за каждый день просрочки.</w:t>
      </w:r>
    </w:p>
    <w:p>
      <w:pPr>
        <w:pStyle w:val="ListParagraph"/>
        <w:widowControl/>
        <w:numPr>
          <w:ilvl w:val="1"/>
          <w:numId w:val="14"/>
        </w:numPr>
        <w:tabs>
          <w:tab w:val="clear" w:pos="709"/>
          <w:tab w:val="left" w:pos="1276" w:leader="none"/>
        </w:tabs>
        <w:ind w:firstLine="709" w:left="0"/>
        <w:jc w:val="both"/>
        <w:rPr>
          <w:sz w:val="24"/>
          <w:szCs w:val="24"/>
        </w:rPr>
      </w:pPr>
      <w:r>
        <w:rPr>
          <w:sz w:val="24"/>
          <w:szCs w:val="24"/>
        </w:rPr>
        <w:t>В случае несвоевременного устранения Поставщиком выявленных недостатков Товара, Покупатель вправе требовать уплаты Поставщиком:</w:t>
      </w:r>
    </w:p>
    <w:p>
      <w:pPr>
        <w:pStyle w:val="ListParagraph"/>
        <w:widowControl/>
        <w:numPr>
          <w:ilvl w:val="2"/>
          <w:numId w:val="14"/>
        </w:numPr>
        <w:ind w:firstLine="709" w:left="0"/>
        <w:jc w:val="both"/>
        <w:rPr>
          <w:sz w:val="24"/>
          <w:szCs w:val="24"/>
        </w:rPr>
      </w:pPr>
      <w:r>
        <w:rPr>
          <w:sz w:val="24"/>
          <w:szCs w:val="24"/>
        </w:rPr>
        <w:t xml:space="preserve">Неустойки в размере 0,1 (ноль целых и одной десятой) процента от Цены Договора за каждый день просрочки – в случае несвоевременного устранения выявленных недостатков Товара, влияющих на возможность эксплуатации (использования) Товара </w:t>
        <w:br/>
        <w:t>в целом.</w:t>
      </w:r>
    </w:p>
    <w:p>
      <w:pPr>
        <w:pStyle w:val="ListParagraph"/>
        <w:widowControl/>
        <w:numPr>
          <w:ilvl w:val="2"/>
          <w:numId w:val="14"/>
        </w:numPr>
        <w:ind w:firstLine="709" w:left="0"/>
        <w:jc w:val="both"/>
        <w:rPr>
          <w:sz w:val="24"/>
          <w:szCs w:val="24"/>
        </w:rPr>
      </w:pPr>
      <w:r>
        <w:rPr>
          <w:sz w:val="24"/>
          <w:szCs w:val="24"/>
        </w:rPr>
        <w:t>Неустойки в размере 0,1 (ноль целых и одной десятой) процента от стоимости некачественного Товара за каждый день просрочки – в случае несвоевременного устранения выявленных недостатков товара, не влияющих на возможность эксплуатации (использования) Товара в целом.</w:t>
      </w:r>
    </w:p>
    <w:p>
      <w:pPr>
        <w:pStyle w:val="ListParagraph"/>
        <w:widowControl/>
        <w:numPr>
          <w:ilvl w:val="1"/>
          <w:numId w:val="14"/>
        </w:numPr>
        <w:tabs>
          <w:tab w:val="clear" w:pos="709"/>
          <w:tab w:val="left" w:pos="1276" w:leader="none"/>
          <w:tab w:val="left" w:pos="1701" w:leader="none"/>
        </w:tabs>
        <w:ind w:firstLine="709" w:left="0"/>
        <w:jc w:val="both"/>
        <w:rPr>
          <w:sz w:val="24"/>
          <w:szCs w:val="24"/>
        </w:rPr>
      </w:pPr>
      <w:r>
        <w:rPr>
          <w:rFonts w:eastAsia="Calibri"/>
          <w:bCs/>
          <w:sz w:val="24"/>
          <w:szCs w:val="24"/>
        </w:rPr>
        <w:t xml:space="preserve">На сумму подлежащего возврату аванса начисляется неустойка в размере </w:t>
        <w:br/>
        <w:t>0,1 (ноль целых и одной десятой) процента с даты, установленной для возврата аванса</w:t>
      </w:r>
      <w:r>
        <w:rPr>
          <w:sz w:val="24"/>
          <w:szCs w:val="24"/>
        </w:rPr>
        <w:t>.</w:t>
      </w:r>
    </w:p>
    <w:p>
      <w:pPr>
        <w:pStyle w:val="ListParagraph"/>
        <w:widowControl/>
        <w:numPr>
          <w:ilvl w:val="1"/>
          <w:numId w:val="14"/>
        </w:numPr>
        <w:shd w:val="clear" w:color="auto" w:fill="FFFFFF"/>
        <w:tabs>
          <w:tab w:val="clear" w:pos="709"/>
          <w:tab w:val="left" w:pos="1276" w:leader="none"/>
        </w:tabs>
        <w:ind w:firstLine="709" w:left="0"/>
        <w:jc w:val="both"/>
        <w:rPr>
          <w:bCs/>
          <w:sz w:val="24"/>
          <w:szCs w:val="24"/>
        </w:rPr>
      </w:pPr>
      <w:r>
        <w:rPr>
          <w:bCs/>
          <w:sz w:val="24"/>
          <w:szCs w:val="24"/>
        </w:rPr>
        <w:t xml:space="preserve">В случае нарушения Поставщиком требований пропускного </w:t>
        <w:br/>
        <w:t xml:space="preserve">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4 к Договору. </w:t>
      </w:r>
    </w:p>
    <w:p>
      <w:pPr>
        <w:pStyle w:val="ListParagraph"/>
        <w:widowControl/>
        <w:numPr>
          <w:ilvl w:val="1"/>
          <w:numId w:val="14"/>
        </w:numPr>
        <w:shd w:val="clear" w:color="auto" w:fill="FFFFFF"/>
        <w:tabs>
          <w:tab w:val="clear" w:pos="709"/>
          <w:tab w:val="left" w:pos="1276" w:leader="none"/>
        </w:tabs>
        <w:ind w:firstLine="709" w:left="0"/>
        <w:jc w:val="both"/>
        <w:rPr>
          <w:bCs/>
          <w:sz w:val="24"/>
          <w:szCs w:val="24"/>
        </w:rPr>
      </w:pPr>
      <w:r>
        <w:rPr>
          <w:bCs/>
          <w:sz w:val="24"/>
          <w:szCs w:val="24"/>
        </w:rPr>
        <w:t>Если в результате составления и выставления Поставщиком счетов-фактур/УПД 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widowControl/>
        <w:shd w:val="clear" w:color="auto" w:fill="FFFFFF"/>
        <w:ind w:firstLine="709" w:left="0"/>
        <w:jc w:val="both"/>
        <w:rPr>
          <w:bCs/>
          <w:sz w:val="24"/>
          <w:szCs w:val="24"/>
        </w:rPr>
      </w:pPr>
      <w:r>
        <w:rPr>
          <w:bCs/>
          <w:sz w:val="24"/>
          <w:szCs w:val="24"/>
        </w:rPr>
        <w:t>В случае нарушения Поставщиком сроков предоставления счетов-фактур/УПД, установленных пунктом 2.8 Договора, Покупатель вправе требовать уплаты Поставщиком штрафа в размере 50 000 (пятидесяти тысяч) рублей за каждый случай нарушения.</w:t>
      </w:r>
    </w:p>
    <w:p>
      <w:pPr>
        <w:pStyle w:val="ListParagraph"/>
        <w:widowControl/>
        <w:numPr>
          <w:ilvl w:val="1"/>
          <w:numId w:val="14"/>
        </w:numPr>
        <w:shd w:val="clear" w:color="auto" w:fill="FFFFFF"/>
        <w:ind w:firstLine="709" w:left="0"/>
        <w:jc w:val="both"/>
        <w:rPr>
          <w:bCs/>
          <w:sz w:val="24"/>
          <w:szCs w:val="24"/>
        </w:rPr>
      </w:pPr>
      <w:r>
        <w:rPr>
          <w:bCs/>
          <w:sz w:val="24"/>
          <w:szCs w:val="24"/>
        </w:rPr>
        <w:t>За непредоставление либо несвоевременное предоставление / переоформление Поставщиком банковских гарантий, предусмотренных Договором, в порядке и сроки, установленные разделом 5 Договора, Покупатель вправе требовать уплаты Поставщиком неустойки в размере 0,03 (ноль целых и трех сотых) процента от Цены Договора за каждый день просрочки.</w:t>
      </w:r>
    </w:p>
    <w:p>
      <w:pPr>
        <w:pStyle w:val="ListParagraph"/>
        <w:widowControl/>
        <w:numPr>
          <w:ilvl w:val="1"/>
          <w:numId w:val="14"/>
        </w:numPr>
        <w:shd w:val="clear" w:color="auto" w:fill="FFFFFF"/>
        <w:ind w:firstLine="709" w:left="0"/>
        <w:jc w:val="both"/>
        <w:rPr>
          <w:bCs/>
          <w:sz w:val="24"/>
          <w:szCs w:val="24"/>
        </w:rPr>
      </w:pPr>
      <w:r>
        <w:rPr>
          <w:bCs/>
          <w:sz w:val="24"/>
          <w:szCs w:val="24"/>
        </w:rPr>
        <w:t xml:space="preserve">Поставщик несет ответственность перед Покупателем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widowControl/>
        <w:numPr>
          <w:ilvl w:val="1"/>
          <w:numId w:val="14"/>
        </w:numPr>
        <w:shd w:val="clear" w:color="auto" w:fill="FFFFFF"/>
        <w:ind w:firstLine="709" w:left="0"/>
        <w:jc w:val="both"/>
        <w:rPr>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14"/>
        </w:numPr>
        <w:shd w:val="clear" w:color="auto" w:fill="FFFFFF"/>
        <w:ind w:firstLine="709" w:left="0"/>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widowControl/>
        <w:numPr>
          <w:ilvl w:val="1"/>
          <w:numId w:val="14"/>
        </w:numPr>
        <w:shd w:val="clear" w:color="auto" w:fill="FFFFFF"/>
        <w:ind w:firstLine="709" w:left="0"/>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numPr>
          <w:ilvl w:val="1"/>
          <w:numId w:val="14"/>
        </w:numPr>
        <w:shd w:val="clear" w:color="auto" w:fill="FFFFFF"/>
        <w:ind w:firstLine="709" w:left="0"/>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pPr>
        <w:pStyle w:val="ListParagraph"/>
        <w:widowControl/>
        <w:numPr>
          <w:ilvl w:val="1"/>
          <w:numId w:val="14"/>
        </w:numPr>
        <w:shd w:val="clear" w:color="auto" w:fill="FFFFFF"/>
        <w:ind w:firstLine="709" w:left="0"/>
        <w:jc w:val="both"/>
        <w:rPr>
          <w:bCs/>
          <w:sz w:val="24"/>
          <w:szCs w:val="24"/>
        </w:rPr>
      </w:pPr>
      <w:r>
        <w:rPr>
          <w:bCs/>
          <w:sz w:val="24"/>
          <w:szCs w:val="24"/>
        </w:rPr>
        <w:t xml:space="preserve">В случае нарушения Поставщиком срока предоставления документов, установленного пунктом 4.8 Договора (если такое нарушение привело к невыполнению Покупателем требований по локализации оборудования, установленных законодательством Российской Федерации к оборудованию, эксплуатируемому по итогам модернизации (реконструкции) или строительства генерирующих объектов тепловых электростанций </w:t>
        <w:br/>
        <w:t>в неценовых зонах оптового рынка), Покупатель вправе требовать уплаты Поставщиком  штрафа в размере 10 (десяти) процентов от стоимости Товара. Покупатель вправе удержать сумму такого штрафа из любого платежа, причитающегося Поставщику по Договору</w:t>
      </w:r>
      <w:r>
        <w:rPr>
          <w:rStyle w:val="FootnoteReference"/>
          <w:bCs/>
          <w:sz w:val="24"/>
          <w:szCs w:val="24"/>
        </w:rPr>
        <w:footnoteReference w:id="9"/>
      </w:r>
      <w:r>
        <w:rPr>
          <w:bCs/>
          <w:sz w:val="24"/>
          <w:szCs w:val="24"/>
        </w:rPr>
        <w:t>.</w:t>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9"/>
          <w:tab w:val="left" w:pos="0" w:leader="none"/>
        </w:tabs>
        <w:ind w:hanging="360" w:left="0"/>
        <w:jc w:val="center"/>
        <w:rPr>
          <w:b/>
          <w:bCs/>
          <w:sz w:val="24"/>
          <w:szCs w:val="24"/>
        </w:rPr>
      </w:pPr>
      <w:r>
        <w:rPr>
          <w:b/>
          <w:bCs/>
          <w:sz w:val="24"/>
          <w:szCs w:val="24"/>
        </w:rPr>
        <w:t>Конфиденциальность</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w:t>
        <w:br/>
        <w:t>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6"/>
        </w:numPr>
        <w:tabs>
          <w:tab w:val="left" w:pos="0" w:leader="none"/>
          <w:tab w:val="left" w:pos="709" w:leader="none"/>
          <w:tab w:val="left" w:pos="1418" w:leader="none"/>
        </w:tabs>
        <w:ind w:firstLine="709" w:left="0"/>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6"/>
        </w:numPr>
        <w:tabs>
          <w:tab w:val="left" w:pos="0" w:leader="none"/>
          <w:tab w:val="left" w:pos="709" w:leader="none"/>
          <w:tab w:val="left" w:pos="1418" w:leader="none"/>
        </w:tabs>
        <w:ind w:firstLine="709" w:left="0"/>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учетные регистры бухгалтерского учета;</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бизнес-планы;</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bookmarkStart w:id="6"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6"/>
      <w:r>
        <w:rPr>
          <w:bCs/>
          <w:sz w:val="24"/>
          <w:szCs w:val="24"/>
        </w:rPr>
        <w:t xml:space="preserve">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 7.6.7 Договора.</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bookmarkStart w:id="7"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7"/>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Не разглашать третьим лицам факты передачи или получения Информации.</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bookmarkStart w:id="8"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8"/>
    </w:p>
    <w:p>
      <w:pPr>
        <w:pStyle w:val="Normal"/>
        <w:numPr>
          <w:ilvl w:val="1"/>
          <w:numId w:val="2"/>
        </w:numPr>
        <w:shd w:val="clear" w:color="auto" w:fill="FFFFFF"/>
        <w:tabs>
          <w:tab w:val="clear" w:pos="709"/>
        </w:tabs>
        <w:ind w:firstLine="709" w:left="0"/>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ListParagraph"/>
        <w:widowControl/>
        <w:shd w:val="clear" w:color="auto" w:fill="FFFFFF"/>
        <w:tabs>
          <w:tab w:val="clear" w:pos="709"/>
          <w:tab w:val="left" w:pos="1134" w:leader="none"/>
        </w:tabs>
        <w:ind w:hanging="0" w:left="709"/>
        <w:jc w:val="both"/>
        <w:rPr>
          <w:sz w:val="24"/>
          <w:szCs w:val="24"/>
        </w:rPr>
      </w:pPr>
      <w:r>
        <w:rPr>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Разрешение споров</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2"/>
        </w:numPr>
        <w:shd w:val="clear" w:color="auto" w:fill="FFFFFF"/>
        <w:tabs>
          <w:tab w:val="clear" w:pos="709"/>
          <w:tab w:val="left" w:pos="0" w:leader="none"/>
        </w:tabs>
        <w:ind w:firstLine="709" w:left="0"/>
        <w:jc w:val="both"/>
        <w:rPr>
          <w:bCs/>
          <w:sz w:val="24"/>
          <w:szCs w:val="24"/>
        </w:rPr>
      </w:pPr>
      <w:r>
        <w:rPr>
          <w:bCs/>
          <w:sz w:val="24"/>
          <w:szCs w:val="24"/>
        </w:rPr>
        <w:t xml:space="preserve">Споры, указанные в пункте 8.1 Договора, которые не были урегулированы Сторонами путем переговоров, подлежат разрешению в Арбитражном суде </w:t>
      </w:r>
      <w:r>
        <w:rPr>
          <w:bCs/>
          <w:sz w:val="24"/>
          <w:szCs w:val="24"/>
          <w:highlight w:val="lightGray"/>
        </w:rPr>
        <w:t>____________________</w:t>
      </w:r>
      <w:r>
        <w:rPr>
          <w:rStyle w:val="FootnoteReference"/>
          <w:bCs/>
          <w:sz w:val="24"/>
          <w:szCs w:val="24"/>
          <w:highlight w:val="lightGray"/>
          <w:shd w:fill="auto" w:val="clear"/>
        </w:rPr>
        <w:footnoteReference w:id="10"/>
      </w:r>
      <w:r>
        <w:rPr>
          <w:bCs/>
          <w:sz w:val="24"/>
          <w:szCs w:val="24"/>
        </w:rPr>
        <w:t xml:space="preserve"> в соответствии с законодательством Российской Федерации, </w:t>
        <w:br/>
        <w:t>за исключением споров из Банковской гарантии, подсудность которых предусмотрена пунктом 5.1.9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sz w:val="24"/>
          <w:szCs w:val="24"/>
          <w:highlight w:val="lightGray"/>
        </w:rPr>
        <w:t>14.8</w:t>
      </w:r>
      <w:r>
        <w:rPr>
          <w:bCs/>
          <w:sz w:val="24"/>
          <w:szCs w:val="24"/>
        </w:rPr>
        <w:t xml:space="preserve">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Условия настоящего раздела Договора сохраняют свою силу в случае признания Договора незаключенным и / или недействительным.</w:t>
      </w:r>
    </w:p>
    <w:p>
      <w:pPr>
        <w:pStyle w:val="Normal"/>
        <w:shd w:val="clear" w:color="auto" w:fill="FFFFFF"/>
        <w:jc w:val="both"/>
        <w:rPr>
          <w:bCs/>
          <w:sz w:val="24"/>
          <w:szCs w:val="24"/>
        </w:rPr>
      </w:pPr>
      <w:r>
        <w:rPr>
          <w:bCs/>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Антикоррупционная оговорка</w:t>
      </w:r>
    </w:p>
    <w:p>
      <w:pPr>
        <w:pStyle w:val="ListParagraph"/>
        <w:numPr>
          <w:ilvl w:val="1"/>
          <w:numId w:val="2"/>
        </w:numPr>
        <w:shd w:val="clear" w:color="auto" w:fill="FFFFFF"/>
        <w:tabs>
          <w:tab w:val="clear" w:pos="709"/>
          <w:tab w:val="left" w:pos="1134" w:leader="none"/>
        </w:tabs>
        <w:ind w:firstLine="709" w:left="0"/>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w:t>
        <w:br/>
        <w:t>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9.3. В случае возникновения у любой Стороны обоснованных предположений, что </w:t>
        <w:br/>
        <w:t xml:space="preserve">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w:t>
        <w:br/>
        <w:t>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не позднее </w:t>
        <w:br/>
        <w:t>5 (пяти) рабочих дней с даты получения письменного уведомления.</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w:t>
        <w:br/>
        <w:t xml:space="preserve">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w:t>
        <w:br/>
        <w:t xml:space="preserve">не позднее 5 (пяти) календарных дней до даты прекращения действия Договора. </w:t>
      </w:r>
    </w:p>
    <w:p>
      <w:pPr>
        <w:pStyle w:val="Normal"/>
        <w:shd w:val="clear" w:color="auto" w:fill="FFFFFF"/>
        <w:tabs>
          <w:tab w:val="clear" w:pos="709"/>
          <w:tab w:val="left" w:pos="567" w:leader="none"/>
          <w:tab w:val="left" w:pos="1134" w:leader="none"/>
        </w:tabs>
        <w:ind w:firstLine="709"/>
        <w:jc w:val="both"/>
        <w:rPr>
          <w:color w:val="000000"/>
          <w:sz w:val="24"/>
          <w:szCs w:val="24"/>
        </w:rPr>
      </w:pPr>
      <w:r>
        <w:rPr>
          <w:color w:val="000000"/>
          <w:sz w:val="24"/>
          <w:szCs w:val="24"/>
        </w:rPr>
        <w:t xml:space="preserve">9.7. Каналы связи Линии доверия Группы РусГидро: </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9.7.1. Электронная почта: ld@rushydro.ru.</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 xml:space="preserve">9.7.2. Специальная форма «обратной связи», размещенная на официальном сайте </w:t>
        <w:br/>
        <w:t>ПАО «РусГидро» в сети интернет: http://www.rushydro.ru/ (далее перейти по ссылке «Линия доверия» и заполнить поля специальной формы «обратной связи»).</w:t>
      </w:r>
    </w:p>
    <w:p>
      <w:pPr>
        <w:pStyle w:val="Normal"/>
        <w:ind w:firstLine="709"/>
        <w:jc w:val="both"/>
        <w:rPr>
          <w:sz w:val="24"/>
          <w:szCs w:val="24"/>
        </w:rPr>
      </w:pPr>
      <w:r>
        <w:rPr>
          <w:sz w:val="24"/>
          <w:szCs w:val="24"/>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9"/>
          <w:tab w:val="left" w:pos="0" w:leader="none"/>
          <w:tab w:val="left" w:pos="284" w:leader="none"/>
          <w:tab w:val="left" w:pos="567" w:leader="none"/>
        </w:tabs>
        <w:ind w:firstLine="709" w:left="0"/>
        <w:jc w:val="both"/>
        <w:rPr>
          <w:b/>
          <w:bCs/>
          <w:sz w:val="24"/>
          <w:szCs w:val="24"/>
        </w:rPr>
      </w:pPr>
      <w:r>
        <w:rPr>
          <w:b/>
          <w:bCs/>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sz w:val="24"/>
          <w:szCs w:val="24"/>
        </w:rPr>
        <w:t xml:space="preserve">Надлежащим (достаточным) доказательством наличия / возникновения </w:t>
        <w:br/>
        <w:t xml:space="preserve">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w:t>
        <w:br/>
        <w:t>на которые заинтересованная Сторона ссылается в качестве обстоятельств непреодолимой силы (форс-мажора).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2"/>
        </w:numPr>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jc w:val="both"/>
        <w:rPr>
          <w:sz w:val="24"/>
          <w:szCs w:val="24"/>
        </w:rPr>
      </w:pPr>
      <w:r>
        <w:rPr>
          <w:sz w:val="24"/>
          <w:szCs w:val="24"/>
        </w:rPr>
      </w:r>
    </w:p>
    <w:p>
      <w:pPr>
        <w:pStyle w:val="Normal"/>
        <w:widowControl/>
        <w:numPr>
          <w:ilvl w:val="0"/>
          <w:numId w:val="2"/>
        </w:numPr>
        <w:shd w:val="clear" w:color="auto" w:fill="FFFFFF"/>
        <w:spacing w:lineRule="auto" w:line="259" w:before="0" w:after="0"/>
        <w:contextualSpacing/>
        <w:jc w:val="center"/>
        <w:rPr>
          <w:b/>
          <w:bCs/>
          <w:sz w:val="24"/>
          <w:szCs w:val="24"/>
        </w:rPr>
      </w:pPr>
      <w:r>
        <w:rPr>
          <w:b/>
          <w:bCs/>
          <w:sz w:val="24"/>
          <w:szCs w:val="24"/>
        </w:rPr>
        <w:t>Особые положения</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sz w:val="24"/>
            <w:szCs w:val="24"/>
          </w:rPr>
          <w:t>№ 18162/09</w:t>
        </w:r>
      </w:hyperlink>
      <w:r>
        <w:rPr>
          <w:bCs/>
          <w:sz w:val="24"/>
          <w:szCs w:val="24"/>
        </w:rPr>
        <w:t xml:space="preserve"> и от 25.05.2010 </w:t>
      </w:r>
      <w:hyperlink r:id="rId3">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bCs/>
            <w:sz w:val="24"/>
            <w:szCs w:val="24"/>
          </w:rPr>
          <w:t>Критери</w:t>
        </w:r>
      </w:hyperlink>
      <w:r>
        <w:rPr>
          <w:bCs/>
          <w:sz w:val="24"/>
          <w:szCs w:val="24"/>
        </w:rPr>
        <w:t>ям самостоятельной оценки рисков налогоплательщиков, используемым налоговыми органами в процессе отбора объектов для проведения выездных налоговых проверок (утв. приказом ФНС России от 30.05.2007 № ММ-3-06/333).</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Поставщик обязуется незамедлительно уведомить Покупателя о появлении </w:t>
        <w:br/>
        <w:t>в ходе исполнения Договора у привлеченных организаций признаков недобросовестности, указанных в пункте 11.1 Договора, а также обеспечить прекращение участия таких организаций в исполнении Договора.</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В случае нарушения Поставщиком обязательств, установленных пунктами 11.1, 11.2 Договора, Покупатель в дополнение к основаниям, предусмотренным Договором,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w:t>
        <w:br/>
        <w:t>до наступления указанной Покупателем даты расторжения.</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Поставщик обязан уплатить Покупателю штраф в размере суммы денежных средств, перечисленной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11.1, 11.2 Договора.</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Штраф, предусмотренный пунктом 11.4 Договора, оплачивается Поставщиком 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11.3 Договора.</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Покупатель вправе приостановить осуществление любых платежей </w:t>
        <w:br/>
        <w:t>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11.4 Договора. При этом Покупатель не будет считаться просрочившим и / или нарушившим свои обязательства по Договору.</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hanging="360" w:left="0"/>
        <w:jc w:val="center"/>
        <w:rPr>
          <w:b/>
          <w:sz w:val="24"/>
          <w:szCs w:val="24"/>
        </w:rPr>
      </w:pPr>
      <w:r>
        <w:rPr>
          <w:b/>
          <w:bCs/>
          <w:sz w:val="24"/>
          <w:szCs w:val="24"/>
        </w:rPr>
        <w:t>Заверения</w:t>
      </w:r>
      <w:r>
        <w:rPr>
          <w:b/>
          <w:sz w:val="24"/>
          <w:szCs w:val="24"/>
        </w:rPr>
        <w:t xml:space="preserve"> Сторон</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9"/>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widowControl/>
        <w:numPr>
          <w:ilvl w:val="0"/>
          <w:numId w:val="9"/>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9"/>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9"/>
        </w:numPr>
        <w:shd w:val="clear" w:color="auto" w:fill="FFFFFF"/>
        <w:tabs>
          <w:tab w:val="left" w:pos="0" w:leader="none"/>
          <w:tab w:val="left" w:pos="709" w:leader="none"/>
          <w:tab w:val="left" w:pos="1418" w:leader="none"/>
        </w:tabs>
        <w:ind w:firstLine="709" w:left="0"/>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ListParagraph"/>
        <w:widowControl/>
        <w:numPr>
          <w:ilvl w:val="0"/>
          <w:numId w:val="9"/>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Поставщик заявляет и заверяет Покупателя в том, что на момент заключения Договора:</w:t>
      </w:r>
    </w:p>
    <w:p>
      <w:pPr>
        <w:pStyle w:val="ListParagraph"/>
        <w:widowControl/>
        <w:numPr>
          <w:ilvl w:val="0"/>
          <w:numId w:val="11"/>
        </w:numPr>
        <w:shd w:val="clear" w:color="auto" w:fill="FFFFFF"/>
        <w:tabs>
          <w:tab w:val="left" w:pos="0" w:leader="none"/>
          <w:tab w:val="left" w:pos="709" w:leader="none"/>
        </w:tabs>
        <w:ind w:firstLine="709" w:left="0"/>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1"/>
        </w:numPr>
        <w:shd w:val="clear" w:color="auto" w:fill="FFFFFF"/>
        <w:tabs>
          <w:tab w:val="left" w:pos="0" w:leader="none"/>
          <w:tab w:val="left" w:pos="709" w:leader="none"/>
        </w:tabs>
        <w:ind w:firstLine="709" w:left="0"/>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11"/>
        </w:numPr>
        <w:shd w:val="clear" w:color="auto" w:fill="FFFFFF"/>
        <w:tabs>
          <w:tab w:val="left" w:pos="0" w:leader="none"/>
          <w:tab w:val="left" w:pos="709" w:leader="none"/>
        </w:tabs>
        <w:ind w:firstLine="709" w:left="0"/>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11"/>
        </w:numPr>
        <w:shd w:val="clear" w:color="auto" w:fill="FFFFFF"/>
        <w:tabs>
          <w:tab w:val="left" w:pos="0" w:leader="none"/>
          <w:tab w:val="left" w:pos="709" w:leader="none"/>
        </w:tabs>
        <w:ind w:firstLine="709" w:left="0"/>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10"/>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Договора или в связи с ним;</w:t>
      </w:r>
    </w:p>
    <w:p>
      <w:pPr>
        <w:pStyle w:val="ListParagraph"/>
        <w:widowControl/>
        <w:numPr>
          <w:ilvl w:val="0"/>
          <w:numId w:val="10"/>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тщательно изучил всю информацию, связанную с Договором, </w:t>
        <w:br/>
        <w:t xml:space="preserve">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w:t>
        <w:br/>
        <w:t>и трудности исполнения обязательств, возникающих из Договора или в связи с ним;</w:t>
      </w:r>
    </w:p>
    <w:p>
      <w:pPr>
        <w:pStyle w:val="ListParagraph"/>
        <w:widowControl/>
        <w:numPr>
          <w:ilvl w:val="0"/>
          <w:numId w:val="10"/>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10"/>
        </w:numPr>
        <w:shd w:val="clear" w:color="auto" w:fill="FFFFFF"/>
        <w:tabs>
          <w:tab w:val="clear" w:pos="709"/>
          <w:tab w:val="left" w:pos="0" w:leader="none"/>
          <w:tab w:val="left" w:pos="567" w:leader="none"/>
        </w:tabs>
        <w:ind w:firstLine="709" w:left="0"/>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Договор на указанных в нем условиях.</w:t>
      </w:r>
    </w:p>
    <w:p>
      <w:pPr>
        <w:pStyle w:val="Normal"/>
        <w:widowControl/>
        <w:numPr>
          <w:ilvl w:val="1"/>
          <w:numId w:val="2"/>
        </w:numPr>
        <w:tabs>
          <w:tab w:val="clear" w:pos="709"/>
          <w:tab w:val="left" w:pos="1418" w:leader="none"/>
        </w:tabs>
        <w:ind w:firstLine="709" w:left="0"/>
        <w:jc w:val="both"/>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обязан по письменному требованию Покупателя уплатить последнему штраф в размере 5 (пяти) процентов от Цены Договора, указанной в пункте 2.1 Договора.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w:t>
        <w:br/>
        <w:t>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shd w:val="clear" w:color="auto" w:fill="FFFFFF"/>
        <w:tabs>
          <w:tab w:val="clear" w:pos="709"/>
          <w:tab w:val="left" w:pos="1134" w:leader="none"/>
          <w:tab w:val="left" w:pos="1418" w:leader="none"/>
        </w:tabs>
        <w:ind w:hanging="0" w:left="709"/>
        <w:jc w:val="both"/>
        <w:rPr>
          <w:sz w:val="24"/>
          <w:szCs w:val="24"/>
        </w:rPr>
      </w:pPr>
      <w:r>
        <w:rPr>
          <w:sz w:val="24"/>
          <w:szCs w:val="24"/>
        </w:rPr>
      </w:r>
    </w:p>
    <w:p>
      <w:pPr>
        <w:pStyle w:val="ListParagraph"/>
        <w:widowControl/>
        <w:numPr>
          <w:ilvl w:val="0"/>
          <w:numId w:val="2"/>
        </w:numPr>
        <w:shd w:val="clear" w:color="auto" w:fill="FFFFFF"/>
        <w:ind w:hanging="360" w:left="0"/>
        <w:jc w:val="center"/>
        <w:rPr>
          <w:b/>
          <w:sz w:val="24"/>
          <w:szCs w:val="24"/>
        </w:rPr>
      </w:pPr>
      <w:r>
        <w:rPr>
          <w:b/>
          <w:bCs/>
          <w:sz w:val="24"/>
          <w:szCs w:val="24"/>
        </w:rPr>
        <w:t>П</w:t>
      </w:r>
      <w:r>
        <w:rPr>
          <w:b/>
          <w:sz w:val="24"/>
          <w:szCs w:val="24"/>
        </w:rPr>
        <w:t>рекращение (расторжение) Договора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w:t>
      </w:r>
      <w:r>
        <w:rPr>
          <w:sz w:val="24"/>
          <w:szCs w:val="24"/>
          <w:highlight w:val="lightGray"/>
        </w:rPr>
        <w:t>14.8</w:t>
      </w:r>
      <w:r>
        <w:rPr>
          <w:sz w:val="24"/>
          <w:szCs w:val="24"/>
        </w:rPr>
        <w:t xml:space="preserve"> Договора, с приложением подписанного соглашения о расторжении Договора. Уведомление должно быть рассмотрено Стороной-получателем в течение 30 (тридцати) календарных дней со дня его получения.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ListParagraph"/>
        <w:shd w:val="clear" w:color="auto" w:fill="FFFFFF"/>
        <w:tabs>
          <w:tab w:val="clear" w:pos="709"/>
          <w:tab w:val="left" w:pos="0" w:leader="none"/>
          <w:tab w:val="left" w:pos="1418" w:leader="none"/>
        </w:tabs>
        <w:ind w:firstLine="709" w:left="0"/>
        <w:jc w:val="both"/>
        <w:rPr>
          <w:sz w:val="24"/>
          <w:szCs w:val="24"/>
        </w:rPr>
      </w:pPr>
      <w:r>
        <w:rPr>
          <w:sz w:val="24"/>
          <w:szCs w:val="24"/>
        </w:rPr>
        <w:t xml:space="preserve">Покупатель одновременно с уведомлением об отказе от Договора (исполнения Договора) направляет Поставщику письменное требование о возмещении убытков </w:t>
        <w:br/>
        <w:t>с приложением расчета суммы убытков. Поставщик обязан возместить Покупателю убытки не позднее 15 (пятнадцати) календарных дней с момента получения расчета суммы убытков от Покупателя.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Стороны установили, что существенным нарушением Договора Поставщиком является:</w:t>
      </w:r>
    </w:p>
    <w:p>
      <w:pPr>
        <w:pStyle w:val="ListParagraph"/>
        <w:widowControl/>
        <w:numPr>
          <w:ilvl w:val="0"/>
          <w:numId w:val="8"/>
        </w:numPr>
        <w:tabs>
          <w:tab w:val="clear" w:pos="709"/>
          <w:tab w:val="left" w:pos="0" w:leader="none"/>
          <w:tab w:val="left" w:pos="1418" w:leader="none"/>
        </w:tabs>
        <w:ind w:firstLine="709" w:left="0" w:right="23"/>
        <w:jc w:val="both"/>
        <w:rPr>
          <w:sz w:val="24"/>
          <w:szCs w:val="24"/>
        </w:rPr>
      </w:pPr>
      <w:r>
        <w:rPr>
          <w:sz w:val="24"/>
          <w:szCs w:val="24"/>
        </w:rPr>
        <w:t xml:space="preserve">нарушение Поставщиком общего срока поставки Товара по Договору, а также промежуточных сроков поставки Товара, установленных Договором, более чем </w:t>
        <w:br/>
        <w:t>на 60 (шестьдесят) календарных дней по причинам, не зависящим от Покупателя;</w:t>
      </w:r>
    </w:p>
    <w:p>
      <w:pPr>
        <w:pStyle w:val="ListParagraph"/>
        <w:widowControl/>
        <w:numPr>
          <w:ilvl w:val="0"/>
          <w:numId w:val="8"/>
        </w:numPr>
        <w:tabs>
          <w:tab w:val="clear" w:pos="709"/>
          <w:tab w:val="left" w:pos="0" w:leader="none"/>
          <w:tab w:val="left" w:pos="1418" w:leader="none"/>
        </w:tabs>
        <w:ind w:firstLine="709" w:left="0" w:right="23"/>
        <w:jc w:val="both"/>
        <w:rPr>
          <w:sz w:val="24"/>
          <w:szCs w:val="24"/>
        </w:rPr>
      </w:pPr>
      <w:r>
        <w:rPr>
          <w:sz w:val="24"/>
          <w:szCs w:val="24"/>
        </w:rPr>
        <w:t>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60 (шестьдесят) календарных дней либо такие недостатки (дефекты) являются неустранимыми;</w:t>
      </w:r>
    </w:p>
    <w:p>
      <w:pPr>
        <w:pStyle w:val="ListParagraph"/>
        <w:widowControl/>
        <w:numPr>
          <w:ilvl w:val="0"/>
          <w:numId w:val="8"/>
        </w:numPr>
        <w:tabs>
          <w:tab w:val="clear" w:pos="709"/>
          <w:tab w:val="left" w:pos="0" w:leader="none"/>
          <w:tab w:val="left" w:pos="1418" w:leader="none"/>
        </w:tabs>
        <w:ind w:firstLine="709" w:left="0" w:right="23"/>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ListParagraph"/>
        <w:widowControl/>
        <w:numPr>
          <w:ilvl w:val="0"/>
          <w:numId w:val="8"/>
        </w:numPr>
        <w:tabs>
          <w:tab w:val="clear" w:pos="709"/>
          <w:tab w:val="left" w:pos="0" w:leader="none"/>
          <w:tab w:val="left" w:pos="1418" w:leader="none"/>
        </w:tabs>
        <w:ind w:firstLine="709" w:left="0" w:right="23"/>
        <w:jc w:val="both"/>
        <w:rPr>
          <w:sz w:val="24"/>
          <w:szCs w:val="24"/>
        </w:rPr>
      </w:pPr>
      <w:r>
        <w:rPr>
          <w:sz w:val="24"/>
          <w:szCs w:val="24"/>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ListParagraph"/>
        <w:widowControl/>
        <w:numPr>
          <w:ilvl w:val="0"/>
          <w:numId w:val="8"/>
        </w:numPr>
        <w:tabs>
          <w:tab w:val="clear" w:pos="709"/>
          <w:tab w:val="left" w:pos="0" w:leader="none"/>
          <w:tab w:val="left" w:pos="1418" w:leader="none"/>
        </w:tabs>
        <w:ind w:firstLine="709" w:left="0" w:right="23"/>
        <w:jc w:val="both"/>
        <w:rPr>
          <w:sz w:val="24"/>
          <w:szCs w:val="24"/>
        </w:rPr>
      </w:pPr>
      <w:r>
        <w:rPr>
          <w:sz w:val="24"/>
          <w:szCs w:val="24"/>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br/>
        <w:t xml:space="preserve">а также недостоверности, неточности или неполноты заверений Поставщика </w:t>
        <w:br/>
        <w:t>об обстоятельствах, указанных в разделе 12 Договора, и имеющих существенное значение для его заключения и исполнения.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отказа Покупателя от Договора в случаях, предусмотренных пунктами 13.2, 13.3 Договора, последний считается прекращенным (расторгнутым) со дня, следующего за днем получения Поставщиком уведомления Покупателя об отказе </w:t>
        <w:br/>
        <w:t xml:space="preserve">от Договора (исполнения Договора).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С даты прекращения (расторжения) Договора Поставщик обязан прекратить поставку Товара.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ListParagraph"/>
        <w:widowControl/>
        <w:shd w:val="clear" w:color="auto" w:fill="FFFFFF"/>
        <w:tabs>
          <w:tab w:val="clear" w:pos="709"/>
          <w:tab w:val="left" w:pos="0" w:leader="none"/>
        </w:tabs>
        <w:ind w:hanging="0" w:left="709"/>
        <w:jc w:val="both"/>
        <w:rPr>
          <w:bCs/>
          <w:sz w:val="24"/>
          <w:szCs w:val="24"/>
        </w:rPr>
      </w:pPr>
      <w:r>
        <w:rPr>
          <w:bCs/>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Заключительные положения</w:t>
      </w:r>
    </w:p>
    <w:p>
      <w:pPr>
        <w:pStyle w:val="ListParagraph"/>
        <w:widowControl/>
        <w:numPr>
          <w:ilvl w:val="1"/>
          <w:numId w:val="2"/>
        </w:numPr>
        <w:shd w:val="clear" w:color="auto" w:fill="FFFFFF"/>
        <w:tabs>
          <w:tab w:val="clear" w:pos="709"/>
          <w:tab w:val="left" w:pos="142" w:leader="none"/>
          <w:tab w:val="left" w:pos="1418" w:leader="none"/>
        </w:tabs>
        <w:ind w:firstLine="709" w:left="0"/>
        <w:jc w:val="both"/>
        <w:rPr>
          <w:sz w:val="24"/>
          <w:szCs w:val="24"/>
        </w:rPr>
      </w:pPr>
      <w:r>
        <w:rPr>
          <w:sz w:val="24"/>
          <w:szCs w:val="24"/>
        </w:rPr>
        <w:t xml:space="preserve">Договор вступает в силу с даты его подписания Сторонами и действует </w:t>
        <w:br/>
        <w:t xml:space="preserve">до полного исполнения ими принятых на себя обязательств. </w:t>
      </w:r>
    </w:p>
    <w:p>
      <w:pPr>
        <w:pStyle w:val="Normal"/>
        <w:widowControl/>
        <w:numPr>
          <w:ilvl w:val="1"/>
          <w:numId w:val="2"/>
        </w:numPr>
        <w:tabs>
          <w:tab w:val="clear" w:pos="709"/>
          <w:tab w:val="left" w:pos="142" w:leader="none"/>
          <w:tab w:val="left" w:pos="1418" w:leader="none"/>
        </w:tabs>
        <w:snapToGrid w:val="false"/>
        <w:ind w:firstLine="709" w:left="0"/>
        <w:jc w:val="both"/>
        <w:rPr>
          <w:sz w:val="24"/>
          <w:szCs w:val="24"/>
          <w:highlight w:val="lightGray"/>
          <w:lang w:eastAsia="en-US"/>
        </w:rPr>
      </w:pPr>
      <w:r>
        <w:rPr>
          <w:sz w:val="24"/>
          <w:szCs w:val="24"/>
          <w:highlight w:val="lightGray"/>
          <w:lang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Normal"/>
        <w:tabs>
          <w:tab w:val="clear" w:pos="709"/>
          <w:tab w:val="left" w:pos="142" w:leader="none"/>
        </w:tabs>
        <w:ind w:firstLine="709"/>
        <w:jc w:val="both"/>
        <w:rPr>
          <w:sz w:val="24"/>
          <w:szCs w:val="24"/>
          <w:lang w:eastAsia="en-US"/>
        </w:rPr>
      </w:pPr>
      <w:r>
        <w:rPr>
          <w:sz w:val="24"/>
          <w:szCs w:val="24"/>
          <w:highlight w:val="lightGray"/>
          <w:lang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FootnoteReference"/>
          <w:sz w:val="24"/>
          <w:szCs w:val="24"/>
          <w:highlight w:val="lightGray"/>
          <w:lang w:eastAsia="en-US"/>
        </w:rPr>
        <w:footnoteReference w:id="11"/>
      </w:r>
      <w:r>
        <w:rPr>
          <w:sz w:val="24"/>
          <w:szCs w:val="24"/>
          <w:highlight w:val="lightGray"/>
          <w:lang w:eastAsia="en-US"/>
        </w:rPr>
        <w:t>.</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sz w:val="24"/>
          <w:szCs w:val="24"/>
          <w:highlight w:val="lightGray"/>
        </w:rPr>
        <w:t>14.7</w:t>
      </w:r>
      <w:r>
        <w:rPr>
          <w:sz w:val="24"/>
          <w:szCs w:val="24"/>
        </w:rPr>
        <w:t xml:space="preserve"> Договора.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Обмен информацией между Сторонами по любым вопросам, связанным </w:t>
        <w:br/>
        <w:t xml:space="preserve">с исполнением Договора, включая уведомления и иные сообщения, осуществляется только </w:t>
        <w:br/>
        <w:t xml:space="preserve">в письменной форме в порядке, предусмотренном пунктом </w:t>
      </w:r>
      <w:r>
        <w:rPr>
          <w:sz w:val="24"/>
          <w:szCs w:val="24"/>
          <w:highlight w:val="lightGray"/>
        </w:rPr>
        <w:t>14.8</w:t>
      </w:r>
      <w:r>
        <w:rPr>
          <w:sz w:val="24"/>
          <w:szCs w:val="24"/>
        </w:rPr>
        <w:t xml:space="preserve"> Договора.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bookmarkStart w:id="9" w:name="_Ref361338004"/>
      <w:r>
        <w:rPr>
          <w:sz w:val="24"/>
          <w:szCs w:val="24"/>
        </w:rPr>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w:t>
      </w:r>
      <w:r>
        <w:rPr>
          <w:sz w:val="24"/>
          <w:szCs w:val="24"/>
          <w:highlight w:val="lightGray"/>
        </w:rPr>
        <w:t>14.8</w:t>
      </w:r>
      <w:r>
        <w:rPr>
          <w:sz w:val="24"/>
          <w:szCs w:val="24"/>
        </w:rPr>
        <w:t xml:space="preserve"> Договора.</w:t>
      </w:r>
      <w:bookmarkEnd w:id="9"/>
      <w:r>
        <w:rPr>
          <w:sz w:val="24"/>
          <w:szCs w:val="24"/>
        </w:rPr>
        <w:t xml:space="preserve"> </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sz w:val="24"/>
          <w:szCs w:val="24"/>
        </w:rPr>
        <w:t>Письма, уведомления и / или сообщения направляются Стороне</w:t>
      </w:r>
      <w:r>
        <w:rPr>
          <w:bCs/>
          <w:sz w:val="24"/>
          <w:szCs w:val="24"/>
        </w:rPr>
        <w:t>-</w:t>
      </w:r>
      <w:r>
        <w:rPr>
          <w:sz w:val="24"/>
          <w:szCs w:val="24"/>
        </w:rPr>
        <w:t>получателю по адресу ее места нахождения, указанному в разделе 16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pPr>
        <w:pStyle w:val="ListParagraph"/>
        <w:numPr>
          <w:ilvl w:val="2"/>
          <w:numId w:val="2"/>
        </w:numPr>
        <w:ind w:firstLine="709" w:left="0"/>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2"/>
        </w:numPr>
        <w:ind w:firstLine="709" w:left="0"/>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pPr>
        <w:pStyle w:val="ListParagraph"/>
        <w:numPr>
          <w:ilvl w:val="2"/>
          <w:numId w:val="2"/>
        </w:numPr>
        <w:ind w:firstLine="709" w:left="0"/>
        <w:jc w:val="both"/>
        <w:rPr>
          <w:bCs/>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sz w:val="24"/>
          <w:szCs w:val="24"/>
          <w:highlight w:val="lightGray"/>
        </w:rPr>
        <w:t>14.8.1 – 14.8.2</w:t>
      </w:r>
      <w:r>
        <w:rPr>
          <w:bCs/>
          <w:sz w:val="24"/>
          <w:szCs w:val="24"/>
        </w:rPr>
        <w:t xml:space="preserve"> Договора. </w:t>
      </w:r>
    </w:p>
    <w:p>
      <w:pPr>
        <w:pStyle w:val="Normal"/>
        <w:widowControl/>
        <w:numPr>
          <w:ilvl w:val="1"/>
          <w:numId w:val="2"/>
        </w:numPr>
        <w:tabs>
          <w:tab w:val="clear" w:pos="709"/>
          <w:tab w:val="left" w:pos="0" w:leader="none"/>
          <w:tab w:val="left" w:pos="1418" w:leader="none"/>
          <w:tab w:val="left" w:pos="1985" w:leader="none"/>
        </w:tabs>
        <w:ind w:firstLine="709" w:left="0"/>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2"/>
        </w:numPr>
        <w:shd w:val="clear" w:color="auto" w:fill="FFFFFF"/>
        <w:tabs>
          <w:tab w:val="clear" w:pos="709"/>
          <w:tab w:val="left" w:pos="0" w:leader="none"/>
          <w:tab w:val="left" w:pos="1418" w:leader="none"/>
          <w:tab w:val="left" w:pos="1985" w:leader="none"/>
        </w:tabs>
        <w:ind w:firstLine="709" w:left="0"/>
        <w:jc w:val="both"/>
        <w:rPr>
          <w:bCs/>
          <w:sz w:val="24"/>
          <w:szCs w:val="24"/>
        </w:rPr>
      </w:pPr>
      <w:r>
        <w:rPr>
          <w:sz w:val="24"/>
          <w:szCs w:val="24"/>
        </w:rPr>
        <w:t xml:space="preserve">Уступка (передача), в том числе в залог, прав (требований) к Покупателю </w:t>
        <w:br/>
        <w:t>по денежным обязательствам, принадлежащих Поставщику на основании Договора, допускается только с предварительного письменного согласия Покупателя и оформляется трехсторонним договором</w:t>
      </w:r>
      <w:r>
        <w:rPr>
          <w:rStyle w:val="FootnoteReference"/>
          <w:sz w:val="24"/>
          <w:szCs w:val="24"/>
        </w:rPr>
        <w:footnoteReference w:id="12"/>
      </w:r>
      <w:r>
        <w:rPr>
          <w:bCs/>
          <w:sz w:val="24"/>
          <w:szCs w:val="24"/>
        </w:rPr>
        <w:t>.</w:t>
      </w:r>
      <w:r>
        <w:rPr>
          <w:sz w:val="24"/>
          <w:szCs w:val="24"/>
        </w:rPr>
        <w:t xml:space="preserve">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Договор составлен в 2 (двух) оригинальных экземплярах, имеющих равную юридическую силу, по 1 (одному) для каждой из Сторон</w:t>
      </w:r>
      <w:r>
        <w:rPr>
          <w:rStyle w:val="FootnoteReference"/>
          <w:sz w:val="24"/>
          <w:szCs w:val="24"/>
          <w:highlight w:val="lightGray"/>
        </w:rPr>
        <w:footnoteReference w:id="13"/>
      </w:r>
      <w:r>
        <w:rPr>
          <w:sz w:val="24"/>
          <w:szCs w:val="24"/>
          <w:highlight w:val="lightGray"/>
        </w:rPr>
        <w:t>.</w:t>
      </w:r>
    </w:p>
    <w:p>
      <w:pPr>
        <w:pStyle w:val="Normal"/>
        <w:shd w:val="clear" w:color="auto" w:fill="FFFFFF"/>
        <w:ind w:firstLine="567"/>
        <w:jc w:val="both"/>
        <w:rPr>
          <w:sz w:val="24"/>
          <w:szCs w:val="24"/>
        </w:rPr>
      </w:pPr>
      <w:r>
        <w:rPr>
          <w:sz w:val="24"/>
          <w:szCs w:val="24"/>
        </w:rPr>
      </w:r>
    </w:p>
    <w:p>
      <w:pPr>
        <w:pStyle w:val="Normal"/>
        <w:widowControl/>
        <w:numPr>
          <w:ilvl w:val="0"/>
          <w:numId w:val="2"/>
        </w:numPr>
        <w:shd w:val="clear" w:color="auto" w:fill="FFFFFF"/>
        <w:tabs>
          <w:tab w:val="clear" w:pos="709"/>
          <w:tab w:val="left" w:pos="284" w:leader="none"/>
        </w:tabs>
        <w:spacing w:lineRule="auto" w:line="259" w:before="0" w:after="0"/>
        <w:contextualSpacing/>
        <w:jc w:val="center"/>
        <w:rPr>
          <w:b/>
          <w:bCs/>
          <w:sz w:val="24"/>
          <w:szCs w:val="24"/>
        </w:rPr>
      </w:pPr>
      <w:r>
        <w:rPr>
          <w:b/>
          <w:bCs/>
          <w:sz w:val="24"/>
          <w:szCs w:val="24"/>
        </w:rPr>
        <w:t xml:space="preserve">Список приложений </w:t>
      </w:r>
    </w:p>
    <w:p>
      <w:pPr>
        <w:pStyle w:val="Normal"/>
        <w:widowControl/>
        <w:shd w:val="clear" w:color="auto" w:fill="FFFFFF"/>
        <w:tabs>
          <w:tab w:val="clear" w:pos="709"/>
          <w:tab w:val="left" w:pos="0" w:leader="none"/>
        </w:tabs>
        <w:suppressAutoHyphens w:val="true"/>
        <w:ind w:firstLine="709"/>
        <w:jc w:val="both"/>
        <w:rPr>
          <w:rFonts w:eastAsia="Calibri"/>
          <w:sz w:val="24"/>
          <w:szCs w:val="24"/>
          <w:lang w:eastAsia="en-US"/>
        </w:rPr>
      </w:pPr>
      <w:bookmarkStart w:id="10" w:name="sub_1"/>
      <w:r>
        <w:rPr>
          <w:rFonts w:eastAsia="Calibri"/>
          <w:sz w:val="24"/>
          <w:szCs w:val="24"/>
          <w:lang w:eastAsia="en-US"/>
        </w:rPr>
        <w:t>Приложение № 1 – Спецификация.</w:t>
      </w:r>
    </w:p>
    <w:p>
      <w:pPr>
        <w:pStyle w:val="Normal"/>
        <w:widowControl/>
        <w:shd w:val="clear" w:color="auto" w:fill="FFFFFF"/>
        <w:tabs>
          <w:tab w:val="clear" w:pos="709"/>
          <w:tab w:val="left" w:pos="0" w:leader="none"/>
          <w:tab w:val="left" w:pos="2694" w:leader="none"/>
        </w:tabs>
        <w:suppressAutoHyphens w:val="true"/>
        <w:ind w:firstLine="709"/>
        <w:jc w:val="both"/>
        <w:rPr>
          <w:rFonts w:eastAsia="Calibri"/>
          <w:sz w:val="24"/>
          <w:szCs w:val="24"/>
          <w:lang w:eastAsia="en-US"/>
        </w:rPr>
      </w:pPr>
      <w:r>
        <w:rPr>
          <w:rFonts w:eastAsia="Calibri"/>
          <w:sz w:val="24"/>
          <w:szCs w:val="24"/>
          <w:lang w:eastAsia="en-US"/>
        </w:rPr>
        <w:t xml:space="preserve">Приложение № 2 – </w:t>
      </w:r>
      <w:r>
        <w:rPr>
          <w:sz w:val="24"/>
          <w:szCs w:val="24"/>
          <w:lang w:eastAsia="x-none"/>
        </w:rPr>
        <w:t>Технические требования.</w:t>
      </w:r>
    </w:p>
    <w:p>
      <w:pPr>
        <w:pStyle w:val="Normal"/>
        <w:widowControl/>
        <w:shd w:val="clear" w:color="auto" w:fill="FFFFFF"/>
        <w:tabs>
          <w:tab w:val="clear" w:pos="709"/>
          <w:tab w:val="left" w:pos="0" w:leader="none"/>
          <w:tab w:val="left" w:pos="2694" w:leader="none"/>
        </w:tabs>
        <w:suppressAutoHyphens w:val="true"/>
        <w:ind w:firstLine="709"/>
        <w:jc w:val="both"/>
        <w:rPr>
          <w:sz w:val="24"/>
          <w:szCs w:val="24"/>
        </w:rPr>
      </w:pPr>
      <w:r>
        <w:rPr>
          <w:sz w:val="24"/>
          <w:szCs w:val="24"/>
          <w:lang w:eastAsia="x-none"/>
        </w:rPr>
        <w:t>Приложение № 3 –</w:t>
      </w:r>
      <w:r>
        <w:rPr>
          <w:rFonts w:eastAsia="Calibri"/>
          <w:sz w:val="24"/>
          <w:szCs w:val="24"/>
          <w:lang w:eastAsia="en-US"/>
        </w:rPr>
        <w:t xml:space="preserve"> Критерии отбора Банков-Гарантов.</w:t>
      </w:r>
      <w:bookmarkEnd w:id="10"/>
    </w:p>
    <w:p>
      <w:pPr>
        <w:pStyle w:val="Normal"/>
        <w:ind w:firstLine="709"/>
        <w:jc w:val="both"/>
        <w:rPr>
          <w:bCs/>
          <w:sz w:val="24"/>
          <w:szCs w:val="24"/>
        </w:rPr>
      </w:pPr>
      <w:r>
        <w:rPr>
          <w:bCs/>
          <w:sz w:val="24"/>
          <w:szCs w:val="24"/>
        </w:rPr>
        <w:t xml:space="preserve">Приложение № 4 </w:t>
      </w:r>
      <w:r>
        <w:rPr>
          <w:rFonts w:eastAsia="Calibri"/>
          <w:sz w:val="24"/>
          <w:szCs w:val="24"/>
          <w:lang w:eastAsia="en-US"/>
        </w:rPr>
        <w:t>–</w:t>
      </w:r>
      <w:r>
        <w:rPr>
          <w:bCs/>
          <w:sz w:val="24"/>
          <w:szCs w:val="24"/>
        </w:rPr>
        <w:t xml:space="preserve"> Размер ответственности Поставщика за нарушения пропускного </w:t>
        <w:br/>
        <w:t>и внутриобъектового режима, требований охраны труда, пожарной и промышленной безопасности.</w:t>
      </w:r>
    </w:p>
    <w:p>
      <w:pPr>
        <w:pStyle w:val="Normal"/>
        <w:widowControl w:val="false"/>
        <w:suppressAutoHyphens w:val="true"/>
        <w:bidi w:val="0"/>
        <w:spacing w:before="0" w:after="0"/>
        <w:ind w:firstLine="709"/>
        <w:jc w:val="both"/>
        <w:rPr>
          <w:bCs/>
          <w:sz w:val="24"/>
          <w:szCs w:val="24"/>
          <w:highlight w:val="lightGray"/>
        </w:rPr>
      </w:pPr>
      <w:r>
        <w:rPr>
          <w:bCs/>
          <w:sz w:val="24"/>
          <w:szCs w:val="24"/>
          <w:highlight w:val="lightGray"/>
        </w:rPr>
      </w:r>
    </w:p>
    <w:p>
      <w:pPr>
        <w:pStyle w:val="ListParagraph"/>
        <w:widowControl/>
        <w:numPr>
          <w:ilvl w:val="0"/>
          <w:numId w:val="2"/>
        </w:numPr>
        <w:shd w:val="clear" w:color="auto" w:fill="FFFFFF"/>
        <w:tabs>
          <w:tab w:val="clear" w:pos="709"/>
          <w:tab w:val="left" w:pos="426" w:leader="none"/>
        </w:tabs>
        <w:ind w:hanging="360" w:left="0"/>
        <w:jc w:val="center"/>
        <w:rPr>
          <w:b/>
          <w:bCs/>
          <w:sz w:val="24"/>
          <w:szCs w:val="24"/>
        </w:rPr>
      </w:pPr>
      <w:r>
        <w:rPr>
          <w:b/>
          <w:bCs/>
          <w:sz w:val="24"/>
          <w:szCs w:val="24"/>
        </w:rPr>
        <w:t>Адреса и платежные реквизиты Сторон</w:t>
      </w:r>
    </w:p>
    <w:p>
      <w:pPr>
        <w:pStyle w:val="ListParagraph"/>
        <w:widowControl/>
        <w:shd w:val="clear" w:color="auto" w:fill="FFFFFF"/>
        <w:tabs>
          <w:tab w:val="clear" w:pos="709"/>
          <w:tab w:val="left" w:pos="426" w:leader="none"/>
        </w:tabs>
        <w:ind w:hanging="0" w:left="360"/>
        <w:rPr>
          <w:b/>
          <w:bCs/>
          <w:sz w:val="24"/>
          <w:szCs w:val="24"/>
        </w:rPr>
      </w:pPr>
      <w:r>
        <w:rPr>
          <w:b/>
          <w:bCs/>
          <w:sz w:val="24"/>
          <w:szCs w:val="24"/>
        </w:rPr>
      </w:r>
    </w:p>
    <w:tbl>
      <w:tblPr>
        <w:tblW w:w="9890"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773"/>
        <w:gridCol w:w="155"/>
        <w:gridCol w:w="4631"/>
        <w:gridCol w:w="331"/>
      </w:tblGrid>
      <w:tr>
        <w:trPr/>
        <w:tc>
          <w:tcPr>
            <w:tcW w:w="4928" w:type="dxa"/>
            <w:gridSpan w:val="2"/>
            <w:tcBorders/>
          </w:tcPr>
          <w:p>
            <w:pPr>
              <w:pStyle w:val="Normal"/>
              <w:widowControl w:val="false"/>
              <w:rPr>
                <w:sz w:val="24"/>
                <w:szCs w:val="24"/>
              </w:rPr>
            </w:pPr>
            <w:r>
              <w:rPr>
                <w:sz w:val="24"/>
                <w:szCs w:val="24"/>
              </w:rPr>
              <w:t>ПОКУПАТЕЛЬ:</w:t>
            </w:r>
          </w:p>
        </w:tc>
        <w:tc>
          <w:tcPr>
            <w:tcW w:w="4962" w:type="dxa"/>
            <w:gridSpan w:val="2"/>
            <w:tcBorders/>
          </w:tcPr>
          <w:p>
            <w:pPr>
              <w:pStyle w:val="Normal"/>
              <w:widowControl w:val="false"/>
              <w:rPr>
                <w:sz w:val="24"/>
                <w:szCs w:val="24"/>
              </w:rPr>
            </w:pPr>
            <w:r>
              <w:rPr>
                <w:sz w:val="24"/>
                <w:szCs w:val="24"/>
              </w:rPr>
              <w:t>ПОСТАВЩИК:</w:t>
            </w:r>
          </w:p>
        </w:tc>
      </w:tr>
      <w:tr>
        <w:trPr/>
        <w:tc>
          <w:tcPr>
            <w:tcW w:w="4928" w:type="dxa"/>
            <w:gridSpan w:val="2"/>
            <w:tcBorders/>
            <w:shd w:color="auto" w:fill="BFBFBF" w:val="clear"/>
          </w:tcPr>
          <w:p>
            <w:pPr>
              <w:pStyle w:val="Normal"/>
              <w:widowControl w:val="false"/>
              <w:rPr>
                <w:sz w:val="24"/>
                <w:szCs w:val="24"/>
              </w:rPr>
            </w:pPr>
            <w:r>
              <w:rPr>
                <w:sz w:val="24"/>
                <w:szCs w:val="24"/>
              </w:rPr>
            </w:r>
          </w:p>
          <w:p>
            <w:pPr>
              <w:pStyle w:val="NoSpacing"/>
              <w:widowControl w:val="false"/>
              <w:rPr>
                <w:b/>
                <w:bCs/>
              </w:rPr>
            </w:pPr>
            <w:r>
              <w:rPr>
                <w:rFonts w:cs="Times New Roman" w:ascii="Times New Roman" w:hAnsi="Times New Roman"/>
                <w:b/>
                <w:bCs/>
                <w:sz w:val="24"/>
                <w:szCs w:val="24"/>
              </w:rPr>
              <w:t>Акционерное общество «ТК РусГидро»</w:t>
            </w:r>
          </w:p>
          <w:p>
            <w:pPr>
              <w:pStyle w:val="NoSpacing"/>
              <w:widowControl w:val="false"/>
              <w:rPr>
                <w:b/>
                <w:bCs/>
              </w:rPr>
            </w:pPr>
            <w:r>
              <w:rPr>
                <w:rFonts w:cs="Times New Roman" w:ascii="Times New Roman" w:hAnsi="Times New Roman"/>
                <w:b/>
                <w:bCs/>
                <w:sz w:val="24"/>
                <w:szCs w:val="24"/>
              </w:rPr>
              <w:t>(АО «ТК РусГидро»)</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655619, Республика Хакасия, город Саяногорск, рабочий поселок Черемушки,</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стр. 101.</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ИНН 1902018248 КПП 190201001</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ОГРН 1031900676356 ОКПО 42213224</w:t>
            </w:r>
          </w:p>
          <w:p>
            <w:pPr>
              <w:pStyle w:val="NoSpacing"/>
              <w:widowControl w:val="false"/>
              <w:rPr>
                <w:b/>
                <w:bCs/>
              </w:rPr>
            </w:pPr>
            <w:r>
              <w:rPr>
                <w:rFonts w:cs="Times New Roman" w:ascii="Times New Roman" w:hAnsi="Times New Roman"/>
                <w:b/>
                <w:bCs/>
                <w:sz w:val="24"/>
                <w:szCs w:val="24"/>
              </w:rPr>
              <w:t>Южный филиал АО «ТК РусГидро»</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357506, Российская Федерация, Ставропольский край, город-курорт Пятигорск, ул. Тургеневская, зд. 30.</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Телефон, факс: +7(86554)4-16-55</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ИНН 1902018248 КПП 263243001</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ОКПО 21967982</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Банковские реквизиты:</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р/с 40702810795000000002</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в Банк ГПБ (АО), г. Москва</w:t>
            </w:r>
          </w:p>
          <w:p>
            <w:pPr>
              <w:pStyle w:val="NoSpacing"/>
              <w:widowControl w:val="false"/>
              <w:rPr/>
            </w:pPr>
            <w:r>
              <w:rPr>
                <w:rFonts w:cs="Times New Roman" w:ascii="Times New Roman" w:hAnsi="Times New Roman"/>
                <w:b/>
                <w:sz w:val="24"/>
                <w:szCs w:val="24"/>
              </w:rPr>
              <w:t>БИК 044525823 к/с 30101810200000000823</w:t>
            </w:r>
          </w:p>
          <w:p>
            <w:pPr>
              <w:pStyle w:val="Normal"/>
              <w:widowControl w:val="false"/>
              <w:rPr>
                <w:sz w:val="24"/>
                <w:szCs w:val="24"/>
              </w:rPr>
            </w:pPr>
            <w:r>
              <w:rPr>
                <w:sz w:val="24"/>
                <w:szCs w:val="24"/>
              </w:rPr>
            </w:r>
          </w:p>
        </w:tc>
        <w:tc>
          <w:tcPr>
            <w:tcW w:w="4962" w:type="dxa"/>
            <w:gridSpan w:val="2"/>
            <w:tcBorders/>
            <w:shd w:color="auto" w:fill="BFBFBF" w:val="clear"/>
          </w:tcPr>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юридического лица)</w:t>
            </w:r>
          </w:p>
          <w:p>
            <w:pPr>
              <w:pStyle w:val="Normal"/>
              <w:widowControl w:val="false"/>
              <w:rPr>
                <w:sz w:val="24"/>
                <w:szCs w:val="24"/>
              </w:rPr>
            </w:pPr>
            <w:r>
              <w:rPr>
                <w:sz w:val="24"/>
                <w:szCs w:val="24"/>
              </w:rPr>
            </w:r>
          </w:p>
          <w:p>
            <w:pPr>
              <w:pStyle w:val="Normal"/>
              <w:widowControl w:val="false"/>
              <w:rPr>
                <w:sz w:val="24"/>
                <w:szCs w:val="24"/>
              </w:rPr>
            </w:pPr>
            <w:r>
              <w:rPr>
                <w:sz w:val="24"/>
                <w:szCs w:val="24"/>
              </w:rPr>
              <w:t>Юридический адрес:</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Почтовый адрес:</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ОГРН ___________________________</w:t>
            </w:r>
          </w:p>
          <w:p>
            <w:pPr>
              <w:pStyle w:val="Normal"/>
              <w:widowControl w:val="false"/>
              <w:rPr>
                <w:sz w:val="24"/>
                <w:szCs w:val="24"/>
              </w:rPr>
            </w:pPr>
            <w:r>
              <w:rPr>
                <w:sz w:val="24"/>
                <w:szCs w:val="24"/>
              </w:rPr>
              <w:t>ИНН ____________ / КПП___________</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расчетного счета)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банка, в котором</w:t>
            </w:r>
          </w:p>
          <w:p>
            <w:pPr>
              <w:pStyle w:val="Normal"/>
              <w:widowControl w:val="false"/>
              <w:rPr>
                <w:sz w:val="24"/>
                <w:szCs w:val="24"/>
              </w:rPr>
            </w:pPr>
            <w:r>
              <w:rPr>
                <w:sz w:val="24"/>
                <w:szCs w:val="24"/>
              </w:rPr>
              <w:t>открыт расчетный счет)</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корреспондентского счета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(БИК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телефона)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факса)</w:t>
            </w:r>
          </w:p>
          <w:p>
            <w:pPr>
              <w:pStyle w:val="Normal"/>
              <w:widowControl w:val="false"/>
              <w:rPr>
                <w:sz w:val="24"/>
                <w:szCs w:val="24"/>
              </w:rPr>
            </w:pPr>
            <w:r>
              <w:rPr>
                <w:sz w:val="24"/>
                <w:szCs w:val="24"/>
              </w:rPr>
            </w:r>
          </w:p>
        </w:tc>
      </w:tr>
      <w:tr>
        <w:trPr/>
        <w:tc>
          <w:tcPr>
            <w:tcW w:w="4773" w:type="dxa"/>
            <w:tcBorders/>
          </w:tcPr>
          <w:p>
            <w:pPr>
              <w:pStyle w:val="Normal"/>
              <w:widowControl w:val="false"/>
              <w:rPr>
                <w:sz w:val="24"/>
                <w:szCs w:val="24"/>
                <w:highlight w:val="lightGray"/>
              </w:rPr>
            </w:pPr>
            <w:r>
              <w:rPr>
                <w:sz w:val="24"/>
                <w:szCs w:val="24"/>
                <w:highlight w:val="lightGray"/>
              </w:rPr>
              <w:t xml:space="preserve">_______________ / _______________ </w:t>
            </w:r>
          </w:p>
          <w:p>
            <w:pPr>
              <w:pStyle w:val="Normal"/>
              <w:widowControl w:val="false"/>
              <w:rPr>
                <w:sz w:val="24"/>
                <w:szCs w:val="24"/>
                <w:highlight w:val="lightGray"/>
              </w:rPr>
            </w:pPr>
            <w:r>
              <w:rPr>
                <w:sz w:val="24"/>
                <w:szCs w:val="24"/>
                <w:highlight w:val="lightGray"/>
              </w:rPr>
            </w:r>
          </w:p>
        </w:tc>
        <w:tc>
          <w:tcPr>
            <w:tcW w:w="4786" w:type="dxa"/>
            <w:gridSpan w:val="2"/>
            <w:tcBorders/>
          </w:tcPr>
          <w:p>
            <w:pPr>
              <w:pStyle w:val="Normal"/>
              <w:widowControl w:val="false"/>
              <w:rPr>
                <w:sz w:val="24"/>
                <w:szCs w:val="24"/>
              </w:rPr>
            </w:pPr>
            <w:r>
              <w:rPr>
                <w:sz w:val="24"/>
                <w:szCs w:val="24"/>
                <w:highlight w:val="lightGray"/>
              </w:rPr>
              <w:t>_______________ / _______________</w:t>
            </w:r>
            <w:r>
              <w:rPr>
                <w:sz w:val="24"/>
                <w:szCs w:val="24"/>
              </w:rPr>
              <w:t xml:space="preserve"> </w:t>
            </w:r>
          </w:p>
        </w:tc>
        <w:tc>
          <w:tcPr>
            <w:tcW w:w="331" w:type="dxa"/>
            <w:tcBorders/>
          </w:tcPr>
          <w:p>
            <w:pPr>
              <w:pStyle w:val="Normal"/>
              <w:widowControl w:val="false"/>
              <w:rPr/>
            </w:pPr>
            <w:r>
              <w:rPr/>
            </w:r>
          </w:p>
        </w:tc>
      </w:tr>
    </w:tbl>
    <w:p>
      <w:pPr>
        <w:sectPr>
          <w:headerReference w:type="default" r:id="rId5"/>
          <w:headerReference w:type="first" r:id="rId6"/>
          <w:footerReference w:type="default" r:id="rId7"/>
          <w:footnotePr>
            <w:numFmt w:val="decimal"/>
          </w:footnotePr>
          <w:type w:val="nextPage"/>
          <w:pgSz w:w="11906" w:h="16838"/>
          <w:pgMar w:left="1560" w:right="851" w:gutter="0" w:header="709" w:top="1134" w:footer="709" w:bottom="1135"/>
          <w:pgNumType w:fmt="decimal"/>
          <w:formProt w:val="false"/>
          <w:titlePg/>
          <w:textDirection w:val="lrTb"/>
          <w:docGrid w:type="default" w:linePitch="360" w:charSpace="8192"/>
        </w:sectPr>
      </w:pPr>
    </w:p>
    <w:p>
      <w:pPr>
        <w:pStyle w:val="Normal"/>
        <w:suppressAutoHyphens w:val="true"/>
        <w:ind w:hanging="0" w:left="5103" w:right="96"/>
        <w:rPr>
          <w:sz w:val="22"/>
          <w:szCs w:val="22"/>
        </w:rPr>
      </w:pPr>
      <w:r>
        <w:rPr>
          <w:sz w:val="22"/>
          <w:szCs w:val="22"/>
        </w:rPr>
        <w:t>Приложение № 1</w:t>
      </w:r>
    </w:p>
    <w:p>
      <w:pPr>
        <w:pStyle w:val="Normal"/>
        <w:suppressAutoHyphens w:val="true"/>
        <w:ind w:hanging="0" w:left="5103" w:right="96"/>
        <w:rPr>
          <w:sz w:val="22"/>
          <w:szCs w:val="22"/>
        </w:rPr>
      </w:pPr>
      <w:r>
        <w:rPr>
          <w:sz w:val="22"/>
          <w:szCs w:val="22"/>
        </w:rPr>
        <w:t>к Договору поставки</w:t>
      </w:r>
    </w:p>
    <w:p>
      <w:pPr>
        <w:pStyle w:val="Normal"/>
        <w:suppressAutoHyphens w:val="true"/>
        <w:ind w:hanging="0" w:left="5103" w:right="96"/>
        <w:rPr>
          <w:sz w:val="22"/>
          <w:szCs w:val="22"/>
        </w:rPr>
      </w:pPr>
      <w:r>
        <w:rPr>
          <w:sz w:val="22"/>
          <w:szCs w:val="22"/>
        </w:rPr>
        <w:t>от «____» __________ 20 _ г. № _____</w:t>
      </w:r>
    </w:p>
    <w:p>
      <w:pPr>
        <w:pStyle w:val="Normal"/>
        <w:jc w:val="center"/>
        <w:rPr>
          <w:b/>
          <w:sz w:val="24"/>
          <w:szCs w:val="24"/>
        </w:rPr>
      </w:pPr>
      <w:r>
        <w:rPr>
          <w:b/>
          <w:sz w:val="24"/>
          <w:szCs w:val="24"/>
        </w:rPr>
      </w:r>
    </w:p>
    <w:p>
      <w:pPr>
        <w:pStyle w:val="Normal"/>
        <w:jc w:val="center"/>
        <w:rPr>
          <w:b/>
          <w:sz w:val="24"/>
          <w:szCs w:val="24"/>
        </w:rPr>
      </w:pPr>
      <w:r>
        <w:rPr>
          <w:b/>
          <w:sz w:val="24"/>
          <w:szCs w:val="24"/>
        </w:rPr>
        <w:t xml:space="preserve">СПЕЦИФИКАЦИЯ </w:t>
      </w:r>
    </w:p>
    <w:p>
      <w:pPr>
        <w:pStyle w:val="Normal"/>
        <w:jc w:val="center"/>
        <w:rPr>
          <w:b/>
          <w:sz w:val="24"/>
          <w:szCs w:val="24"/>
        </w:rPr>
      </w:pPr>
      <w:r>
        <w:rPr>
          <w:b/>
          <w:sz w:val="24"/>
          <w:szCs w:val="24"/>
        </w:rPr>
      </w:r>
    </w:p>
    <w:tbl>
      <w:tblPr>
        <w:tblW w:w="5000" w:type="pct"/>
        <w:jc w:val="left"/>
        <w:tblInd w:w="-714" w:type="dxa"/>
        <w:tblLayout w:type="fixed"/>
        <w:tblCellMar>
          <w:top w:w="0" w:type="dxa"/>
          <w:left w:w="108" w:type="dxa"/>
          <w:bottom w:w="0" w:type="dxa"/>
          <w:right w:w="108" w:type="dxa"/>
        </w:tblCellMar>
        <w:tblLook w:val="04a0" w:noHBand="0" w:noVBand="1" w:firstColumn="1" w:lastRow="0" w:lastColumn="0" w:firstRow="1"/>
      </w:tblPr>
      <w:tblGrid>
        <w:gridCol w:w="397"/>
        <w:gridCol w:w="633"/>
        <w:gridCol w:w="636"/>
        <w:gridCol w:w="638"/>
        <w:gridCol w:w="799"/>
        <w:gridCol w:w="766"/>
        <w:gridCol w:w="644"/>
        <w:gridCol w:w="762"/>
        <w:gridCol w:w="720"/>
        <w:gridCol w:w="374"/>
        <w:gridCol w:w="159"/>
        <w:gridCol w:w="665"/>
        <w:gridCol w:w="583"/>
        <w:gridCol w:w="531"/>
        <w:gridCol w:w="745"/>
        <w:gridCol w:w="585"/>
      </w:tblGrid>
      <w:tr>
        <w:trPr>
          <w:trHeight w:val="526" w:hRule="atLeast"/>
        </w:trPr>
        <w:tc>
          <w:tcPr>
            <w:tcW w:w="3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 xml:space="preserve">№ </w:t>
            </w:r>
            <w:r>
              <w:rPr>
                <w:bCs/>
              </w:rPr>
              <w:t>поз.</w:t>
            </w:r>
          </w:p>
        </w:tc>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Наименование Товара</w:t>
            </w:r>
          </w:p>
        </w:tc>
        <w:tc>
          <w:tcPr>
            <w:tcW w:w="63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Артикул, тип, марка</w:t>
            </w:r>
          </w:p>
        </w:tc>
        <w:tc>
          <w:tcPr>
            <w:tcW w:w="63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Завод изготовитель</w:t>
            </w:r>
          </w:p>
        </w:tc>
        <w:tc>
          <w:tcPr>
            <w:tcW w:w="79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Страна происхождения Товара</w:t>
            </w:r>
            <w:r>
              <w:rPr>
                <w:rStyle w:val="FootnoteReference"/>
                <w:bCs/>
              </w:rPr>
              <w:footnoteReference w:id="14"/>
            </w:r>
          </w:p>
        </w:tc>
        <w:tc>
          <w:tcPr>
            <w:tcW w:w="7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t>Страна регистрации производителя Товара</w:t>
            </w:r>
          </w:p>
        </w:tc>
        <w:tc>
          <w:tcPr>
            <w:tcW w:w="6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Код ОКПД 2 (с наименованием)</w:t>
            </w:r>
          </w:p>
        </w:tc>
        <w:tc>
          <w:tcPr>
            <w:tcW w:w="76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Единица измерения</w:t>
            </w:r>
          </w:p>
        </w:tc>
        <w:tc>
          <w:tcPr>
            <w:tcW w:w="72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
                <w:bCs/>
              </w:rPr>
            </w:pPr>
            <w:r>
              <w:rPr>
                <w:b/>
                <w:bCs/>
              </w:rPr>
            </w:r>
          </w:p>
          <w:p>
            <w:pPr>
              <w:pStyle w:val="Normal"/>
              <w:widowControl w:val="false"/>
              <w:jc w:val="center"/>
              <w:rPr>
                <w:bCs/>
              </w:rPr>
            </w:pPr>
            <w:r>
              <w:rPr>
                <w:bCs/>
                <w:highlight w:val="lightGray"/>
              </w:rPr>
              <w:t>Порядковый номер(а) реестровой(ых) записи(ей)</w:t>
            </w:r>
            <w:r>
              <w:rPr>
                <w:rStyle w:val="FootnoteReference"/>
                <w:bCs/>
                <w:highlight w:val="lightGray"/>
              </w:rPr>
              <w:footnoteReference w:id="15"/>
            </w:r>
          </w:p>
          <w:p>
            <w:pPr>
              <w:pStyle w:val="Normal"/>
              <w:widowControl w:val="false"/>
              <w:jc w:val="center"/>
              <w:rPr>
                <w:bCs/>
              </w:rPr>
            </w:pPr>
            <w:r>
              <w:rPr>
                <w:bCs/>
              </w:rPr>
            </w: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Количество</w:t>
            </w:r>
          </w:p>
        </w:tc>
        <w:tc>
          <w:tcPr>
            <w:tcW w:w="6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за единицу, руб. без НДС</w:t>
            </w:r>
          </w:p>
        </w:tc>
        <w:tc>
          <w:tcPr>
            <w:tcW w:w="58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руб. без НДС</w:t>
            </w:r>
          </w:p>
        </w:tc>
        <w:tc>
          <w:tcPr>
            <w:tcW w:w="5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НДС</w:t>
            </w:r>
          </w:p>
          <w:p>
            <w:pPr>
              <w:pStyle w:val="Normal"/>
              <w:widowControl w:val="false"/>
              <w:jc w:val="center"/>
              <w:rPr>
                <w:bCs/>
              </w:rPr>
            </w:pPr>
            <w:r>
              <w:rPr>
                <w:bCs/>
              </w:rPr>
              <w:t>(___%) руб.*</w:t>
            </w:r>
          </w:p>
        </w:tc>
        <w:tc>
          <w:tcPr>
            <w:tcW w:w="7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Стоимость, руб., с НДС*</w:t>
            </w:r>
          </w:p>
        </w:tc>
        <w:tc>
          <w:tcPr>
            <w:tcW w:w="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Перечень сопроводительных документов (в том числе подтверждающих качество Товара)</w:t>
            </w:r>
          </w:p>
        </w:tc>
      </w:tr>
      <w:tr>
        <w:trPr>
          <w:trHeight w:val="538" w:hRule="atLeast"/>
        </w:trPr>
        <w:tc>
          <w:tcPr>
            <w:tcW w:w="3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1</w:t>
            </w:r>
          </w:p>
        </w:tc>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3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3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9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44"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538" w:hRule="atLeast"/>
        </w:trPr>
        <w:tc>
          <w:tcPr>
            <w:tcW w:w="3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2</w:t>
            </w:r>
          </w:p>
        </w:tc>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3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3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9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44"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62" w:hRule="atLeast"/>
        </w:trPr>
        <w:tc>
          <w:tcPr>
            <w:tcW w:w="6369" w:type="dxa"/>
            <w:gridSpan w:val="10"/>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lightGray"/>
              </w:rPr>
              <w:t>Итого стоимость всего Товара (с учетом доставки), руб. с НДС*:</w:t>
            </w:r>
          </w:p>
        </w:tc>
        <w:tc>
          <w:tcPr>
            <w:tcW w:w="3268" w:type="dxa"/>
            <w:gridSpan w:val="6"/>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r>
    </w:tbl>
    <w:p>
      <w:pPr>
        <w:pStyle w:val="Normal"/>
        <w:widowControl w:val="false"/>
        <w:bidi w:val="0"/>
        <w:spacing w:lineRule="auto" w:line="240" w:before="0" w:after="0"/>
        <w:ind w:hanging="0" w:left="-737" w:right="680"/>
        <w:jc w:val="both"/>
        <w:rPr>
          <w:i/>
          <w:i/>
          <w:iCs/>
          <w:sz w:val="20"/>
          <w:szCs w:val="20"/>
          <w:highlight w:val="none"/>
          <w:shd w:fill="auto" w:val="clear"/>
        </w:rPr>
      </w:pPr>
      <w:r>
        <w:rPr>
          <w:i/>
          <w:iCs/>
          <w:sz w:val="20"/>
          <w:szCs w:val="20"/>
          <w:shd w:fill="auto" w:val="clear"/>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Normal"/>
        <w:widowControl w:val="false"/>
        <w:bidi w:val="0"/>
        <w:spacing w:lineRule="auto" w:line="240" w:before="0" w:after="0"/>
        <w:ind w:hanging="0" w:left="-737" w:right="680"/>
        <w:jc w:val="both"/>
        <w:rPr>
          <w:i/>
          <w:i/>
          <w:iCs/>
          <w:sz w:val="20"/>
          <w:szCs w:val="20"/>
          <w:highlight w:val="none"/>
          <w:shd w:fill="auto" w:val="clear"/>
        </w:rPr>
      </w:pPr>
      <w:r>
        <w:rPr>
          <w:i/>
          <w:iCs/>
          <w:sz w:val="20"/>
          <w:szCs w:val="20"/>
          <w:shd w:fill="auto" w:val="clear"/>
        </w:rPr>
      </w:r>
    </w:p>
    <w:p>
      <w:pPr>
        <w:pStyle w:val="Normal"/>
        <w:rPr>
          <w:i/>
          <w:i/>
          <w:sz w:val="22"/>
          <w:szCs w:val="22"/>
          <w:highlight w:val="lightGray"/>
        </w:rPr>
      </w:pPr>
      <w:r>
        <w:rPr>
          <w:i/>
          <w:sz w:val="22"/>
          <w:szCs w:val="22"/>
          <w:highlight w:val="lightGray"/>
        </w:rPr>
        <w: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pPr>
        <w:pStyle w:val="Normal"/>
        <w:jc w:val="both"/>
        <w:rPr>
          <w:i/>
          <w:i/>
          <w:sz w:val="22"/>
          <w:szCs w:val="22"/>
        </w:rPr>
      </w:pPr>
      <w:r>
        <w:rPr>
          <w:i/>
          <w:sz w:val="22"/>
          <w:szCs w:val="22"/>
          <w:highlight w:val="lightGray"/>
        </w:rPr>
        <w:t>2. По требованию Покупателя Поставщик обязан представить запрашиваемую информацию / документы, расчеты, обосновывающие стоимость доставки.</w:t>
      </w:r>
      <w:r>
        <w:rPr>
          <w:i/>
          <w:sz w:val="22"/>
          <w:szCs w:val="22"/>
        </w:rPr>
        <w:t xml:space="preserve"> </w:t>
      </w:r>
    </w:p>
    <w:p>
      <w:pPr>
        <w:pStyle w:val="Normal"/>
        <w:rPr>
          <w:i/>
          <w:i/>
          <w:sz w:val="22"/>
          <w:szCs w:val="22"/>
        </w:rPr>
      </w:pPr>
      <w:r>
        <w:rPr>
          <w:i/>
          <w:sz w:val="22"/>
          <w:szCs w:val="22"/>
        </w:rPr>
      </w:r>
    </w:p>
    <w:p>
      <w:pPr>
        <w:pStyle w:val="Normal"/>
        <w:rPr>
          <w:i/>
          <w:i/>
          <w:sz w:val="22"/>
          <w:szCs w:val="22"/>
        </w:rPr>
      </w:pPr>
      <w:r>
        <w:rPr>
          <w:i/>
          <w:sz w:val="22"/>
          <w:szCs w:val="22"/>
        </w:rPr>
      </w:r>
    </w:p>
    <w:tbl>
      <w:tblPr>
        <w:tblW w:w="9632"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826"/>
        <w:gridCol w:w="4805"/>
      </w:tblGrid>
      <w:tr>
        <w:trPr>
          <w:trHeight w:val="269" w:hRule="atLeast"/>
        </w:trPr>
        <w:tc>
          <w:tcPr>
            <w:tcW w:w="4826" w:type="dxa"/>
            <w:tcBorders/>
          </w:tcPr>
          <w:p>
            <w:pPr>
              <w:pStyle w:val="Normal"/>
              <w:widowControl w:val="false"/>
              <w:rPr>
                <w:b/>
                <w:sz w:val="24"/>
              </w:rPr>
            </w:pPr>
            <w:r>
              <w:rPr>
                <w:b/>
                <w:sz w:val="24"/>
              </w:rPr>
              <w:t>Покупатель:</w:t>
            </w:r>
          </w:p>
        </w:tc>
        <w:tc>
          <w:tcPr>
            <w:tcW w:w="4805" w:type="dxa"/>
            <w:tcBorders/>
          </w:tcPr>
          <w:p>
            <w:pPr>
              <w:pStyle w:val="Normal"/>
              <w:widowControl w:val="false"/>
              <w:rPr>
                <w:b/>
                <w:sz w:val="24"/>
              </w:rPr>
            </w:pPr>
            <w:r>
              <w:rPr>
                <w:b/>
                <w:sz w:val="24"/>
              </w:rPr>
              <w:t>Поставщик:</w:t>
            </w:r>
          </w:p>
        </w:tc>
      </w:tr>
    </w:tbl>
    <w:p>
      <w:pPr>
        <w:pStyle w:val="Normal"/>
        <w:rPr/>
      </w:pPr>
      <w:r>
        <w:rPr/>
      </w:r>
    </w:p>
    <w:p>
      <w:pPr>
        <w:pStyle w:val="Normal"/>
        <w:rPr/>
      </w:pPr>
      <w:r>
        <w:rPr/>
        <w:t xml:space="preserve"> </w:t>
      </w:r>
      <w:r>
        <w:rPr/>
        <w:t>__________ /__________</w:t>
        <w:tab/>
        <w:t xml:space="preserve">                                          ___________ /___________</w:t>
      </w:r>
    </w:p>
    <w:p>
      <w:pPr>
        <w:pStyle w:val="Normal"/>
        <w:rPr>
          <w:i/>
          <w:i/>
          <w:sz w:val="24"/>
          <w:szCs w:val="24"/>
          <w:highlight w:val="yellow"/>
        </w:rPr>
      </w:pPr>
      <w:r>
        <w:rPr>
          <w:i/>
          <w:sz w:val="24"/>
          <w:szCs w:val="24"/>
          <w:highlight w:val="yellow"/>
        </w:rPr>
      </w:r>
    </w:p>
    <w:p>
      <w:pPr>
        <w:pStyle w:val="Normal"/>
        <w:widowControl/>
        <w:rPr>
          <w:sz w:val="22"/>
          <w:szCs w:val="22"/>
        </w:rPr>
      </w:pPr>
      <w:r>
        <w:rPr>
          <w:sz w:val="22"/>
          <w:szCs w:val="22"/>
        </w:rPr>
      </w:r>
      <w:r>
        <w:br w:type="page"/>
      </w:r>
    </w:p>
    <w:p>
      <w:pPr>
        <w:pStyle w:val="Normal"/>
        <w:suppressAutoHyphens w:val="true"/>
        <w:ind w:firstLine="5103" w:right="96"/>
        <w:rPr>
          <w:sz w:val="22"/>
          <w:szCs w:val="22"/>
        </w:rPr>
      </w:pPr>
      <w:r>
        <w:rPr>
          <w:sz w:val="22"/>
          <w:szCs w:val="22"/>
        </w:rPr>
        <w:t>Приложение № 2</w:t>
      </w:r>
    </w:p>
    <w:p>
      <w:pPr>
        <w:pStyle w:val="Normal"/>
        <w:suppressAutoHyphens w:val="true"/>
        <w:ind w:firstLine="5103" w:right="96"/>
        <w:rPr>
          <w:sz w:val="22"/>
          <w:szCs w:val="22"/>
        </w:rPr>
      </w:pPr>
      <w:r>
        <w:rPr>
          <w:sz w:val="22"/>
          <w:szCs w:val="22"/>
        </w:rPr>
        <w:t xml:space="preserve">к Договору поставки </w:t>
      </w:r>
    </w:p>
    <w:p>
      <w:pPr>
        <w:pStyle w:val="Normal"/>
        <w:suppressAutoHyphens w:val="true"/>
        <w:ind w:firstLine="5103" w:right="96"/>
        <w:rPr>
          <w:sz w:val="22"/>
          <w:szCs w:val="22"/>
        </w:rPr>
      </w:pPr>
      <w:r>
        <w:rPr>
          <w:sz w:val="22"/>
          <w:szCs w:val="22"/>
        </w:rPr>
        <w:t>от «____» __________ 20 _ г. № _____</w:t>
      </w:r>
    </w:p>
    <w:p>
      <w:pPr>
        <w:pStyle w:val="Normal"/>
        <w:widowControl/>
        <w:ind w:firstLine="567"/>
        <w:jc w:val="center"/>
        <w:rPr>
          <w:rFonts w:eastAsia="Calibri"/>
          <w:b/>
          <w:sz w:val="24"/>
          <w:szCs w:val="24"/>
          <w:lang w:eastAsia="en-US"/>
        </w:rPr>
      </w:pPr>
      <w:r>
        <w:rPr>
          <w:rFonts w:eastAsia="Calibri"/>
          <w:b/>
          <w:sz w:val="24"/>
          <w:szCs w:val="24"/>
          <w:lang w:eastAsia="en-US"/>
        </w:rPr>
      </w:r>
    </w:p>
    <w:p>
      <w:pPr>
        <w:pStyle w:val="Normal"/>
        <w:widowControl/>
        <w:ind w:firstLine="567"/>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t>ТЕХНИЧЕСКИЕ ТРЕБОВАНИЯ</w:t>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b/>
          <w:sz w:val="24"/>
          <w:szCs w:val="24"/>
        </w:rPr>
      </w:pPr>
      <w:r>
        <w:rPr>
          <w:b/>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hanging="0" w:left="0"/>
        <w:jc w:val="center"/>
        <w:outlineLvl w:val="0"/>
        <w:rPr>
          <w:bCs/>
          <w:sz w:val="24"/>
          <w:szCs w:val="24"/>
        </w:rPr>
      </w:pPr>
      <w:r>
        <w:rPr>
          <w:bCs/>
          <w:sz w:val="24"/>
          <w:szCs w:val="24"/>
        </w:rPr>
      </w:r>
    </w:p>
    <w:tbl>
      <w:tblPr>
        <w:tblW w:w="9815" w:type="dxa"/>
        <w:jc w:val="left"/>
        <w:tblInd w:w="-176"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shd w:color="auto" w:fill="auto" w:val="clear"/>
          </w:tcPr>
          <w:p>
            <w:pPr>
              <w:pStyle w:val="Normal"/>
              <w:widowControl w:val="false"/>
              <w:rPr>
                <w:b/>
                <w:sz w:val="24"/>
                <w:szCs w:val="24"/>
              </w:rPr>
            </w:pPr>
            <w:r>
              <w:rPr>
                <w:b/>
                <w:sz w:val="24"/>
                <w:szCs w:val="24"/>
              </w:rPr>
              <w:t>Покупатель:</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rPr>
                <w:sz w:val="24"/>
                <w:szCs w:val="24"/>
              </w:rPr>
            </w:pPr>
            <w:r>
              <w:rPr>
                <w:sz w:val="24"/>
                <w:szCs w:val="24"/>
              </w:rPr>
            </w:r>
          </w:p>
        </w:tc>
        <w:tc>
          <w:tcPr>
            <w:tcW w:w="4819" w:type="dxa"/>
            <w:tcBorders/>
            <w:shd w:color="auto" w:fill="auto" w:val="clear"/>
          </w:tcPr>
          <w:p>
            <w:pPr>
              <w:pStyle w:val="Normal"/>
              <w:widowControl w:val="false"/>
              <w:rPr>
                <w:b/>
                <w:sz w:val="24"/>
                <w:szCs w:val="24"/>
              </w:rPr>
            </w:pPr>
            <w:r>
              <w:rPr>
                <w:b/>
                <w:sz w:val="24"/>
                <w:szCs w:val="24"/>
              </w:rPr>
              <w:t>Поставщик:</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ind w:firstLine="33"/>
              <w:rPr>
                <w:b/>
                <w:sz w:val="24"/>
                <w:szCs w:val="24"/>
              </w:rPr>
            </w:pPr>
            <w:r>
              <w:rPr>
                <w:b/>
                <w:sz w:val="24"/>
                <w:szCs w:val="24"/>
              </w:rPr>
            </w:r>
          </w:p>
        </w:tc>
      </w:tr>
    </w:tbl>
    <w:p>
      <w:pPr>
        <w:pStyle w:val="Normal"/>
        <w:suppressAutoHyphens w:val="true"/>
        <w:ind w:firstLine="6237" w:right="96"/>
        <w:rPr>
          <w:sz w:val="24"/>
          <w:szCs w:val="24"/>
        </w:rPr>
      </w:pPr>
      <w:r>
        <w:rPr>
          <w:sz w:val="24"/>
          <w:szCs w:val="24"/>
        </w:rPr>
      </w:r>
    </w:p>
    <w:p>
      <w:pPr>
        <w:pStyle w:val="Normal"/>
        <w:widowControl/>
        <w:rPr>
          <w:sz w:val="24"/>
          <w:szCs w:val="24"/>
        </w:rPr>
      </w:pPr>
      <w:r>
        <w:rPr>
          <w:sz w:val="24"/>
          <w:szCs w:val="24"/>
        </w:rPr>
      </w:r>
      <w:r>
        <w:br w:type="page"/>
      </w:r>
    </w:p>
    <w:p>
      <w:pPr>
        <w:pStyle w:val="Normal"/>
        <w:suppressAutoHyphens w:val="true"/>
        <w:ind w:firstLine="5529" w:right="96"/>
        <w:rPr>
          <w:sz w:val="22"/>
          <w:szCs w:val="22"/>
        </w:rPr>
      </w:pPr>
      <w:r>
        <w:rPr>
          <w:sz w:val="22"/>
          <w:szCs w:val="22"/>
        </w:rPr>
        <w:t>Приложение № 3</w:t>
      </w:r>
    </w:p>
    <w:p>
      <w:pPr>
        <w:pStyle w:val="Normal"/>
        <w:suppressAutoHyphens w:val="true"/>
        <w:ind w:firstLine="5529" w:right="96"/>
        <w:rPr>
          <w:sz w:val="22"/>
          <w:szCs w:val="22"/>
        </w:rPr>
      </w:pPr>
      <w:r>
        <w:rPr>
          <w:sz w:val="22"/>
          <w:szCs w:val="22"/>
        </w:rPr>
        <w:t>к Договору поставки</w:t>
      </w:r>
    </w:p>
    <w:p>
      <w:pPr>
        <w:pStyle w:val="Normal"/>
        <w:ind w:firstLine="5529"/>
        <w:rPr>
          <w:bCs/>
          <w:sz w:val="22"/>
          <w:szCs w:val="22"/>
        </w:rPr>
      </w:pPr>
      <w:r>
        <w:rPr>
          <w:sz w:val="22"/>
          <w:szCs w:val="22"/>
        </w:rPr>
        <w:t>от «____» __________ 20 _ г. № _____</w:t>
      </w:r>
    </w:p>
    <w:p>
      <w:pPr>
        <w:pStyle w:val="Normal"/>
        <w:widowControl/>
        <w:shd w:val="clear" w:color="auto" w:fill="FFFFFF"/>
        <w:tabs>
          <w:tab w:val="clear" w:pos="709"/>
          <w:tab w:val="left" w:pos="1418" w:leader="none"/>
        </w:tabs>
        <w:spacing w:before="0" w:after="0"/>
        <w:contextualSpacing/>
        <w:jc w:val="center"/>
        <w:rPr>
          <w:bCs/>
          <w:sz w:val="24"/>
          <w:szCs w:val="24"/>
        </w:rPr>
      </w:pPr>
      <w:r>
        <w:rPr>
          <w:bCs/>
          <w:sz w:val="24"/>
          <w:szCs w:val="24"/>
        </w:rPr>
      </w:r>
    </w:p>
    <w:p>
      <w:pPr>
        <w:pStyle w:val="Normal"/>
        <w:widowControl/>
        <w:shd w:val="clear" w:color="auto" w:fill="FFFFFF"/>
        <w:tabs>
          <w:tab w:val="clear" w:pos="709"/>
          <w:tab w:val="left" w:pos="1418" w:leader="none"/>
        </w:tabs>
        <w:spacing w:before="0" w:after="0"/>
        <w:contextualSpacing/>
        <w:jc w:val="center"/>
        <w:rPr>
          <w:b/>
          <w:bCs/>
          <w:sz w:val="24"/>
          <w:szCs w:val="24"/>
        </w:rPr>
      </w:pPr>
      <w:r>
        <w:rPr>
          <w:b/>
          <w:bCs/>
          <w:sz w:val="24"/>
          <w:szCs w:val="24"/>
        </w:rPr>
      </w:r>
    </w:p>
    <w:p>
      <w:pPr>
        <w:pStyle w:val="Normal"/>
        <w:widowControl/>
        <w:shd w:val="clear" w:color="auto" w:fill="FFFFFF"/>
        <w:tabs>
          <w:tab w:val="clear" w:pos="709"/>
          <w:tab w:val="left" w:pos="1418" w:leader="none"/>
        </w:tabs>
        <w:spacing w:before="0" w:after="0"/>
        <w:contextualSpacing/>
        <w:jc w:val="center"/>
        <w:rPr>
          <w:b/>
          <w:bCs/>
          <w:sz w:val="24"/>
          <w:szCs w:val="24"/>
        </w:rPr>
      </w:pPr>
      <w:r>
        <w:rPr>
          <w:b/>
          <w:bCs/>
          <w:sz w:val="24"/>
          <w:szCs w:val="24"/>
        </w:rPr>
        <w:t>Критерии отбора Банков – Гарантов</w:t>
      </w:r>
      <w:r>
        <w:rPr>
          <w:rStyle w:val="FootnoteReference"/>
          <w:b/>
          <w:bCs/>
          <w:sz w:val="24"/>
          <w:szCs w:val="24"/>
        </w:rPr>
        <w:footnoteReference w:id="16"/>
      </w:r>
    </w:p>
    <w:p>
      <w:pPr>
        <w:pStyle w:val="Normal"/>
        <w:widowControl/>
        <w:shd w:val="clear" w:color="auto" w:fill="FFFFFF"/>
        <w:tabs>
          <w:tab w:val="clear" w:pos="709"/>
          <w:tab w:val="left" w:pos="1418" w:leader="none"/>
        </w:tabs>
        <w:spacing w:before="0" w:after="0"/>
        <w:contextualSpacing/>
        <w:jc w:val="center"/>
        <w:rPr>
          <w:b/>
          <w:bCs/>
          <w:sz w:val="24"/>
          <w:szCs w:val="24"/>
        </w:rPr>
      </w:pPr>
      <w:r>
        <w:rPr>
          <w:b/>
          <w:bCs/>
          <w:sz w:val="24"/>
          <w:szCs w:val="24"/>
        </w:rPr>
      </w:r>
    </w:p>
    <w:p>
      <w:pPr>
        <w:pStyle w:val="Normal"/>
        <w:widowControl/>
        <w:tabs>
          <w:tab w:val="clear" w:pos="709"/>
          <w:tab w:val="left" w:pos="1134" w:leader="none"/>
        </w:tabs>
        <w:ind w:firstLine="709"/>
        <w:jc w:val="both"/>
        <w:rPr>
          <w:sz w:val="24"/>
          <w:szCs w:val="24"/>
        </w:rPr>
      </w:pPr>
      <w:r>
        <w:rPr>
          <w:sz w:val="24"/>
          <w:szCs w:val="24"/>
        </w:rPr>
        <w:t>Банк-Гарант (кредитная организация), выдающий банковскую гарантию, должен входить в перечень Банков-Гарантов Группы РусГидро</w:t>
      </w:r>
      <w:r>
        <w:rPr>
          <w:rStyle w:val="FootnoteReference"/>
          <w:sz w:val="24"/>
          <w:szCs w:val="24"/>
          <w:vertAlign w:val="superscript"/>
          <w:lang w:val="en-GB"/>
        </w:rPr>
        <w:footnoteReference w:id="17"/>
      </w:r>
      <w:r>
        <w:rPr>
          <w:sz w:val="24"/>
          <w:szCs w:val="24"/>
        </w:rPr>
        <w:t>, а также соответствовать следующим критериям:</w:t>
      </w:r>
    </w:p>
    <w:p>
      <w:pPr>
        <w:pStyle w:val="Normal"/>
        <w:widowControl/>
        <w:numPr>
          <w:ilvl w:val="1"/>
          <w:numId w:val="12"/>
        </w:numPr>
        <w:tabs>
          <w:tab w:val="clear" w:pos="709"/>
          <w:tab w:val="left" w:pos="1134" w:leader="none"/>
        </w:tabs>
        <w:ind w:firstLine="710" w:left="0"/>
        <w:jc w:val="both"/>
        <w:rPr>
          <w:sz w:val="24"/>
          <w:szCs w:val="24"/>
        </w:rPr>
      </w:pPr>
      <w:r>
        <w:rPr>
          <w:sz w:val="24"/>
          <w:szCs w:val="24"/>
        </w:rPr>
        <w:t>Иметь действующую лицензию Центрального банка Российской Федерации (далее – ЦБ РФ), разрешающую выдачу банковских гарантий. При этом лицензия не должна быть приостановлена полностью или частично.</w:t>
      </w:r>
    </w:p>
    <w:p>
      <w:pPr>
        <w:pStyle w:val="Normal"/>
        <w:widowControl/>
        <w:numPr>
          <w:ilvl w:val="1"/>
          <w:numId w:val="12"/>
        </w:numPr>
        <w:tabs>
          <w:tab w:val="clear" w:pos="709"/>
          <w:tab w:val="left" w:pos="1134" w:leader="none"/>
        </w:tabs>
        <w:ind w:firstLine="710" w:left="0"/>
        <w:jc w:val="both"/>
        <w:rPr>
          <w:sz w:val="24"/>
          <w:szCs w:val="24"/>
        </w:rPr>
      </w:pPr>
      <w:r>
        <w:rPr>
          <w:sz w:val="24"/>
          <w:szCs w:val="24"/>
        </w:rPr>
        <w:t>Присутствовать в Перечне кредитных организаций, соответствующих требованиям, установленным ч. 1 ст. 2 Федерального закона от 21.07.2014 №</w:t>
      </w:r>
      <w:r>
        <w:rPr>
          <w:sz w:val="24"/>
          <w:szCs w:val="24"/>
          <w:lang w:val="en-GB"/>
        </w:rPr>
        <w:t> </w:t>
      </w:r>
      <w:r>
        <w:rPr>
          <w:sz w:val="24"/>
          <w:szCs w:val="24"/>
        </w:rPr>
        <w:t xml:space="preserve">213-ФЗ </w:t>
        <w:br/>
        <w: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w:t>
        <w:br/>
        <w:t>213-ФЗ).</w:t>
      </w:r>
    </w:p>
    <w:p>
      <w:pPr>
        <w:pStyle w:val="Normal"/>
        <w:widowControl/>
        <w:numPr>
          <w:ilvl w:val="1"/>
          <w:numId w:val="12"/>
        </w:numPr>
        <w:tabs>
          <w:tab w:val="clear" w:pos="709"/>
          <w:tab w:val="left" w:pos="1134" w:leader="none"/>
        </w:tabs>
        <w:ind w:firstLine="710" w:left="0"/>
        <w:jc w:val="both"/>
        <w:rPr>
          <w:sz w:val="24"/>
          <w:szCs w:val="24"/>
        </w:rPr>
      </w:pPr>
      <w:r>
        <w:rPr>
          <w:sz w:val="24"/>
          <w:szCs w:val="24"/>
        </w:rPr>
        <w:t>Иметь собственные средства (капитал) в размере не менее 25 млрд. рублей на 01 января текущего календарного года по данным отчетности (в соответствии с кодом формы по ОКУД 0409123</w:t>
      </w:r>
      <w:r>
        <w:rPr>
          <w:rFonts w:eastAsia="Times New Roman" w:cs="Times New Roman"/>
          <w:color w:val="auto"/>
          <w:kern w:val="0"/>
          <w:sz w:val="24"/>
          <w:szCs w:val="24"/>
          <w:lang w:val="ru-RU" w:eastAsia="ru-RU" w:bidi="ar-SA"/>
        </w:rPr>
        <w:t xml:space="preserve">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w:t>
      </w:r>
      <w:r>
        <w:rPr>
          <w:sz w:val="24"/>
          <w:szCs w:val="24"/>
        </w:rPr>
        <w:t>, опубликованной в информационно-телекоммуникационной сети «Интернет» (</w:t>
      </w:r>
      <w:hyperlink r:id="rId8">
        <w:r>
          <w:rPr>
            <w:rStyle w:val="Hyperlink"/>
            <w:rFonts w:eastAsia="Times New Roman" w:cs="Times New Roman"/>
            <w:color w:val="auto"/>
            <w:sz w:val="24"/>
            <w:szCs w:val="24"/>
            <w:lang w:val="ru-RU" w:eastAsia="ru-RU" w:bidi="ar-SA"/>
          </w:rPr>
          <w:t>www.cbr.ru</w:t>
        </w:r>
      </w:hyperlink>
      <w:r>
        <w:rPr>
          <w:sz w:val="24"/>
          <w:szCs w:val="24"/>
        </w:rPr>
        <w:t xml:space="preserve">) на официальных сайтах ЦБ РФ и/ или кредитной организации либо представленной кредитной </w:t>
      </w:r>
      <w:r>
        <w:rPr>
          <w:rFonts w:eastAsia="Times New Roman" w:cs="Times New Roman"/>
          <w:color w:val="auto"/>
          <w:kern w:val="0"/>
          <w:sz w:val="24"/>
          <w:szCs w:val="24"/>
          <w:lang w:val="ru-RU" w:eastAsia="ru-RU" w:bidi="ar-SA"/>
        </w:rPr>
        <w:t>организации</w:t>
      </w:r>
      <w:r>
        <w:rPr>
          <w:sz w:val="24"/>
          <w:szCs w:val="24"/>
        </w:rPr>
        <w:t xml:space="preserve"> Заказчику. </w:t>
      </w:r>
    </w:p>
    <w:p>
      <w:pPr>
        <w:pStyle w:val="Normal"/>
        <w:widowControl/>
        <w:numPr>
          <w:ilvl w:val="1"/>
          <w:numId w:val="12"/>
        </w:numPr>
        <w:tabs>
          <w:tab w:val="clear" w:pos="709"/>
          <w:tab w:val="left" w:pos="1134" w:leader="none"/>
        </w:tabs>
        <w:ind w:firstLine="710" w:left="0"/>
        <w:jc w:val="both"/>
        <w:rPr>
          <w:sz w:val="24"/>
          <w:szCs w:val="24"/>
        </w:rPr>
      </w:pPr>
      <w:r>
        <w:rPr>
          <w:sz w:val="24"/>
          <w:szCs w:val="24"/>
        </w:rPr>
        <w:t>Иметь кредитный рейтинг по национальной шкале не ниже уровня «</w:t>
      </w:r>
      <w:r>
        <w:rPr>
          <w:sz w:val="24"/>
          <w:szCs w:val="24"/>
          <w:lang w:val="en-GB"/>
        </w:rPr>
        <w:t>BBB</w:t>
      </w:r>
      <w:r>
        <w:rPr>
          <w:sz w:val="24"/>
          <w:szCs w:val="24"/>
        </w:rPr>
        <w:t>» рейтингового агентства АКРА или не ниже уровня «</w:t>
      </w:r>
      <w:r>
        <w:rPr>
          <w:sz w:val="24"/>
          <w:szCs w:val="24"/>
          <w:lang w:val="en-GB"/>
        </w:rPr>
        <w:t>ruBBB</w:t>
      </w:r>
      <w:r>
        <w:rPr>
          <w:sz w:val="24"/>
          <w:szCs w:val="24"/>
        </w:rPr>
        <w:t>»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w:t>
      </w:r>
      <w:r>
        <w:rPr>
          <w:sz w:val="24"/>
          <w:szCs w:val="24"/>
          <w:lang w:val="en-GB"/>
        </w:rPr>
        <w:t>Fitch</w:t>
      </w:r>
      <w:r>
        <w:rPr>
          <w:sz w:val="24"/>
          <w:szCs w:val="24"/>
        </w:rPr>
        <w:t>-</w:t>
      </w:r>
      <w:r>
        <w:rPr>
          <w:sz w:val="24"/>
          <w:szCs w:val="24"/>
          <w:lang w:val="en-GB"/>
        </w:rPr>
        <w:t>Ratings</w:t>
      </w:r>
      <w:r>
        <w:rPr>
          <w:sz w:val="24"/>
          <w:szCs w:val="24"/>
        </w:rPr>
        <w:t>» или «</w:t>
      </w:r>
      <w:r>
        <w:rPr>
          <w:sz w:val="24"/>
          <w:szCs w:val="24"/>
          <w:lang w:val="en-GB"/>
        </w:rPr>
        <w:t>Standard</w:t>
      </w:r>
      <w:r>
        <w:rPr>
          <w:sz w:val="24"/>
          <w:szCs w:val="24"/>
        </w:rPr>
        <w:t xml:space="preserve"> &amp; </w:t>
      </w:r>
      <w:r>
        <w:rPr>
          <w:sz w:val="24"/>
          <w:szCs w:val="24"/>
          <w:lang w:val="en-GB"/>
        </w:rPr>
        <w:t>Poor</w:t>
      </w:r>
      <w:r>
        <w:rPr>
          <w:sz w:val="24"/>
          <w:szCs w:val="24"/>
        </w:rPr>
        <w:t>'</w:t>
      </w:r>
      <w:r>
        <w:rPr>
          <w:sz w:val="24"/>
          <w:szCs w:val="24"/>
          <w:lang w:val="en-GB"/>
        </w:rPr>
        <w:t>s</w:t>
      </w:r>
      <w:r>
        <w:rPr>
          <w:sz w:val="24"/>
          <w:szCs w:val="24"/>
        </w:rPr>
        <w:t>» либо уровня «</w:t>
      </w:r>
      <w:r>
        <w:rPr>
          <w:sz w:val="24"/>
          <w:szCs w:val="24"/>
          <w:lang w:val="en-GB"/>
        </w:rPr>
        <w:t>B</w:t>
      </w:r>
      <w:r>
        <w:rPr>
          <w:sz w:val="24"/>
          <w:szCs w:val="24"/>
        </w:rPr>
        <w:t>а2» по классификации рейтингового агентства «</w:t>
      </w:r>
      <w:r>
        <w:rPr>
          <w:sz w:val="24"/>
          <w:szCs w:val="24"/>
          <w:lang w:val="en-GB"/>
        </w:rPr>
        <w:t>Moody</w:t>
      </w:r>
      <w:r>
        <w:rPr>
          <w:sz w:val="24"/>
          <w:szCs w:val="24"/>
        </w:rPr>
        <w:t>'</w:t>
      </w:r>
      <w:r>
        <w:rPr>
          <w:sz w:val="24"/>
          <w:szCs w:val="24"/>
          <w:lang w:val="en-GB"/>
        </w:rPr>
        <w:t>s</w:t>
      </w:r>
      <w:r>
        <w:rPr>
          <w:sz w:val="24"/>
          <w:szCs w:val="24"/>
        </w:rPr>
        <w:t xml:space="preserve"> </w:t>
      </w:r>
      <w:r>
        <w:rPr>
          <w:sz w:val="24"/>
          <w:szCs w:val="24"/>
          <w:lang w:val="en-GB"/>
        </w:rPr>
        <w:t>Investors</w:t>
      </w:r>
      <w:r>
        <w:rPr>
          <w:sz w:val="24"/>
          <w:szCs w:val="24"/>
        </w:rPr>
        <w:t xml:space="preserve"> </w:t>
      </w:r>
      <w:r>
        <w:rPr>
          <w:sz w:val="24"/>
          <w:szCs w:val="24"/>
          <w:lang w:val="en-GB"/>
        </w:rPr>
        <w:t>Service</w:t>
      </w:r>
      <w:r>
        <w:rPr>
          <w:sz w:val="24"/>
          <w:szCs w:val="24"/>
        </w:rPr>
        <w:t>»</w:t>
      </w:r>
      <w:r>
        <w:rPr>
          <w:rStyle w:val="FootnoteReference"/>
          <w:sz w:val="24"/>
          <w:szCs w:val="24"/>
          <w:vertAlign w:val="superscript"/>
          <w:lang w:val="en-GB"/>
        </w:rPr>
        <w:footnoteReference w:id="18"/>
      </w:r>
      <w:r>
        <w:rPr>
          <w:sz w:val="24"/>
          <w:szCs w:val="24"/>
        </w:rPr>
        <w:t xml:space="preserve">. </w:t>
      </w:r>
    </w:p>
    <w:p>
      <w:pPr>
        <w:pStyle w:val="Normal"/>
        <w:widowControl/>
        <w:numPr>
          <w:ilvl w:val="1"/>
          <w:numId w:val="12"/>
        </w:numPr>
        <w:tabs>
          <w:tab w:val="clear" w:pos="709"/>
          <w:tab w:val="left" w:pos="1134" w:leader="none"/>
        </w:tabs>
        <w:ind w:firstLine="710" w:left="0"/>
        <w:jc w:val="both"/>
        <w:rPr>
          <w:sz w:val="24"/>
          <w:szCs w:val="24"/>
        </w:rPr>
      </w:pPr>
      <w:r>
        <w:rPr>
          <w:sz w:val="24"/>
          <w:szCs w:val="24"/>
        </w:rPr>
        <w:t>Участвовать в системе обязательного страхования вкладов в банках Российской Федерации в соответствии с Федеральным законом от 23.12.2003 №</w:t>
      </w:r>
      <w:r>
        <w:rPr>
          <w:sz w:val="24"/>
          <w:szCs w:val="24"/>
          <w:lang w:val="en-GB"/>
        </w:rPr>
        <w:t> </w:t>
      </w:r>
      <w:r>
        <w:rPr>
          <w:sz w:val="24"/>
          <w:szCs w:val="24"/>
        </w:rPr>
        <w:t>177-ФЗ «О страховании вкладов в банках Российской Федерации»</w:t>
      </w:r>
      <w:r>
        <w:rPr>
          <w:rStyle w:val="FootnoteReference"/>
          <w:sz w:val="24"/>
          <w:szCs w:val="24"/>
          <w:vertAlign w:val="superscript"/>
          <w:lang w:val="en-GB"/>
        </w:rPr>
        <w:footnoteReference w:id="19"/>
      </w:r>
      <w:r>
        <w:rPr>
          <w:sz w:val="24"/>
          <w:szCs w:val="24"/>
        </w:rPr>
        <w:t>.</w:t>
      </w:r>
    </w:p>
    <w:p>
      <w:pPr>
        <w:pStyle w:val="Normal"/>
        <w:widowControl/>
        <w:numPr>
          <w:ilvl w:val="1"/>
          <w:numId w:val="12"/>
        </w:numPr>
        <w:tabs>
          <w:tab w:val="clear" w:pos="709"/>
          <w:tab w:val="left" w:pos="1134" w:leader="none"/>
        </w:tabs>
        <w:ind w:firstLine="710" w:left="0"/>
        <w:jc w:val="both"/>
        <w:rPr>
          <w:sz w:val="24"/>
          <w:szCs w:val="24"/>
        </w:rPr>
      </w:pPr>
      <w:r>
        <w:rPr>
          <w:sz w:val="24"/>
          <w:szCs w:val="24"/>
        </w:rPr>
        <w:t>Не находиться в процессе финансового оздоровления (санации), а также в Реестре банков, находящихся в процессе финансового оздоровления (опубликован в разделе «Оздоровление банков» сайта Государственной корпорации «Агентство по страхованию вкладов» (</w:t>
      </w:r>
      <w:r>
        <w:rPr>
          <w:sz w:val="24"/>
          <w:szCs w:val="24"/>
          <w:lang w:val="en-GB"/>
        </w:rPr>
        <w:t>http</w:t>
      </w:r>
      <w:r>
        <w:rPr>
          <w:sz w:val="24"/>
          <w:szCs w:val="24"/>
        </w:rPr>
        <w:t>://</w:t>
      </w:r>
      <w:r>
        <w:rPr>
          <w:sz w:val="24"/>
          <w:szCs w:val="24"/>
          <w:lang w:val="en-GB"/>
        </w:rPr>
        <w:t>www</w:t>
      </w:r>
      <w:r>
        <w:rPr>
          <w:sz w:val="24"/>
          <w:szCs w:val="24"/>
        </w:rPr>
        <w:t>.</w:t>
      </w:r>
      <w:r>
        <w:rPr>
          <w:sz w:val="24"/>
          <w:szCs w:val="24"/>
          <w:lang w:val="en-GB"/>
        </w:rPr>
        <w:t>asv</w:t>
      </w:r>
      <w:r>
        <w:rPr>
          <w:sz w:val="24"/>
          <w:szCs w:val="24"/>
        </w:rPr>
        <w:t>.</w:t>
      </w:r>
      <w:r>
        <w:rPr>
          <w:sz w:val="24"/>
          <w:szCs w:val="24"/>
          <w:lang w:val="en-GB"/>
        </w:rPr>
        <w:t>org</w:t>
      </w:r>
      <w:r>
        <w:rPr>
          <w:sz w:val="24"/>
          <w:szCs w:val="24"/>
        </w:rPr>
        <w:t>.</w:t>
      </w:r>
      <w:r>
        <w:rPr>
          <w:sz w:val="24"/>
          <w:szCs w:val="24"/>
          <w:lang w:val="en-GB"/>
        </w:rPr>
        <w:t>ru</w:t>
      </w:r>
      <w:r>
        <w:rPr>
          <w:sz w:val="24"/>
          <w:szCs w:val="24"/>
        </w:rPr>
        <w:t>))».</w:t>
      </w:r>
    </w:p>
    <w:p>
      <w:pPr>
        <w:pStyle w:val="Normal"/>
        <w:widowControl/>
        <w:numPr>
          <w:ilvl w:val="1"/>
          <w:numId w:val="12"/>
        </w:numPr>
        <w:tabs>
          <w:tab w:val="clear" w:pos="709"/>
          <w:tab w:val="left" w:pos="1134" w:leader="none"/>
        </w:tabs>
        <w:ind w:firstLine="710" w:left="0"/>
        <w:jc w:val="both"/>
        <w:rPr>
          <w:sz w:val="24"/>
          <w:szCs w:val="24"/>
        </w:rPr>
      </w:pPr>
      <w:r>
        <w:rPr>
          <w:sz w:val="24"/>
          <w:szCs w:val="24"/>
        </w:rPr>
        <w:t>Не иметь просроченную задолженность перед Заказчиком и компаниями Группы РусГидро.</w:t>
      </w:r>
    </w:p>
    <w:p>
      <w:pPr>
        <w:pStyle w:val="Normal"/>
        <w:widowControl/>
        <w:numPr>
          <w:ilvl w:val="1"/>
          <w:numId w:val="12"/>
        </w:numPr>
        <w:tabs>
          <w:tab w:val="clear" w:pos="709"/>
          <w:tab w:val="left" w:pos="1134" w:leader="none"/>
        </w:tabs>
        <w:ind w:firstLine="710" w:left="0"/>
        <w:jc w:val="both"/>
        <w:rPr>
          <w:sz w:val="24"/>
          <w:szCs w:val="24"/>
        </w:rPr>
      </w:pPr>
      <w:r>
        <w:rPr>
          <w:sz w:val="24"/>
          <w:szCs w:val="24"/>
        </w:rPr>
        <w:t>Присутствовать (иметь отделение, филиал) по месту нахождения Заказчика, его обособленного подразделения или Филиала, для нужд которого заключается Договор</w:t>
      </w:r>
      <w:r>
        <w:rPr>
          <w:rStyle w:val="FootnoteReference"/>
          <w:sz w:val="24"/>
          <w:szCs w:val="24"/>
          <w:vertAlign w:val="superscript"/>
          <w:lang w:val="en-GB"/>
        </w:rPr>
        <w:footnoteReference w:id="20"/>
      </w:r>
      <w:r>
        <w:rPr>
          <w:sz w:val="24"/>
          <w:szCs w:val="24"/>
        </w:rPr>
        <w:t>.</w:t>
      </w:r>
    </w:p>
    <w:p>
      <w:pPr>
        <w:pStyle w:val="Normal"/>
        <w:widowControl/>
        <w:numPr>
          <w:ilvl w:val="1"/>
          <w:numId w:val="12"/>
        </w:numPr>
        <w:tabs>
          <w:tab w:val="clear" w:pos="709"/>
          <w:tab w:val="left" w:pos="1134" w:leader="none"/>
        </w:tabs>
        <w:ind w:firstLine="710" w:left="0"/>
        <w:jc w:val="both"/>
        <w:rPr>
          <w:sz w:val="24"/>
          <w:szCs w:val="24"/>
        </w:rPr>
      </w:pPr>
      <w:r>
        <w:rPr>
          <w:sz w:val="24"/>
          <w:szCs w:val="24"/>
        </w:rPr>
        <w:t xml:space="preserve">Требования, установленные пунктами 2 – 4 настоящих Критериев, </w:t>
        <w:br/>
        <w:t>не распространяются на кредитные организации:</w:t>
      </w:r>
    </w:p>
    <w:p>
      <w:pPr>
        <w:pStyle w:val="Normal"/>
        <w:widowControl/>
        <w:numPr>
          <w:ilvl w:val="1"/>
          <w:numId w:val="13"/>
        </w:numPr>
        <w:tabs>
          <w:tab w:val="clear" w:pos="709"/>
          <w:tab w:val="left" w:pos="1134" w:leader="none"/>
        </w:tabs>
        <w:ind w:firstLine="709" w:left="0"/>
        <w:jc w:val="both"/>
        <w:rPr>
          <w:sz w:val="24"/>
          <w:szCs w:val="24"/>
        </w:rPr>
      </w:pPr>
      <w:r>
        <w:rPr>
          <w:sz w:val="24"/>
          <w:szCs w:val="24"/>
        </w:rPr>
        <w:t xml:space="preserve"> </w:t>
      </w:r>
      <w:r>
        <w:rPr>
          <w:sz w:val="24"/>
          <w:szCs w:val="24"/>
        </w:rPr>
        <w:t xml:space="preserve">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w:t>
        <w:br/>
        <w:t xml:space="preserve">в которой могут размещаться средства федерального бюджета на банковских депозитах </w:t>
        <w:br/>
        <w:t>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pPr>
        <w:pStyle w:val="Normal"/>
        <w:widowControl/>
        <w:numPr>
          <w:ilvl w:val="1"/>
          <w:numId w:val="13"/>
        </w:numPr>
        <w:tabs>
          <w:tab w:val="clear" w:pos="709"/>
          <w:tab w:val="left" w:pos="1134" w:leader="none"/>
        </w:tabs>
        <w:ind w:firstLine="709" w:left="0"/>
        <w:jc w:val="both"/>
        <w:rPr>
          <w:sz w:val="24"/>
          <w:szCs w:val="24"/>
        </w:rPr>
      </w:pPr>
      <w:r>
        <w:rPr>
          <w:sz w:val="24"/>
          <w:szCs w:val="24"/>
        </w:rPr>
        <w:t xml:space="preserve"> </w:t>
      </w:r>
      <w:r>
        <w:rPr>
          <w:sz w:val="24"/>
          <w:szCs w:val="24"/>
        </w:rPr>
        <w:t xml:space="preserve">Основной целью деятельности которых является реализация программ поддержки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w:t>
        <w:br/>
        <w:t>и Указом Президента Российской Федерации от 05.06.2015 № 287 «О мерах по дальнейшему развитию малого и среднего предпринимательства».</w:t>
      </w:r>
    </w:p>
    <w:p>
      <w:pPr>
        <w:pStyle w:val="Normal"/>
        <w:widowControl/>
        <w:numPr>
          <w:ilvl w:val="1"/>
          <w:numId w:val="13"/>
        </w:numPr>
        <w:tabs>
          <w:tab w:val="clear" w:pos="709"/>
          <w:tab w:val="left" w:pos="1134" w:leader="none"/>
        </w:tabs>
        <w:ind w:firstLine="709" w:left="0"/>
        <w:jc w:val="both"/>
        <w:rPr>
          <w:sz w:val="24"/>
          <w:szCs w:val="24"/>
        </w:rPr>
      </w:pPr>
      <w:r>
        <w:rPr>
          <w:sz w:val="24"/>
          <w:szCs w:val="24"/>
        </w:rPr>
        <w:t xml:space="preserve"> </w:t>
      </w:r>
      <w:r>
        <w:rPr>
          <w:sz w:val="24"/>
          <w:szCs w:val="24"/>
        </w:rPr>
        <w:t>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в качестве уполномоченной кредитной организации, ответственной за проведение расчетов между субъектами ОРЭМ.</w:t>
      </w:r>
    </w:p>
    <w:p>
      <w:pPr>
        <w:pStyle w:val="Normal"/>
        <w:widowControl/>
        <w:numPr>
          <w:ilvl w:val="1"/>
          <w:numId w:val="13"/>
        </w:numPr>
        <w:tabs>
          <w:tab w:val="clear" w:pos="709"/>
          <w:tab w:val="left" w:pos="1134" w:leader="none"/>
        </w:tabs>
        <w:ind w:firstLine="709" w:left="0"/>
        <w:jc w:val="both"/>
        <w:rPr>
          <w:sz w:val="24"/>
          <w:szCs w:val="24"/>
          <w:lang w:val="en-GB"/>
        </w:rPr>
      </w:pPr>
      <w:r>
        <w:rPr>
          <w:sz w:val="24"/>
          <w:szCs w:val="24"/>
        </w:rPr>
        <w:t xml:space="preserve"> </w:t>
      </w:r>
      <w:r>
        <w:rPr>
          <w:sz w:val="24"/>
          <w:szCs w:val="24"/>
          <w:lang w:val="en-GB"/>
        </w:rPr>
        <w:t>ВЭБ.РФ.</w:t>
      </w:r>
    </w:p>
    <w:p>
      <w:pPr>
        <w:pStyle w:val="Normal"/>
        <w:numPr>
          <w:ilvl w:val="1"/>
          <w:numId w:val="13"/>
        </w:numPr>
        <w:tabs>
          <w:tab w:val="clear" w:pos="709"/>
          <w:tab w:val="left" w:pos="1134" w:leader="none"/>
        </w:tabs>
        <w:spacing w:lineRule="auto" w:line="240"/>
        <w:ind w:firstLine="709" w:left="0"/>
        <w:rPr>
          <w:sz w:val="24"/>
          <w:szCs w:val="24"/>
        </w:rPr>
      </w:pPr>
      <w:r>
        <w:rPr>
          <w:sz w:val="24"/>
          <w:szCs w:val="24"/>
          <w:lang w:val="en-GB"/>
        </w:rPr>
        <w:t>Нерезидентов Российской Федерации.</w:t>
      </w:r>
    </w:p>
    <w:p>
      <w:pPr>
        <w:pStyle w:val="Normal"/>
        <w:widowControl/>
        <w:numPr>
          <w:ilvl w:val="1"/>
          <w:numId w:val="12"/>
        </w:numPr>
        <w:tabs>
          <w:tab w:val="clear" w:pos="709"/>
          <w:tab w:val="left" w:pos="1134" w:leader="none"/>
        </w:tabs>
        <w:ind w:firstLine="710" w:left="0"/>
        <w:jc w:val="both"/>
        <w:rPr>
          <w:sz w:val="24"/>
          <w:szCs w:val="24"/>
        </w:rPr>
      </w:pPr>
      <w:r>
        <w:rPr>
          <w:sz w:val="24"/>
          <w:szCs w:val="24"/>
        </w:rPr>
        <w:t>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РусГидро, не должна превышать размер лимита риска, определяемого по формуле:</w:t>
      </w:r>
    </w:p>
    <w:p>
      <w:pPr>
        <w:pStyle w:val="Normal"/>
        <w:widowControl/>
        <w:tabs>
          <w:tab w:val="clear" w:pos="709"/>
          <w:tab w:val="left" w:pos="1134" w:leader="none"/>
        </w:tabs>
        <w:ind w:firstLine="709"/>
        <w:jc w:val="center"/>
        <w:rPr>
          <w:sz w:val="24"/>
          <w:szCs w:val="24"/>
          <w:lang w:val="en-GB"/>
        </w:rPr>
      </w:pPr>
      <w:r>
        <w:rPr>
          <w:sz w:val="24"/>
          <w:szCs w:val="24"/>
          <w:lang w:val="en-GB"/>
        </w:rPr>
      </w:r>
    </w:p>
    <w:p>
      <w:pPr>
        <w:pStyle w:val="Normal"/>
        <w:widowControl/>
        <w:tabs>
          <w:tab w:val="clear" w:pos="709"/>
          <w:tab w:val="left" w:pos="1134" w:leader="none"/>
        </w:tabs>
        <w:ind w:firstLine="709"/>
        <w:jc w:val="center"/>
        <w:rPr>
          <w:sz w:val="24"/>
          <w:szCs w:val="24"/>
          <w:lang w:val="en-GB"/>
        </w:rPr>
      </w:pPr>
      <w:r>
        <w:rPr>
          <w:b/>
          <w:i/>
          <w:sz w:val="24"/>
          <w:szCs w:val="24"/>
          <w:lang w:val="en-GB"/>
        </w:rPr>
        <w:t>Lim</w:t>
      </w:r>
      <w:r>
        <w:rPr>
          <w:b/>
          <w:i/>
          <w:sz w:val="24"/>
          <w:szCs w:val="24"/>
          <w:vertAlign w:val="subscript"/>
          <w:lang w:val="en-GB"/>
        </w:rPr>
        <w:t>Ai</w:t>
      </w:r>
      <w:r>
        <w:rPr>
          <w:b/>
          <w:i/>
          <w:sz w:val="24"/>
          <w:szCs w:val="24"/>
          <w:lang w:val="en-GB"/>
        </w:rPr>
        <w:t xml:space="preserve">  = r</w:t>
      </w:r>
      <w:r>
        <w:rPr>
          <w:b/>
          <w:i/>
          <w:sz w:val="24"/>
          <w:szCs w:val="24"/>
          <w:vertAlign w:val="subscript"/>
          <w:lang w:val="en-GB"/>
        </w:rPr>
        <w:t>i</w:t>
      </w:r>
      <w:r>
        <w:rPr>
          <w:b/>
          <w:i/>
          <w:sz w:val="24"/>
          <w:szCs w:val="24"/>
          <w:lang w:val="en-GB"/>
        </w:rPr>
        <w:t xml:space="preserve"> × СK</w:t>
      </w:r>
      <w:r>
        <w:rPr>
          <w:b/>
          <w:i/>
          <w:sz w:val="24"/>
          <w:szCs w:val="24"/>
          <w:vertAlign w:val="subscript"/>
          <w:lang w:val="en-GB"/>
        </w:rPr>
        <w:t>i</w:t>
      </w:r>
      <w:r>
        <w:rPr>
          <w:sz w:val="24"/>
          <w:szCs w:val="24"/>
          <w:lang w:val="en-GB"/>
        </w:rPr>
        <w:t>, где</w:t>
      </w:r>
    </w:p>
    <w:p>
      <w:pPr>
        <w:pStyle w:val="Normal"/>
        <w:widowControl/>
        <w:tabs>
          <w:tab w:val="clear" w:pos="709"/>
          <w:tab w:val="left" w:pos="1134" w:leader="none"/>
        </w:tabs>
        <w:ind w:firstLine="709"/>
        <w:jc w:val="center"/>
        <w:rPr>
          <w:sz w:val="24"/>
          <w:szCs w:val="24"/>
          <w:lang w:val="en-GB"/>
        </w:rPr>
      </w:pPr>
      <w:r>
        <w:rPr>
          <w:sz w:val="24"/>
          <w:szCs w:val="24"/>
          <w:lang w:val="en-GB"/>
        </w:rPr>
      </w:r>
    </w:p>
    <w:p>
      <w:pPr>
        <w:pStyle w:val="Normal"/>
        <w:widowControl/>
        <w:tabs>
          <w:tab w:val="clear" w:pos="709"/>
          <w:tab w:val="left" w:pos="1134" w:leader="none"/>
        </w:tabs>
        <w:ind w:firstLine="709"/>
        <w:jc w:val="center"/>
        <w:rPr>
          <w:sz w:val="24"/>
          <w:szCs w:val="24"/>
          <w:lang w:val="en-GB"/>
        </w:rPr>
      </w:pPr>
      <w:r>
        <w:rPr>
          <w:sz w:val="24"/>
          <w:szCs w:val="24"/>
          <w:lang w:val="en-GB"/>
        </w:rPr>
      </w:r>
    </w:p>
    <w:tbl>
      <w:tblPr>
        <w:tblW w:w="9606"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817"/>
        <w:gridCol w:w="280"/>
        <w:gridCol w:w="8509"/>
      </w:tblGrid>
      <w:tr>
        <w:trPr>
          <w:trHeight w:val="426" w:hRule="atLeast"/>
        </w:trPr>
        <w:tc>
          <w:tcPr>
            <w:tcW w:w="817" w:type="dxa"/>
            <w:tcBorders/>
            <w:shd w:color="auto" w:fill="auto" w:val="clear"/>
          </w:tcPr>
          <w:p>
            <w:pPr>
              <w:pStyle w:val="Normal"/>
              <w:widowControl w:val="false"/>
              <w:spacing w:lineRule="auto" w:line="240"/>
              <w:ind w:hanging="0" w:left="0" w:right="-108"/>
              <w:rPr>
                <w:color w:val="000000"/>
                <w:sz w:val="24"/>
                <w:szCs w:val="24"/>
              </w:rPr>
            </w:pPr>
            <w:r>
              <w:rPr>
                <w:b/>
                <w:i/>
                <w:color w:val="000000"/>
                <w:sz w:val="24"/>
                <w:szCs w:val="24"/>
              </w:rPr>
              <w:t>Lim</w:t>
            </w:r>
            <w:r>
              <w:rPr>
                <w:b/>
                <w:i/>
                <w:color w:val="000000"/>
                <w:sz w:val="24"/>
                <w:szCs w:val="24"/>
                <w:vertAlign w:val="subscript"/>
                <w:lang w:val="en-US"/>
              </w:rPr>
              <w:t xml:space="preserve">Ai </w:t>
            </w:r>
          </w:p>
        </w:tc>
        <w:tc>
          <w:tcPr>
            <w:tcW w:w="280" w:type="dxa"/>
            <w:tcBorders/>
            <w:shd w:color="auto" w:fill="auto" w:val="clear"/>
          </w:tcPr>
          <w:p>
            <w:pPr>
              <w:pStyle w:val="Normal"/>
              <w:widowControl w:val="false"/>
              <w:spacing w:lineRule="auto" w:line="240"/>
              <w:ind w:hanging="317" w:left="317" w:right="-108"/>
              <w:rPr>
                <w:color w:val="000000"/>
                <w:sz w:val="24"/>
                <w:szCs w:val="24"/>
              </w:rPr>
            </w:pPr>
            <w:r>
              <w:rPr>
                <w:sz w:val="24"/>
                <w:szCs w:val="24"/>
              </w:rPr>
              <w:t xml:space="preserve">-  </w:t>
            </w:r>
          </w:p>
        </w:tc>
        <w:tc>
          <w:tcPr>
            <w:tcW w:w="8509" w:type="dxa"/>
            <w:tcBorders/>
            <w:shd w:color="auto" w:fill="auto" w:val="clear"/>
          </w:tcPr>
          <w:p>
            <w:pPr>
              <w:pStyle w:val="Normal"/>
              <w:widowControl w:val="false"/>
              <w:spacing w:lineRule="auto" w:line="240"/>
              <w:ind w:firstLine="567" w:left="-75" w:right="-108"/>
              <w:rPr>
                <w:color w:val="000000"/>
                <w:sz w:val="24"/>
                <w:szCs w:val="24"/>
              </w:rPr>
            </w:pPr>
            <w:r>
              <w:rPr>
                <w:rFonts w:eastAsia="Times New Roman" w:cs="Times New Roman"/>
                <w:sz w:val="24"/>
                <w:szCs w:val="24"/>
                <w:lang w:eastAsia="ru-RU"/>
              </w:rPr>
              <w:t>Лимит риска для i-ой кредитной организации</w:t>
            </w:r>
            <w:r>
              <w:rPr>
                <w:rStyle w:val="FootnoteReference"/>
                <w:rFonts w:eastAsia="Times New Roman" w:cs="Times New Roman"/>
                <w:sz w:val="24"/>
                <w:szCs w:val="24"/>
                <w:lang w:eastAsia="ru-RU"/>
              </w:rPr>
              <w:footnoteReference w:id="21"/>
            </w:r>
            <w:r>
              <w:rPr>
                <w:rFonts w:eastAsia="Times New Roman" w:cs="Times New Roman"/>
                <w:sz w:val="24"/>
                <w:szCs w:val="24"/>
                <w:lang w:eastAsia="ru-RU"/>
              </w:rPr>
              <w:t>.</w:t>
            </w:r>
          </w:p>
        </w:tc>
      </w:tr>
      <w:tr>
        <w:trPr>
          <w:trHeight w:val="280" w:hRule="atLeast"/>
        </w:trPr>
        <w:tc>
          <w:tcPr>
            <w:tcW w:w="817" w:type="dxa"/>
            <w:tcBorders/>
            <w:shd w:color="auto" w:fill="auto" w:val="clear"/>
          </w:tcPr>
          <w:p>
            <w:pPr>
              <w:pStyle w:val="Normal"/>
              <w:widowControl w:val="false"/>
              <w:spacing w:lineRule="auto" w:line="240"/>
              <w:ind w:hanging="0" w:left="0" w:right="-108"/>
              <w:rPr>
                <w:b/>
                <w:i/>
                <w:i/>
                <w:color w:val="000000"/>
                <w:sz w:val="24"/>
                <w:szCs w:val="24"/>
                <w:vertAlign w:val="subscript"/>
              </w:rPr>
            </w:pPr>
            <w:r>
              <w:rPr>
                <w:b/>
                <w:i/>
                <w:color w:val="000000"/>
                <w:sz w:val="24"/>
                <w:szCs w:val="24"/>
              </w:rPr>
              <w:t>С</w:t>
            </w:r>
            <w:r>
              <w:rPr>
                <w:b/>
                <w:i/>
                <w:color w:val="000000"/>
                <w:sz w:val="24"/>
                <w:szCs w:val="24"/>
                <w:lang w:val="en-US"/>
              </w:rPr>
              <w:t>K</w:t>
            </w:r>
            <w:r>
              <w:rPr>
                <w:b/>
                <w:i/>
                <w:color w:val="000000"/>
                <w:sz w:val="24"/>
                <w:szCs w:val="24"/>
                <w:vertAlign w:val="subscript"/>
                <w:lang w:val="en-US"/>
              </w:rPr>
              <w:t>i</w:t>
            </w:r>
          </w:p>
          <w:p>
            <w:pPr>
              <w:pStyle w:val="Normal"/>
              <w:widowControl w:val="false"/>
              <w:spacing w:lineRule="auto" w:line="240"/>
              <w:ind w:firstLine="567" w:left="0" w:right="-108"/>
              <w:rPr>
                <w:color w:val="000000"/>
                <w:sz w:val="24"/>
                <w:szCs w:val="24"/>
              </w:rPr>
            </w:pPr>
            <w:r>
              <w:rPr>
                <w:color w:val="000000"/>
                <w:sz w:val="24"/>
                <w:szCs w:val="24"/>
              </w:rPr>
            </w:r>
          </w:p>
        </w:tc>
        <w:tc>
          <w:tcPr>
            <w:tcW w:w="280" w:type="dxa"/>
            <w:tcBorders/>
            <w:shd w:color="auto" w:fill="auto" w:val="clear"/>
          </w:tcPr>
          <w:p>
            <w:pPr>
              <w:pStyle w:val="Normal"/>
              <w:widowControl w:val="false"/>
              <w:spacing w:lineRule="auto" w:line="240"/>
              <w:ind w:hanging="0" w:left="0" w:right="-108"/>
              <w:rPr>
                <w:color w:val="000000"/>
                <w:sz w:val="24"/>
                <w:szCs w:val="24"/>
              </w:rPr>
            </w:pPr>
            <w:r>
              <w:rPr>
                <w:sz w:val="24"/>
                <w:szCs w:val="24"/>
              </w:rPr>
              <w:t>-</w:t>
            </w:r>
            <w:r>
              <w:rPr>
                <w:color w:val="000000"/>
                <w:sz w:val="24"/>
                <w:szCs w:val="24"/>
              </w:rPr>
              <w:t xml:space="preserve">  </w:t>
            </w:r>
          </w:p>
        </w:tc>
        <w:tc>
          <w:tcPr>
            <w:tcW w:w="8509" w:type="dxa"/>
            <w:tcBorders/>
            <w:shd w:color="auto" w:fill="auto" w:val="clear"/>
          </w:tcPr>
          <w:p>
            <w:pPr>
              <w:pStyle w:val="Normal"/>
              <w:widowControl w:val="false"/>
              <w:spacing w:lineRule="auto" w:line="240"/>
              <w:ind w:firstLine="567" w:left="-75" w:right="-108"/>
              <w:rPr>
                <w:color w:val="000000"/>
                <w:sz w:val="24"/>
                <w:szCs w:val="24"/>
              </w:rPr>
            </w:pPr>
            <w:r>
              <w:rPr>
                <w:rFonts w:eastAsia="Times New Roman" w:cs="Times New Roman"/>
                <w:sz w:val="24"/>
                <w:szCs w:val="24"/>
                <w:lang w:eastAsia="ru-RU"/>
              </w:rPr>
              <w:t xml:space="preserve">размер собственных средств (капитала) i-ой кредитной организации </w:t>
              <w:br/>
              <w:t xml:space="preserve">на 1 января текущего календарного года по данным отчетности </w:t>
              <w:br/>
              <w:t>(в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9">
              <w:r>
                <w:rPr>
                  <w:rStyle w:val="Hyperlink"/>
                  <w:rFonts w:eastAsia="Times New Roman" w:cs="Times New Roman"/>
                  <w:sz w:val="24"/>
                  <w:szCs w:val="24"/>
                  <w:lang w:eastAsia="ru-RU"/>
                </w:rPr>
                <w:t>www.cbr.ru</w:t>
              </w:r>
            </w:hyperlink>
            <w:r>
              <w:rPr>
                <w:rFonts w:eastAsia="Times New Roman" w:cs="Times New Roman"/>
                <w:sz w:val="24"/>
                <w:szCs w:val="24"/>
                <w:lang w:eastAsia="ru-RU"/>
              </w:rPr>
              <w:t>) на официальных сайтах ЦБ РФ и / или кредитной организации либо представленной кредитной организацией Обществу;</w:t>
            </w:r>
          </w:p>
        </w:tc>
      </w:tr>
      <w:tr>
        <w:trPr>
          <w:trHeight w:val="3894" w:hRule="atLeast"/>
        </w:trPr>
        <w:tc>
          <w:tcPr>
            <w:tcW w:w="817" w:type="dxa"/>
            <w:tcBorders/>
          </w:tcPr>
          <w:p>
            <w:pPr>
              <w:pStyle w:val="Normal"/>
              <w:widowControl w:val="false"/>
              <w:spacing w:lineRule="auto" w:line="240"/>
              <w:ind w:hanging="0" w:left="0" w:right="-108"/>
              <w:rPr>
                <w:b/>
                <w:i/>
                <w:i/>
                <w:color w:val="000000"/>
                <w:sz w:val="24"/>
                <w:szCs w:val="24"/>
              </w:rPr>
            </w:pPr>
            <w:r>
              <w:rPr>
                <w:b/>
                <w:i/>
                <w:color w:val="000000"/>
                <w:sz w:val="24"/>
                <w:szCs w:val="24"/>
              </w:rPr>
              <w:t>r</w:t>
            </w:r>
            <w:r>
              <w:rPr>
                <w:b/>
                <w:i/>
                <w:color w:val="000000"/>
                <w:sz w:val="24"/>
                <w:szCs w:val="24"/>
                <w:vertAlign w:val="subscript"/>
              </w:rPr>
              <w:t>i</w:t>
            </w:r>
          </w:p>
        </w:tc>
        <w:tc>
          <w:tcPr>
            <w:tcW w:w="280" w:type="dxa"/>
            <w:tcBorders/>
          </w:tcPr>
          <w:p>
            <w:pPr>
              <w:pStyle w:val="Normal"/>
              <w:widowControl w:val="false"/>
              <w:spacing w:lineRule="auto" w:line="240"/>
              <w:ind w:hanging="0" w:left="0" w:right="-108"/>
              <w:rPr>
                <w:sz w:val="24"/>
                <w:szCs w:val="24"/>
              </w:rPr>
            </w:pPr>
            <w:r>
              <w:rPr>
                <w:sz w:val="24"/>
                <w:szCs w:val="24"/>
              </w:rPr>
              <w:t>-</w:t>
            </w:r>
          </w:p>
        </w:tc>
        <w:tc>
          <w:tcPr>
            <w:tcW w:w="8509" w:type="dxa"/>
            <w:tcBorders/>
          </w:tcPr>
          <w:p>
            <w:pPr>
              <w:pStyle w:val="Normal"/>
              <w:widowControl w:val="false"/>
              <w:tabs>
                <w:tab w:val="left" w:pos="709" w:leader="none"/>
                <w:tab w:val="left" w:pos="851" w:leader="none"/>
              </w:tabs>
              <w:suppressAutoHyphens w:val="true"/>
              <w:overflowPunct w:val="false"/>
              <w:bidi w:val="0"/>
              <w:spacing w:lineRule="auto" w:line="240" w:before="0" w:after="0"/>
              <w:ind w:hanging="0" w:left="680" w:right="0"/>
              <w:jc w:val="both"/>
              <w:rPr/>
            </w:pPr>
            <w:r>
              <w:rPr>
                <w:rFonts w:eastAsia="Times New Roman" w:cs="Times New Roman"/>
                <w:sz w:val="24"/>
                <w:szCs w:val="24"/>
                <w:lang w:eastAsia="ru-RU"/>
              </w:rPr>
              <w:t>рейтинговый коэффициент</w:t>
            </w:r>
            <w:r>
              <w:rPr>
                <w:rStyle w:val="FootnoteReference"/>
                <w:rFonts w:eastAsia="Times New Roman" w:cs="Times New Roman"/>
                <w:sz w:val="24"/>
                <w:szCs w:val="24"/>
                <w:lang w:eastAsia="ru-RU"/>
              </w:rPr>
              <w:footnoteReference w:id="22"/>
            </w:r>
            <w:r>
              <w:rPr>
                <w:rFonts w:eastAsia="Times New Roman" w:cs="Times New Roman"/>
                <w:sz w:val="24"/>
                <w:szCs w:val="24"/>
                <w:lang w:eastAsia="ru-RU"/>
              </w:rPr>
              <w:t xml:space="preserve"> для i-ой кредитной организации, равный:</w:t>
            </w:r>
          </w:p>
          <w:p>
            <w:pPr>
              <w:pStyle w:val="Normal"/>
              <w:widowControl w:val="false"/>
              <w:tabs>
                <w:tab w:val="left" w:pos="709" w:leader="none"/>
                <w:tab w:val="left" w:pos="851" w:leader="none"/>
              </w:tabs>
              <w:spacing w:lineRule="auto" w:line="240" w:before="0" w:after="0"/>
              <w:ind w:firstLine="709" w:left="0" w:right="-108"/>
              <w:jc w:val="both"/>
              <w:rPr>
                <w:sz w:val="24"/>
                <w:szCs w:val="24"/>
              </w:rPr>
            </w:pPr>
            <w:r>
              <w:rPr>
                <w:rFonts w:eastAsia="Times New Roman" w:cs="Times New Roman"/>
                <w:b/>
                <w:sz w:val="24"/>
                <w:szCs w:val="24"/>
                <w:lang w:eastAsia="ru-RU"/>
              </w:rPr>
              <w:t>0,075</w:t>
            </w:r>
            <w:r>
              <w:rPr>
                <w:rFonts w:eastAsia="Times New Roman" w:cs="Times New Roman"/>
                <w:sz w:val="24"/>
                <w:szCs w:val="24"/>
                <w:lang w:eastAsia="ru-RU"/>
              </w:rPr>
              <w:t xml:space="preserve"> - если i-ая кредитная организация имеет национальный рейтинг кредитоспособности не ниже уровня </w:t>
            </w:r>
            <w:r>
              <w:rPr>
                <w:rFonts w:eastAsia="Times New Roman" w:cs="Times New Roman"/>
                <w:b/>
                <w:sz w:val="24"/>
                <w:szCs w:val="24"/>
                <w:lang w:eastAsia="ru-RU"/>
              </w:rPr>
              <w:t>«АА-»</w:t>
            </w:r>
            <w:r>
              <w:rPr>
                <w:rFonts w:eastAsia="Times New Roman" w:cs="Times New Roman"/>
                <w:sz w:val="24"/>
                <w:szCs w:val="24"/>
                <w:lang w:eastAsia="ru-RU"/>
              </w:rPr>
              <w:t xml:space="preserve">по классификации рейтингового агентства АКРА или не ниже уровня </w:t>
            </w:r>
            <w:r>
              <w:rPr>
                <w:rFonts w:eastAsia="Times New Roman" w:cs="Times New Roman"/>
                <w:b/>
                <w:sz w:val="24"/>
                <w:szCs w:val="24"/>
                <w:lang w:eastAsia="ru-RU"/>
              </w:rPr>
              <w:t>«</w:t>
            </w:r>
            <w:r>
              <w:rPr>
                <w:rFonts w:eastAsia="Times New Roman" w:cs="Times New Roman"/>
                <w:b/>
                <w:sz w:val="24"/>
                <w:szCs w:val="24"/>
                <w:lang w:val="en-US" w:eastAsia="ru-RU"/>
              </w:rPr>
              <w:t>ru</w:t>
            </w:r>
            <w:r>
              <w:rPr>
                <w:rFonts w:eastAsia="Times New Roman" w:cs="Times New Roman"/>
                <w:b/>
                <w:sz w:val="24"/>
                <w:szCs w:val="24"/>
                <w:lang w:eastAsia="ru-RU"/>
              </w:rPr>
              <w:t>А</w:t>
            </w:r>
            <w:r>
              <w:rPr>
                <w:rFonts w:eastAsia="Times New Roman" w:cs="Times New Roman"/>
                <w:b/>
                <w:sz w:val="24"/>
                <w:szCs w:val="24"/>
                <w:lang w:val="en-US" w:eastAsia="ru-RU"/>
              </w:rPr>
              <w:t>A</w:t>
            </w:r>
            <w:r>
              <w:rPr>
                <w:rFonts w:eastAsia="Times New Roman" w:cs="Times New Roman"/>
                <w:b/>
                <w:sz w:val="24"/>
                <w:szCs w:val="24"/>
                <w:lang w:eastAsia="ru-RU"/>
              </w:rPr>
              <w:t>-»</w:t>
            </w:r>
            <w:r>
              <w:rPr>
                <w:rFonts w:eastAsia="Times New Roman" w:cs="Times New Roman"/>
                <w:sz w:val="24"/>
                <w:szCs w:val="24"/>
                <w:lang w:eastAsia="ru-RU"/>
              </w:rPr>
              <w:t xml:space="preserve"> по классификации рейтингового агентства Эксперт РА;</w:t>
            </w:r>
          </w:p>
          <w:p>
            <w:pPr>
              <w:pStyle w:val="Normal"/>
              <w:widowControl w:val="false"/>
              <w:tabs>
                <w:tab w:val="left" w:pos="709" w:leader="none"/>
                <w:tab w:val="left" w:pos="851" w:leader="none"/>
              </w:tabs>
              <w:spacing w:lineRule="auto" w:line="240" w:before="0" w:after="0"/>
              <w:ind w:firstLine="709" w:left="0" w:right="-108"/>
              <w:jc w:val="both"/>
              <w:rPr>
                <w:sz w:val="24"/>
                <w:szCs w:val="24"/>
              </w:rPr>
            </w:pPr>
            <w:r>
              <w:rPr>
                <w:rFonts w:eastAsia="Times New Roman" w:cs="Times New Roman"/>
                <w:b/>
                <w:sz w:val="24"/>
                <w:szCs w:val="24"/>
                <w:lang w:eastAsia="ru-RU"/>
              </w:rPr>
              <w:t>0,05</w:t>
            </w:r>
            <w:r>
              <w:rPr>
                <w:rFonts w:eastAsia="Times New Roman" w:cs="Times New Roman"/>
                <w:sz w:val="24"/>
                <w:szCs w:val="24"/>
                <w:lang w:eastAsia="ru-RU"/>
              </w:rPr>
              <w:t xml:space="preserve"> - если i-ая кредитная организация имеет национальный рейтинг кредитоспособности не ниже уровня </w:t>
            </w:r>
            <w:r>
              <w:rPr>
                <w:rFonts w:eastAsia="Times New Roman" w:cs="Times New Roman"/>
                <w:b/>
                <w:sz w:val="24"/>
                <w:szCs w:val="24"/>
                <w:lang w:eastAsia="ru-RU"/>
              </w:rPr>
              <w:t>«А-»</w:t>
            </w:r>
            <w:r>
              <w:rPr>
                <w:rFonts w:eastAsia="Times New Roman" w:cs="Times New Roman"/>
                <w:sz w:val="24"/>
                <w:szCs w:val="24"/>
                <w:lang w:eastAsia="ru-RU"/>
              </w:rPr>
              <w:t xml:space="preserve"> по классификации рейтингового агентства АКРА или не ниже уровня </w:t>
            </w:r>
            <w:r>
              <w:rPr>
                <w:rFonts w:eastAsia="Times New Roman" w:cs="Times New Roman"/>
                <w:b/>
                <w:sz w:val="24"/>
                <w:szCs w:val="24"/>
                <w:lang w:eastAsia="ru-RU"/>
              </w:rPr>
              <w:t>«ruA-»</w:t>
            </w:r>
            <w:r>
              <w:rPr>
                <w:rFonts w:eastAsia="Times New Roman" w:cs="Times New Roman"/>
                <w:sz w:val="24"/>
                <w:szCs w:val="24"/>
                <w:lang w:eastAsia="ru-RU"/>
              </w:rPr>
              <w:t xml:space="preserve"> по классификации рейтингового агентства Эксперт РА;</w:t>
            </w:r>
          </w:p>
          <w:p>
            <w:pPr>
              <w:pStyle w:val="Normal"/>
              <w:widowControl w:val="false"/>
              <w:tabs>
                <w:tab w:val="clear" w:pos="709"/>
                <w:tab w:val="left" w:pos="7130" w:leader="none"/>
              </w:tabs>
              <w:spacing w:lineRule="auto" w:line="240"/>
              <w:ind w:firstLine="567" w:left="0" w:right="-108"/>
              <w:rPr>
                <w:sz w:val="24"/>
                <w:szCs w:val="24"/>
              </w:rPr>
            </w:pPr>
            <w:r>
              <w:rPr>
                <w:rFonts w:eastAsia="Times New Roman" w:cs="Times New Roman"/>
                <w:b/>
                <w:sz w:val="24"/>
                <w:szCs w:val="24"/>
                <w:lang w:eastAsia="ru-RU"/>
              </w:rPr>
              <w:t>0,025</w:t>
            </w:r>
            <w:r>
              <w:rPr>
                <w:rFonts w:eastAsia="Times New Roman" w:cs="Times New Roman"/>
                <w:sz w:val="24"/>
                <w:szCs w:val="24"/>
                <w:lang w:eastAsia="ru-RU"/>
              </w:rPr>
              <w:t xml:space="preserve"> - если i-ая кредитная организация имеет национальный рейтинг кредитоспособности не ниже уровня </w:t>
            </w:r>
            <w:r>
              <w:rPr>
                <w:rFonts w:eastAsia="Times New Roman" w:cs="Times New Roman"/>
                <w:b/>
                <w:sz w:val="24"/>
                <w:szCs w:val="24"/>
                <w:lang w:eastAsia="ru-RU"/>
              </w:rPr>
              <w:t>«</w:t>
            </w:r>
            <w:r>
              <w:rPr>
                <w:rFonts w:eastAsia="Times New Roman" w:cs="Times New Roman"/>
                <w:b/>
                <w:sz w:val="24"/>
                <w:szCs w:val="24"/>
                <w:lang w:val="en-US" w:eastAsia="ru-RU"/>
              </w:rPr>
              <w:t>BB</w:t>
            </w:r>
            <w:r>
              <w:rPr>
                <w:rFonts w:eastAsia="Times New Roman" w:cs="Times New Roman"/>
                <w:b/>
                <w:sz w:val="24"/>
                <w:szCs w:val="24"/>
                <w:lang w:eastAsia="ru-RU"/>
              </w:rPr>
              <w:t>В»</w:t>
            </w:r>
            <w:r>
              <w:rPr>
                <w:rFonts w:eastAsia="Times New Roman" w:cs="Times New Roman"/>
                <w:sz w:val="24"/>
                <w:szCs w:val="24"/>
                <w:lang w:eastAsia="ru-RU"/>
              </w:rPr>
              <w:t xml:space="preserve"> по классификации рейтингового агентства АКРА или не ниже уровня «</w:t>
            </w:r>
            <w:r>
              <w:rPr>
                <w:rFonts w:eastAsia="Times New Roman" w:cs="Times New Roman"/>
                <w:sz w:val="24"/>
                <w:szCs w:val="24"/>
                <w:lang w:val="en-US" w:eastAsia="ru-RU"/>
              </w:rPr>
              <w:t>ruBB</w:t>
            </w:r>
            <w:r>
              <w:rPr>
                <w:rFonts w:eastAsia="Times New Roman" w:cs="Times New Roman"/>
                <w:sz w:val="24"/>
                <w:szCs w:val="24"/>
                <w:lang w:eastAsia="ru-RU"/>
              </w:rPr>
              <w:t>В» по классификации рейтингового агентства Эксперт РА, а также находится в процессе финансового оздоровления (санации).</w:t>
            </w:r>
          </w:p>
        </w:tc>
      </w:tr>
    </w:tbl>
    <w:p>
      <w:pPr>
        <w:pStyle w:val="Normal"/>
        <w:widowControl/>
        <w:tabs>
          <w:tab w:val="clear" w:pos="709"/>
          <w:tab w:val="left" w:pos="1134" w:leader="none"/>
        </w:tabs>
        <w:ind w:firstLine="709"/>
        <w:jc w:val="center"/>
        <w:rPr>
          <w:sz w:val="24"/>
          <w:szCs w:val="24"/>
          <w:lang w:val="en-GB"/>
        </w:rPr>
      </w:pPr>
      <w:r>
        <w:rPr>
          <w:sz w:val="24"/>
          <w:szCs w:val="24"/>
          <w:lang w:val="en-GB"/>
        </w:rPr>
      </w:r>
    </w:p>
    <w:p>
      <w:pPr>
        <w:pStyle w:val="Normal"/>
        <w:widowControl/>
        <w:tabs>
          <w:tab w:val="clear" w:pos="709"/>
          <w:tab w:val="left" w:pos="1134" w:leader="none"/>
        </w:tabs>
        <w:ind w:firstLine="709"/>
        <w:jc w:val="center"/>
        <w:rPr>
          <w:sz w:val="24"/>
          <w:szCs w:val="24"/>
          <w:lang w:val="en-GB"/>
        </w:rPr>
      </w:pPr>
      <w:r>
        <w:rPr>
          <w:sz w:val="24"/>
          <w:szCs w:val="24"/>
          <w:lang w:val="en-GB"/>
        </w:rPr>
      </w:r>
    </w:p>
    <w:p>
      <w:pPr>
        <w:pStyle w:val="Normal"/>
        <w:widowControl/>
        <w:tabs>
          <w:tab w:val="clear" w:pos="709"/>
          <w:tab w:val="left" w:pos="1425" w:leader="none"/>
        </w:tabs>
        <w:rPr>
          <w:sz w:val="24"/>
          <w:szCs w:val="24"/>
        </w:rPr>
      </w:pPr>
      <w:r>
        <w:rPr>
          <w:sz w:val="24"/>
          <w:szCs w:val="24"/>
        </w:rPr>
      </w:r>
    </w:p>
    <w:tbl>
      <w:tblPr>
        <w:tblW w:w="1375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961"/>
        <w:gridCol w:w="8789"/>
      </w:tblGrid>
      <w:tr>
        <w:trPr/>
        <w:tc>
          <w:tcPr>
            <w:tcW w:w="4961" w:type="dxa"/>
            <w:tcBorders/>
          </w:tcPr>
          <w:p>
            <w:pPr>
              <w:pStyle w:val="Normal"/>
              <w:widowControl w:val="false"/>
              <w:rPr>
                <w:b/>
                <w:sz w:val="24"/>
                <w:szCs w:val="24"/>
                <w:lang w:val="en-GB"/>
              </w:rPr>
            </w:pPr>
            <w:r>
              <w:rPr>
                <w:b/>
                <w:sz w:val="24"/>
                <w:szCs w:val="24"/>
              </w:rPr>
              <w:t>Покупатель</w:t>
            </w:r>
            <w:r>
              <w:rPr>
                <w:b/>
                <w:sz w:val="24"/>
                <w:szCs w:val="24"/>
                <w:lang w:val="en-GB"/>
              </w:rPr>
              <w:t>:</w:t>
            </w:r>
          </w:p>
        </w:tc>
        <w:tc>
          <w:tcPr>
            <w:tcW w:w="8789" w:type="dxa"/>
            <w:tcBorders/>
          </w:tcPr>
          <w:p>
            <w:pPr>
              <w:pStyle w:val="Normal"/>
              <w:widowControl w:val="false"/>
              <w:rPr>
                <w:b/>
                <w:sz w:val="24"/>
                <w:szCs w:val="24"/>
                <w:lang w:val="en-GB"/>
              </w:rPr>
            </w:pPr>
            <w:r>
              <w:rPr>
                <w:b/>
                <w:sz w:val="24"/>
                <w:szCs w:val="24"/>
              </w:rPr>
              <w:t>Поставщик</w:t>
            </w:r>
            <w:r>
              <w:rPr>
                <w:b/>
                <w:sz w:val="24"/>
                <w:szCs w:val="24"/>
                <w:lang w:val="en-GB"/>
              </w:rPr>
              <w:t>:</w:t>
            </w:r>
          </w:p>
        </w:tc>
      </w:tr>
      <w:tr>
        <w:trPr/>
        <w:tc>
          <w:tcPr>
            <w:tcW w:w="4961" w:type="dxa"/>
            <w:tcBorders/>
          </w:tcPr>
          <w:p>
            <w:pPr>
              <w:pStyle w:val="Normal"/>
              <w:widowControl w:val="false"/>
              <w:rPr>
                <w:sz w:val="22"/>
                <w:szCs w:val="22"/>
                <w:lang w:val="en-GB"/>
              </w:rPr>
            </w:pPr>
            <w:r>
              <w:rPr>
                <w:sz w:val="22"/>
                <w:szCs w:val="22"/>
                <w:lang w:val="en-GB"/>
              </w:rPr>
            </w:r>
          </w:p>
          <w:p>
            <w:pPr>
              <w:pStyle w:val="Normal"/>
              <w:widowControl w:val="false"/>
              <w:rPr>
                <w:sz w:val="22"/>
                <w:szCs w:val="22"/>
                <w:lang w:val="en-GB"/>
              </w:rPr>
            </w:pPr>
            <w:r>
              <w:rPr>
                <w:sz w:val="22"/>
                <w:szCs w:val="22"/>
                <w:lang w:val="en-GB"/>
              </w:rPr>
              <w:t xml:space="preserve">_______________ / _______________ </w:t>
            </w:r>
          </w:p>
        </w:tc>
        <w:tc>
          <w:tcPr>
            <w:tcW w:w="8789" w:type="dxa"/>
            <w:tcBorders/>
          </w:tcPr>
          <w:p>
            <w:pPr>
              <w:pStyle w:val="Normal"/>
              <w:widowControl w:val="false"/>
              <w:rPr>
                <w:sz w:val="22"/>
                <w:szCs w:val="22"/>
                <w:lang w:val="en-GB"/>
              </w:rPr>
            </w:pPr>
            <w:r>
              <w:rPr>
                <w:sz w:val="22"/>
                <w:szCs w:val="22"/>
                <w:lang w:val="en-GB"/>
              </w:rPr>
            </w:r>
          </w:p>
          <w:p>
            <w:pPr>
              <w:pStyle w:val="Normal"/>
              <w:widowControl w:val="false"/>
              <w:rPr>
                <w:sz w:val="22"/>
                <w:szCs w:val="22"/>
                <w:lang w:val="en-GB"/>
              </w:rPr>
            </w:pPr>
            <w:r>
              <w:rPr>
                <w:sz w:val="22"/>
                <w:szCs w:val="22"/>
                <w:lang w:val="en-GB"/>
              </w:rPr>
              <w:t xml:space="preserve">_______________ / _______________ </w:t>
            </w:r>
          </w:p>
          <w:p>
            <w:pPr>
              <w:pStyle w:val="Normal"/>
              <w:widowControl w:val="false"/>
              <w:rPr>
                <w:sz w:val="22"/>
                <w:szCs w:val="22"/>
                <w:lang w:val="en-GB"/>
              </w:rPr>
            </w:pPr>
            <w:r>
              <w:rPr>
                <w:sz w:val="22"/>
                <w:szCs w:val="22"/>
                <w:lang w:val="en-GB"/>
              </w:rPr>
            </w:r>
          </w:p>
          <w:p>
            <w:pPr>
              <w:pStyle w:val="Normal"/>
              <w:widowControl w:val="false"/>
              <w:rPr>
                <w:sz w:val="22"/>
                <w:szCs w:val="22"/>
                <w:lang w:val="en-GB"/>
              </w:rPr>
            </w:pPr>
            <w:r>
              <w:rPr>
                <w:sz w:val="22"/>
                <w:szCs w:val="22"/>
                <w:lang w:val="en-GB"/>
              </w:rPr>
            </w:r>
          </w:p>
        </w:tc>
      </w:tr>
    </w:tbl>
    <w:p>
      <w:pPr>
        <w:pStyle w:val="Normal"/>
        <w:suppressAutoHyphens w:val="true"/>
        <w:ind w:firstLine="6237" w:right="96"/>
        <w:rPr>
          <w:sz w:val="24"/>
          <w:szCs w:val="24"/>
        </w:rPr>
      </w:pPr>
      <w:r>
        <w:rPr>
          <w:sz w:val="24"/>
          <w:szCs w:val="24"/>
        </w:rPr>
      </w:r>
    </w:p>
    <w:p>
      <w:pPr>
        <w:pStyle w:val="Normal"/>
        <w:widowControl/>
        <w:rPr>
          <w:sz w:val="24"/>
          <w:szCs w:val="24"/>
        </w:rPr>
      </w:pPr>
      <w:r>
        <w:rPr>
          <w:sz w:val="24"/>
          <w:szCs w:val="24"/>
        </w:rPr>
      </w:r>
      <w:r>
        <w:br w:type="page"/>
      </w:r>
    </w:p>
    <w:p>
      <w:pPr>
        <w:pStyle w:val="Normal"/>
        <w:suppressAutoHyphens w:val="true"/>
        <w:ind w:firstLine="5529" w:right="96"/>
        <w:rPr>
          <w:sz w:val="22"/>
          <w:szCs w:val="22"/>
        </w:rPr>
      </w:pPr>
      <w:r>
        <w:rPr>
          <w:sz w:val="22"/>
          <w:szCs w:val="22"/>
        </w:rPr>
        <w:t>Приложение № 4</w:t>
      </w:r>
    </w:p>
    <w:p>
      <w:pPr>
        <w:pStyle w:val="Normal"/>
        <w:suppressAutoHyphens w:val="true"/>
        <w:ind w:firstLine="5529" w:right="96"/>
        <w:rPr>
          <w:sz w:val="22"/>
          <w:szCs w:val="22"/>
        </w:rPr>
      </w:pPr>
      <w:r>
        <w:rPr>
          <w:sz w:val="22"/>
          <w:szCs w:val="22"/>
        </w:rPr>
        <w:t>к Договору поставки</w:t>
      </w:r>
    </w:p>
    <w:p>
      <w:pPr>
        <w:pStyle w:val="Normal"/>
        <w:ind w:firstLine="5529"/>
        <w:rPr>
          <w:bCs/>
          <w:sz w:val="24"/>
          <w:szCs w:val="24"/>
        </w:rPr>
      </w:pPr>
      <w:r>
        <w:rPr>
          <w:sz w:val="22"/>
          <w:szCs w:val="22"/>
        </w:rPr>
        <w:t>от «____» __________ 20 _ г.</w:t>
      </w:r>
      <w:r>
        <w:rPr>
          <w:sz w:val="24"/>
          <w:szCs w:val="24"/>
        </w:rPr>
        <w:t xml:space="preserve"> № _____</w:t>
      </w:r>
    </w:p>
    <w:p>
      <w:pPr>
        <w:pStyle w:val="Normal"/>
        <w:widowControl/>
        <w:shd w:val="clear" w:color="auto" w:fill="FFFFFF"/>
        <w:tabs>
          <w:tab w:val="clear" w:pos="709"/>
          <w:tab w:val="left" w:pos="1418" w:leader="none"/>
        </w:tabs>
        <w:spacing w:before="0" w:after="0"/>
        <w:contextualSpacing/>
        <w:jc w:val="center"/>
        <w:rPr>
          <w:bCs/>
          <w:sz w:val="24"/>
          <w:szCs w:val="24"/>
        </w:rPr>
      </w:pPr>
      <w:r>
        <w:rPr>
          <w:bCs/>
          <w:sz w:val="24"/>
          <w:szCs w:val="24"/>
        </w:rPr>
      </w:r>
    </w:p>
    <w:p>
      <w:pPr>
        <w:pStyle w:val="Normal"/>
        <w:widowControl/>
        <w:suppressAutoHyphens w:val="true"/>
        <w:spacing w:lineRule="auto" w:line="259"/>
        <w:rPr>
          <w:rFonts w:eastAsia="Calibri"/>
          <w:sz w:val="24"/>
          <w:szCs w:val="24"/>
          <w:lang w:eastAsia="en-US"/>
        </w:rPr>
      </w:pPr>
      <w:r>
        <w:rPr>
          <w:rFonts w:eastAsia="Calibri"/>
          <w:sz w:val="24"/>
          <w:szCs w:val="24"/>
          <w:lang w:eastAsia="en-US"/>
        </w:rPr>
      </w:r>
    </w:p>
    <w:p>
      <w:pPr>
        <w:pStyle w:val="Normal"/>
        <w:jc w:val="center"/>
        <w:rPr>
          <w:b/>
          <w:bCs/>
          <w:sz w:val="24"/>
          <w:szCs w:val="24"/>
        </w:rPr>
      </w:pPr>
      <w:r>
        <w:rPr>
          <w:b/>
          <w:bCs/>
          <w:sz w:val="24"/>
          <w:szCs w:val="24"/>
        </w:rPr>
        <w:t>Размер ответственности Поставщика за нарушения</w:t>
      </w:r>
    </w:p>
    <w:p>
      <w:pPr>
        <w:pStyle w:val="Normal"/>
        <w:jc w:val="center"/>
        <w:rPr>
          <w:b/>
          <w:bCs/>
          <w:sz w:val="24"/>
          <w:szCs w:val="24"/>
        </w:rPr>
      </w:pPr>
      <w:r>
        <w:rPr>
          <w:b/>
          <w:bCs/>
          <w:sz w:val="24"/>
          <w:szCs w:val="24"/>
        </w:rPr>
        <w:t>пропускного и внутриобъектового режима, требований охраны труда,</w:t>
      </w:r>
    </w:p>
    <w:p>
      <w:pPr>
        <w:pStyle w:val="Normal"/>
        <w:jc w:val="center"/>
        <w:rPr>
          <w:b/>
          <w:sz w:val="24"/>
          <w:szCs w:val="24"/>
        </w:rPr>
      </w:pPr>
      <w:r>
        <w:rPr>
          <w:b/>
          <w:bCs/>
          <w:sz w:val="24"/>
          <w:szCs w:val="24"/>
        </w:rPr>
        <w:t>пожарной и промышленной безопасности</w:t>
      </w:r>
    </w:p>
    <w:p>
      <w:pPr>
        <w:pStyle w:val="Normal"/>
        <w:rPr>
          <w:b/>
          <w:sz w:val="24"/>
          <w:szCs w:val="24"/>
        </w:rPr>
      </w:pPr>
      <w:r>
        <w:rPr>
          <w:b/>
          <w:sz w:val="24"/>
          <w:szCs w:val="24"/>
        </w:rPr>
      </w:r>
    </w:p>
    <w:tbl>
      <w:tblPr>
        <w:tblW w:w="5000" w:type="pct"/>
        <w:jc w:val="left"/>
        <w:tblInd w:w="0" w:type="dxa"/>
        <w:tblLayout w:type="fixed"/>
        <w:tblCellMar>
          <w:top w:w="0" w:type="dxa"/>
          <w:left w:w="108" w:type="dxa"/>
          <w:bottom w:w="0" w:type="dxa"/>
          <w:right w:w="108" w:type="dxa"/>
        </w:tblCellMar>
        <w:tblLook w:val="01e0" w:noHBand="0" w:noVBand="0" w:firstColumn="1" w:lastRow="1" w:lastColumn="1" w:firstRow="1"/>
      </w:tblPr>
      <w:tblGrid>
        <w:gridCol w:w="3670"/>
        <w:gridCol w:w="5966"/>
      </w:tblGrid>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Виды нарушений</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Штрафные санкции</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 Нарушение правил пожарной безопасности (ППБ):</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1.1. Нарушение ППБ без возникновения пожара</w:t>
            </w:r>
          </w:p>
          <w:p>
            <w:pPr>
              <w:pStyle w:val="Normal"/>
              <w:widowControl w:val="false"/>
              <w:jc w:val="both"/>
              <w:rPr>
                <w:b/>
                <w:sz w:val="24"/>
                <w:szCs w:val="24"/>
              </w:rPr>
            </w:pPr>
            <w:r>
              <w:rPr>
                <w:b/>
                <w:sz w:val="24"/>
                <w:szCs w:val="24"/>
              </w:rPr>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25 000 (Двадцать пять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50 000 (Пятьдесят тысяч) рублей за каждый случай нарушения.</w:t>
            </w:r>
          </w:p>
          <w:p>
            <w:pPr>
              <w:pStyle w:val="Normal"/>
              <w:widowControl w:val="false"/>
              <w:jc w:val="both"/>
              <w:rPr>
                <w:sz w:val="24"/>
                <w:szCs w:val="24"/>
              </w:rPr>
            </w:pPr>
            <w:r>
              <w:rPr>
                <w:sz w:val="24"/>
                <w:szCs w:val="24"/>
              </w:rPr>
              <w:t xml:space="preserve">Сумма штрафа, установленная настоящим пунктом, увеличивается на 100 (Сто) процентов по отношению </w:t>
              <w:br/>
              <w:t>к предыдущему случаю за каждое следующее нарушение.</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250 000 (Двести пятьдесят тысяч) рублей за каждый случай нарушения.</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- 50 000 (Пятьдесят тысяч) рублей за каждый случай нарушения;</w:t>
            </w:r>
          </w:p>
          <w:p>
            <w:pPr>
              <w:pStyle w:val="Normal"/>
              <w:widowControl w:val="false"/>
              <w:jc w:val="both"/>
              <w:rPr>
                <w:sz w:val="24"/>
                <w:szCs w:val="24"/>
              </w:rPr>
            </w:pPr>
            <w:r>
              <w:rPr>
                <w:sz w:val="24"/>
                <w:szCs w:val="24"/>
              </w:rPr>
              <w:t xml:space="preserve">- 500 (Пятьсот) рублей в случае утраты или приведения в негодность электронного пропуска, выданного Покупателем. </w:t>
            </w:r>
          </w:p>
          <w:p>
            <w:pPr>
              <w:pStyle w:val="Normal"/>
              <w:widowControl w:val="false"/>
              <w:jc w:val="both"/>
              <w:rPr>
                <w:sz w:val="24"/>
                <w:szCs w:val="24"/>
              </w:rPr>
            </w:pPr>
            <w:r>
              <w:rPr>
                <w:sz w:val="24"/>
                <w:szCs w:val="24"/>
              </w:rPr>
              <w:t xml:space="preserve">Сумма штрафа, установленная настоящим пунктом, увеличивается на 100 (Сто) процентов по отношению </w:t>
              <w:br/>
              <w:t>к предыдущему случаю за каждое следующее нарушение.</w:t>
            </w:r>
          </w:p>
        </w:tc>
      </w:tr>
    </w:tbl>
    <w:p>
      <w:pPr>
        <w:pStyle w:val="Normal"/>
        <w:ind w:hanging="0" w:left="5103"/>
        <w:rPr>
          <w:sz w:val="24"/>
          <w:szCs w:val="24"/>
        </w:rPr>
      </w:pPr>
      <w:r>
        <w:rPr>
          <w:sz w:val="24"/>
          <w:szCs w:val="24"/>
        </w:rPr>
      </w:r>
    </w:p>
    <w:p>
      <w:pPr>
        <w:pStyle w:val="Normal"/>
        <w:ind w:hanging="0" w:left="5103"/>
        <w:rPr>
          <w:sz w:val="24"/>
          <w:szCs w:val="24"/>
        </w:rPr>
      </w:pPr>
      <w:r>
        <w:rPr>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hanging="0" w:left="0"/>
        <w:jc w:val="center"/>
        <w:outlineLvl w:val="0"/>
        <w:rPr>
          <w:bCs/>
          <w:sz w:val="24"/>
          <w:szCs w:val="24"/>
        </w:rPr>
      </w:pPr>
      <w:r>
        <w:rPr>
          <w:bCs/>
          <w:sz w:val="24"/>
          <w:szCs w:val="24"/>
        </w:rPr>
      </w:r>
    </w:p>
    <w:tbl>
      <w:tblPr>
        <w:tblW w:w="9815" w:type="dxa"/>
        <w:jc w:val="left"/>
        <w:tblInd w:w="-176"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shd w:color="auto" w:fill="auto" w:val="clear"/>
          </w:tcPr>
          <w:p>
            <w:pPr>
              <w:pStyle w:val="Normal"/>
              <w:widowControl w:val="false"/>
              <w:rPr>
                <w:b/>
                <w:sz w:val="24"/>
                <w:szCs w:val="24"/>
              </w:rPr>
            </w:pPr>
            <w:r>
              <w:rPr>
                <w:b/>
                <w:sz w:val="24"/>
                <w:szCs w:val="24"/>
              </w:rPr>
              <w:t>Покупатель:</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rPr>
                <w:sz w:val="24"/>
                <w:szCs w:val="24"/>
              </w:rPr>
            </w:pPr>
            <w:r>
              <w:rPr>
                <w:sz w:val="24"/>
                <w:szCs w:val="24"/>
              </w:rPr>
            </w:r>
          </w:p>
        </w:tc>
        <w:tc>
          <w:tcPr>
            <w:tcW w:w="4819" w:type="dxa"/>
            <w:tcBorders/>
            <w:shd w:color="auto" w:fill="auto" w:val="clear"/>
          </w:tcPr>
          <w:p>
            <w:pPr>
              <w:pStyle w:val="Normal"/>
              <w:widowControl w:val="false"/>
              <w:ind w:firstLine="34"/>
              <w:rPr>
                <w:b/>
                <w:sz w:val="24"/>
                <w:szCs w:val="24"/>
              </w:rPr>
            </w:pPr>
            <w:r>
              <w:rPr>
                <w:b/>
                <w:sz w:val="24"/>
                <w:szCs w:val="24"/>
              </w:rPr>
              <w:t>Поставщик:</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ind w:firstLine="33"/>
              <w:rPr>
                <w:b/>
                <w:sz w:val="24"/>
                <w:szCs w:val="24"/>
              </w:rPr>
            </w:pPr>
            <w:r>
              <w:rPr>
                <w:b/>
                <w:sz w:val="24"/>
                <w:szCs w:val="24"/>
              </w:rPr>
            </w:r>
          </w:p>
        </w:tc>
      </w:tr>
    </w:tbl>
    <w:p>
      <w:pPr>
        <w:pStyle w:val="Normal"/>
        <w:ind w:hanging="0" w:left="5103"/>
        <w:rPr>
          <w:b/>
          <w:bCs/>
          <w:sz w:val="24"/>
          <w:szCs w:val="24"/>
        </w:rPr>
      </w:pPr>
      <w:r>
        <w:rPr>
          <w:b/>
          <w:bCs/>
          <w:sz w:val="24"/>
          <w:szCs w:val="24"/>
        </w:rPr>
      </w:r>
    </w:p>
    <w:p>
      <w:pPr>
        <w:pStyle w:val="Normal"/>
        <w:widowControl/>
        <w:suppressAutoHyphens w:val="true"/>
        <w:bidi w:val="0"/>
        <w:spacing w:before="0" w:after="0"/>
        <w:jc w:val="left"/>
        <w:rPr>
          <w:b/>
          <w:bCs/>
          <w:sz w:val="24"/>
          <w:szCs w:val="24"/>
        </w:rPr>
      </w:pPr>
      <w:r>
        <w:rPr>
          <w:b/>
          <w:bCs/>
          <w:sz w:val="24"/>
          <w:szCs w:val="24"/>
        </w:rPr>
      </w:r>
    </w:p>
    <w:sectPr>
      <w:headerReference w:type="default" r:id="rId10"/>
      <w:headerReference w:type="first" r:id="rId11"/>
      <w:footerReference w:type="default" r:id="rId12"/>
      <w:footerReference w:type="first" r:id="rId13"/>
      <w:footnotePr>
        <w:numFmt w:val="decimal"/>
      </w:footnotePr>
      <w:type w:val="nextPage"/>
      <w:pgSz w:w="11906" w:h="16838"/>
      <w:pgMar w:left="1418" w:right="851" w:gutter="0" w:header="567" w:top="1134" w:footer="314" w:bottom="851"/>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Courier New">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20</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sz w:val="24"/>
        <w:szCs w:val="24"/>
      </w:rPr>
      <w:fldChar w:fldCharType="begin"/>
    </w:r>
    <w:r>
      <w:rPr>
        <w:sz w:val="24"/>
        <w:szCs w:val="24"/>
      </w:rPr>
      <w:instrText xml:space="preserve"> PAGE </w:instrText>
    </w:r>
    <w:r>
      <w:rPr>
        <w:sz w:val="24"/>
        <w:szCs w:val="24"/>
      </w:rPr>
      <w:fldChar w:fldCharType="separate"/>
    </w:r>
    <w:r>
      <w:rPr>
        <w:sz w:val="24"/>
        <w:szCs w:val="24"/>
      </w:rPr>
      <w:t>26</w:t>
    </w:r>
    <w:r>
      <w:rPr>
        <w:sz w:val="24"/>
        <w:szCs w:val="24"/>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14"/>
        </w:rPr>
        <w:footnoteRef/>
      </w:r>
      <w:r>
        <w:rPr/>
        <w:t xml:space="preserve"> </w:t>
      </w:r>
      <w:r>
        <w:rPr/>
        <w:t>Включается в Договор в случае, если перемещение Товара осуществляется Поставщиком до подписания Сторонами Накладной ТОРГ-12.</w:t>
      </w:r>
    </w:p>
  </w:footnote>
  <w:footnote w:id="3">
    <w:p>
      <w:pPr>
        <w:pStyle w:val="FootnoteText"/>
        <w:jc w:val="both"/>
        <w:rPr/>
      </w:pPr>
      <w:r>
        <w:rPr>
          <w:rStyle w:val="Style14"/>
        </w:rPr>
        <w:footnoteRef/>
      </w:r>
      <w:r>
        <w:rPr/>
        <w:t xml:space="preserve"> </w:t>
      </w:r>
      <w:r>
        <w:rPr/>
        <w:t>Для договоров, заключенных в рамках реализации инвестиционной программы Заказчика.</w:t>
      </w:r>
    </w:p>
  </w:footnote>
  <w:footnote w:id="4">
    <w:p>
      <w:pPr>
        <w:pStyle w:val="FootnoteText"/>
        <w:jc w:val="both"/>
        <w:rPr/>
      </w:pPr>
      <w:r>
        <w:rPr>
          <w:rStyle w:val="Style14"/>
        </w:rPr>
        <w:footnoteRef/>
      </w:r>
      <w:r>
        <w:rPr/>
        <w:t xml:space="preserve"> </w:t>
      </w:r>
      <w:r>
        <w:rPr/>
        <w:t>В случае если Контрагент – МСП, при этом Заказчик попадает под действие постановления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5">
    <w:p>
      <w:pPr>
        <w:pStyle w:val="FootnoteText"/>
        <w:jc w:val="both"/>
        <w:rPr/>
      </w:pPr>
      <w:r>
        <w:rPr>
          <w:rStyle w:val="Style14"/>
        </w:rPr>
        <w:footnoteRef/>
      </w:r>
      <w:r>
        <w:rPr>
          <w:highlight w:val="lightGray"/>
        </w:rPr>
        <w:t xml:space="preserve"> </w:t>
      </w:r>
      <w:r>
        <w:rPr>
          <w:highlight w:val="lightGray"/>
        </w:rPr>
        <w:t>Включается в Договор в случае, если перемещение Товара осуществляется Поставщиком до подписания Сторонами Накладной ТОРГ-12.</w:t>
      </w:r>
    </w:p>
  </w:footnote>
  <w:footnote w:id="6">
    <w:p>
      <w:pPr>
        <w:pStyle w:val="FootnoteText"/>
        <w:jc w:val="both"/>
        <w:rPr/>
      </w:pPr>
      <w:r>
        <w:rPr>
          <w:rStyle w:val="Style14"/>
        </w:rPr>
        <w:footnoteRef/>
      </w:r>
      <w:r>
        <w:rPr/>
        <w:t xml:space="preserve"> </w:t>
      </w:r>
      <w:r>
        <w:rPr/>
        <w:t xml:space="preserve">Указанное условие включается в Договор, если Договором предусмотрена поставка оборудования, входящего в перечень, утвержденный приказом Минпромторга России от 22.02.2022 № 544 «Об утверждении перечня оборудования, эксплуатируемого по итогам реализации проектов по модернизации, реконструкции или строительству генерирующих объектов тепловых электростанций, включенных в перечень генерирующих объектов тепловых электростанций, подлежащих модернизации (реконструкции) или строительству </w:t>
        <w:br/>
        <w:t>в неценовых зонах оптового рынка электрической энергии и мощности, в отношении которого необходимо получить заключение о подтверждении производства промышленной продукции на территории Российской Федерации» (или заменяющим его документом).</w:t>
      </w:r>
    </w:p>
  </w:footnote>
  <w:footnote w:id="7">
    <w:p>
      <w:pPr>
        <w:pStyle w:val="FootnoteText"/>
        <w:jc w:val="both"/>
        <w:rPr/>
      </w:pPr>
      <w:r>
        <w:rPr>
          <w:rStyle w:val="Style14"/>
        </w:rPr>
        <w:footnoteRef/>
      </w:r>
      <w:r>
        <w:rPr/>
        <w:t xml:space="preserve"> </w:t>
      </w:r>
      <w:r>
        <w:rPr/>
        <w:t>В случае непредоставления новой Банковской гарантии возврата авансового платежа.</w:t>
      </w:r>
    </w:p>
  </w:footnote>
  <w:footnote w:id="8">
    <w:p>
      <w:pPr>
        <w:pStyle w:val="FootnoteText"/>
        <w:jc w:val="both"/>
        <w:rPr/>
      </w:pPr>
      <w:r>
        <w:rPr>
          <w:rStyle w:val="Style14"/>
        </w:rPr>
        <w:footnoteRef/>
      </w:r>
      <w:r>
        <w:rPr/>
        <w:t xml:space="preserve"> </w:t>
      </w:r>
      <w:r>
        <w:rPr>
          <w:highlight w:val="lightGray"/>
        </w:rPr>
        <w:t>Данный пункт применяется только в случае, если в отношении Контрагента (победителя закупки) введены санкции / ограничительные меры. Форма Дополнительного соглашения является типовой (ТФД № 12.3)</w:t>
      </w:r>
      <w:r>
        <w:rPr/>
        <w:t>.</w:t>
      </w:r>
    </w:p>
  </w:footnote>
  <w:footnote w:id="9">
    <w:p>
      <w:pPr>
        <w:pStyle w:val="FootnoteText"/>
        <w:jc w:val="both"/>
        <w:rPr/>
      </w:pPr>
      <w:r>
        <w:rPr>
          <w:rStyle w:val="Style14"/>
        </w:rPr>
        <w:footnoteRef/>
      </w:r>
      <w:r>
        <w:rPr/>
        <w:t xml:space="preserve"> </w:t>
      </w:r>
      <w:r>
        <w:rPr/>
        <w:t>Указанное условие включается в Договор, если в пункте 4.8 Договора установлена обязанность Поставщика предоставить Покупателю копию(-и) заключения(-ий) о подтверждении производства Товара на территории Российской Федерации, выданного(-ых) Минпромторгом России в соответствии с постановлением Правительства Российской Федерации от 17.07.2015 № 719 «О подтверждении производства промышленной продукции на территории Российской Федерации».</w:t>
      </w:r>
    </w:p>
  </w:footnote>
  <w:footnote w:id="10">
    <w:p>
      <w:pPr>
        <w:pStyle w:val="FootnoteText"/>
        <w:rPr/>
      </w:pPr>
      <w:r>
        <w:rPr>
          <w:rStyle w:val="Style14"/>
        </w:rPr>
        <w:footnoteRef/>
      </w:r>
      <w:r>
        <w:rPr/>
        <w:t xml:space="preserve"> </w:t>
      </w:r>
      <w:r>
        <w:rPr/>
        <w:t xml:space="preserve">Подсудность определяется в соответствии с внутренними распорядительными документами Общества. </w:t>
      </w:r>
    </w:p>
  </w:footnote>
  <w:footnote w:id="11">
    <w:p>
      <w:pPr>
        <w:pStyle w:val="FootnoteText"/>
        <w:jc w:val="both"/>
        <w:rPr/>
      </w:pPr>
      <w:r>
        <w:rPr>
          <w:rStyle w:val="Style14"/>
        </w:rPr>
        <w:footnoteRef/>
      </w:r>
      <w:r>
        <w:rPr/>
        <w:t xml:space="preserve"> </w:t>
      </w:r>
      <w:r>
        <w:rPr>
          <w:highlight w:val="lightGray"/>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rPr/>
        <w:t>.</w:t>
      </w:r>
    </w:p>
  </w:footnote>
  <w:footnote w:id="12">
    <w:p>
      <w:pPr>
        <w:pStyle w:val="FootnoteText"/>
        <w:jc w:val="both"/>
        <w:rPr/>
      </w:pPr>
      <w:r>
        <w:rPr>
          <w:rStyle w:val="Style14"/>
        </w:rPr>
        <w:footnoteRef/>
      </w:r>
      <w:r>
        <w:rPr/>
        <w:t xml:space="preserve"> </w:t>
      </w:r>
      <w:r>
        <w:rPr/>
        <w:t>В случае если Поставщик является СМП, уступка (передача) им прав (требований) к Покупателю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Покупателя, в котором не может быть необоснованно отказано.</w:t>
      </w:r>
    </w:p>
  </w:footnote>
  <w:footnote w:id="13">
    <w:p>
      <w:pPr>
        <w:pStyle w:val="FootnoteText"/>
        <w:jc w:val="both"/>
        <w:rPr/>
      </w:pPr>
      <w:r>
        <w:rPr>
          <w:rStyle w:val="Style14"/>
        </w:rPr>
        <w:footnoteRef/>
      </w:r>
      <w:r>
        <w:rPr/>
        <w:t xml:space="preserve"> </w:t>
      </w:r>
      <w:r>
        <w:rPr>
          <w:highlight w:val="lightGray"/>
        </w:rPr>
        <w:t>Применяется в случае подписания собственноручно без использования усиленных квалифицированных электронных подписей (УКЭП).</w:t>
      </w:r>
    </w:p>
  </w:footnote>
  <w:footnote w:id="14">
    <w:p>
      <w:pPr>
        <w:pStyle w:val="FootnoteText"/>
        <w:jc w:val="both"/>
        <w:rPr/>
      </w:pPr>
      <w:r>
        <w:rPr>
          <w:rStyle w:val="Style14"/>
        </w:rPr>
        <w:footnoteRef/>
      </w:r>
      <w:r>
        <w:rPr/>
        <w:t xml:space="preserve"> </w:t>
      </w:r>
      <w:r>
        <w:rPr/>
        <w:t xml:space="preserve">В соответствии с Общероссийским классификатором стран мира (утв. постановлением Госстандарта России </w:t>
        <w:br/>
        <w:t>от 14.12.2001 № 529-ст).</w:t>
      </w:r>
    </w:p>
  </w:footnote>
  <w:footnote w:id="15">
    <w:p>
      <w:pPr>
        <w:pStyle w:val="FootnoteText"/>
        <w:jc w:val="both"/>
        <w:rPr/>
      </w:pPr>
      <w:r>
        <w:rPr>
          <w:rStyle w:val="Style14"/>
        </w:rPr>
        <w:footnoteRef/>
      </w:r>
      <w:r>
        <w:rPr/>
        <w:t xml:space="preserve"> </w:t>
      </w:r>
      <w:r>
        <w:rPr>
          <w:bCs/>
        </w:rPr>
        <w:t>Порядковый номер (номера) реестровой записи (реестровых записей), под которой (которыми) Товар  включен</w:t>
      </w:r>
      <w:bookmarkStart w:id="11" w:name="_GoBack_Копия_1_Копия_1_Копия_1_Копия_1_"/>
      <w:bookmarkEnd w:id="11"/>
      <w:r>
        <w:rPr>
          <w:bCs/>
        </w:rPr>
        <w:t xml:space="preserve"> в реестры, предусмотренные пунктом 3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либо иным нормативно-правовым актом, устанавливающим защитные меры в соответствии с законодательством о Национальном режиме</w:t>
      </w:r>
      <w:r>
        <w:rPr>
          <w:rFonts w:eastAsia="Calibri" w:eastAsiaTheme="minorHAnsi"/>
          <w:lang w:eastAsia="en-US"/>
        </w:rPr>
        <w:t>.</w:t>
      </w:r>
    </w:p>
  </w:footnote>
  <w:footnote w:id="16">
    <w:p>
      <w:pPr>
        <w:pStyle w:val="FootnoteText"/>
        <w:jc w:val="both"/>
        <w:rPr/>
      </w:pPr>
      <w:r>
        <w:rPr>
          <w:rStyle w:val="Style14"/>
        </w:rPr>
        <w:footnoteRef/>
      </w:r>
      <w:r>
        <w:rPr/>
        <w:t xml:space="preserve"> </w:t>
      </w:r>
      <w:r>
        <w:rPr/>
        <w:t xml:space="preserve">Не распространяются на договоры, заключенные по результатам конкурентной закупки товаров, работ, услуг в электронной форме только среди субъектов малого и среднего предпринимательства, требования к гарантам </w:t>
        <w:br/>
        <w:t>по которым предусмотрены федеральным законом от 18.07.2011 № 223-ФЗ «О закупках товаров, работ, услуг отдельными видами юридических лиц».</w:t>
      </w:r>
    </w:p>
  </w:footnote>
  <w:footnote w:id="17">
    <w:p>
      <w:pPr>
        <w:pStyle w:val="FootnoteText"/>
        <w:jc w:val="both"/>
        <w:rPr/>
      </w:pPr>
      <w:r>
        <w:rPr>
          <w:rStyle w:val="Style14"/>
        </w:rPr>
        <w:footnoteRef/>
      </w:r>
      <w:r>
        <w:rPr>
          <w:lang w:eastAsia="x-none"/>
        </w:rPr>
        <w:t xml:space="preserve"> </w:t>
      </w:r>
      <w:r>
        <w:rPr>
          <w:lang w:eastAsia="x-none"/>
        </w:rPr>
        <w:t xml:space="preserve">Актуальный Перечень Банков-Гарантов Группы РусГидро размещен на официальном сайте Заказчика </w:t>
      </w:r>
      <w:r>
        <w:rPr/>
        <w:t>http</w:t>
      </w:r>
      <w:r>
        <w:rPr>
          <w:lang w:eastAsia="x-none"/>
        </w:rPr>
        <w:t>://</w:t>
      </w:r>
      <w:r>
        <w:rPr/>
        <w:t>zakupki</w:t>
      </w:r>
      <w:r>
        <w:rPr>
          <w:lang w:eastAsia="x-none"/>
        </w:rPr>
        <w:t>.</w:t>
      </w:r>
      <w:r>
        <w:rPr/>
        <w:t>rushydro</w:t>
      </w:r>
      <w:r>
        <w:rPr>
          <w:lang w:eastAsia="x-none"/>
        </w:rPr>
        <w:t>.</w:t>
      </w:r>
      <w:r>
        <w:rPr/>
        <w:t>ru</w:t>
      </w:r>
      <w:r>
        <w:rPr>
          <w:lang w:eastAsia="x-none"/>
        </w:rPr>
        <w:t>/</w:t>
      </w:r>
      <w:r>
        <w:rPr/>
        <w:t>PublicContent</w:t>
      </w:r>
      <w:r>
        <w:rPr>
          <w:lang w:eastAsia="x-none"/>
        </w:rPr>
        <w:t>/</w:t>
      </w:r>
      <w:r>
        <w:rPr/>
        <w:t>Section</w:t>
      </w:r>
      <w:r>
        <w:rPr>
          <w:lang w:eastAsia="x-none"/>
        </w:rPr>
        <w:t>/.</w:t>
      </w:r>
    </w:p>
  </w:footnote>
  <w:footnote w:id="18">
    <w:p>
      <w:pPr>
        <w:pStyle w:val="FootnoteText"/>
        <w:jc w:val="both"/>
        <w:rPr/>
      </w:pPr>
      <w:r>
        <w:rPr>
          <w:rStyle w:val="Style14"/>
        </w:rPr>
        <w:footnoteRef/>
      </w:r>
      <w:r>
        <w:rPr>
          <w:lang w:eastAsia="x-none"/>
        </w:rPr>
        <w:t xml:space="preserve"> </w:t>
      </w:r>
      <w:r>
        <w:rPr>
          <w:lang w:eastAsia="x-none"/>
        </w:rPr>
        <w:t xml:space="preserve">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w:t>
      </w:r>
      <w:r>
        <w:rPr/>
        <w:t>Reuters</w:t>
      </w:r>
      <w:r>
        <w:rPr>
          <w:lang w:eastAsia="x-none"/>
        </w:rPr>
        <w:t xml:space="preserve">, </w:t>
      </w:r>
      <w:r>
        <w:rPr/>
        <w:t>Bloomberg</w:t>
      </w:r>
      <w:r>
        <w:rPr>
          <w:lang w:eastAsia="x-none"/>
        </w:rPr>
        <w:t>, С</w:t>
      </w:r>
      <w:r>
        <w:rPr/>
        <w:t>bonds</w:t>
      </w:r>
      <w:r>
        <w:rPr>
          <w:lang w:eastAsia="x-none"/>
        </w:rPr>
        <w:t>).</w:t>
      </w:r>
    </w:p>
  </w:footnote>
  <w:footnote w:id="19">
    <w:p>
      <w:pPr>
        <w:pStyle w:val="FootnoteText"/>
        <w:jc w:val="both"/>
        <w:rPr/>
      </w:pPr>
      <w:r>
        <w:rPr>
          <w:rStyle w:val="Style14"/>
        </w:rPr>
        <w:footnoteRef/>
      </w:r>
      <w:r>
        <w:rPr>
          <w:lang w:eastAsia="x-none"/>
        </w:rPr>
        <w:t xml:space="preserve"> </w:t>
      </w:r>
      <w:r>
        <w:rPr>
          <w:lang w:eastAsia="x-none"/>
        </w:rPr>
        <w:t>Данное требование не применяется в отношении небанковских кредитных организаций.</w:t>
      </w:r>
    </w:p>
  </w:footnote>
  <w:footnote w:id="20">
    <w:p>
      <w:pPr>
        <w:pStyle w:val="FootnoteText"/>
        <w:jc w:val="both"/>
        <w:rPr/>
      </w:pPr>
      <w:r>
        <w:rPr>
          <w:rStyle w:val="Style14"/>
        </w:rPr>
        <w:footnoteRef/>
      </w:r>
      <w:r>
        <w:rPr>
          <w:lang w:eastAsia="x-none"/>
        </w:rPr>
        <w:t xml:space="preserve"> </w:t>
      </w:r>
      <w:r>
        <w:rPr>
          <w:lang w:eastAsia="x-none"/>
        </w:rPr>
        <w:t>При издании ПО организационно-распорядительного документа о ТФУ данный критерий может быть исключен.</w:t>
      </w:r>
    </w:p>
  </w:footnote>
  <w:footnote w:id="21">
    <w:p>
      <w:pPr>
        <w:pStyle w:val="FootnoteText"/>
        <w:jc w:val="both"/>
        <w:rPr/>
      </w:pPr>
      <w:r>
        <w:rPr>
          <w:rStyle w:val="Style14"/>
        </w:rPr>
        <w:footnoteRef/>
      </w:r>
      <w:r>
        <w:rPr/>
        <w:t xml:space="preserve"> </w:t>
      </w:r>
      <w:r>
        <w:rPr>
          <w:rFonts w:cs="Times New Roman"/>
        </w:rPr>
        <w:t xml:space="preserve">Значение показателя округляется в большую или меньшую сторону до суммы, кратной 100 млн. руб. </w:t>
        <w:br/>
        <w:t xml:space="preserve">по правилам математического округления. В случае если первая из отделяемых цифр меньше 5,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- 5 440 млн. руб., лимит </w:t>
        <w:br/>
        <w:t xml:space="preserve">к установлению - 5 400 млн. руб.; расчетное значение лимита - 5 450 млн. руб., лимит к установлению - </w:t>
        <w:br/>
        <w:t>5 500 млн. руб.</w:t>
      </w:r>
    </w:p>
  </w:footnote>
  <w:footnote w:id="22">
    <w:p>
      <w:pPr>
        <w:pStyle w:val="FootnoteText"/>
        <w:jc w:val="both"/>
        <w:rPr/>
      </w:pPr>
      <w:r>
        <w:rPr>
          <w:rStyle w:val="Style14"/>
        </w:rPr>
        <w:footnoteRef/>
      </w:r>
      <w:r>
        <w:rPr/>
        <w:t xml:space="preserve"> </w:t>
      </w:r>
      <w:r>
        <w:rPr>
          <w:rFonts w:cs="Times New Roman"/>
        </w:rPr>
        <w:t xml:space="preserve">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w:t>
        <w:br/>
        <w:t xml:space="preserve">из присвоенных (по данным сайта кредитной организации и / или рейтинговых агентств и/или </w:t>
        <w:br/>
        <w:t>из информационных систем Reuters, Bloomberg, Сbonds).</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left" w:pos="1875" w:leader="none"/>
        <w:tab w:val="center" w:pos="4153" w:leader="none"/>
        <w:tab w:val="right" w:pos="8364" w:leader="none"/>
      </w:tabs>
      <w:ind w:hanging="426" w:left="8364"/>
      <w:rPr>
        <w:i/>
        <w:i/>
      </w:rPr>
    </w:pPr>
    <w:r>
      <w:rPr/>
      <w:t xml:space="preserve">ТФД № </w:t>
    </w:r>
    <w:r>
      <w:rPr>
        <w:lang w:val="en-US"/>
      </w:rPr>
      <w:t>2</w:t>
    </w:r>
    <w:r>
      <w:rPr/>
      <w:t>.2.3.</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 xml:space="preserve"> </w:t>
    </w:r>
    <w:r>
      <w:rPr/>
      <w:t>ТФД № 2.2.3.</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1851"/>
        </w:tabs>
        <w:ind w:left="1851" w:hanging="432"/>
      </w:pPr>
      <w:rPr>
        <w:sz w:val="24"/>
        <w:b w:val="false"/>
        <w:szCs w:val="24"/>
      </w:rPr>
    </w:lvl>
    <w:lvl w:ilvl="2">
      <w:start w:val="1"/>
      <w:numFmt w:val="decimal"/>
      <w:lvlText w:val="%1.%2.%3."/>
      <w:lvlJc w:val="left"/>
      <w:pPr>
        <w:tabs>
          <w:tab w:val="num" w:pos="1855"/>
        </w:tabs>
        <w:ind w:left="1639" w:hanging="504"/>
      </w:pPr>
      <w:rPr>
        <w:sz w:val="24"/>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5">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7">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decimal"/>
      <w:lvlText w:val="%1."/>
      <w:lvlJc w:val="left"/>
      <w:pPr>
        <w:tabs>
          <w:tab w:val="num" w:pos="0"/>
        </w:tabs>
        <w:ind w:left="720" w:hanging="360"/>
      </w:pPr>
      <w:rPr>
        <w:rFonts w:cs="Times New Roman"/>
      </w:rPr>
    </w:lvl>
    <w:lvl w:ilvl="1">
      <w:start w:val="1"/>
      <w:numFmt w:val="decimal"/>
      <w:lvlText w:val="%2."/>
      <w:lvlJc w:val="left"/>
      <w:pPr>
        <w:tabs>
          <w:tab w:val="num" w:pos="0"/>
        </w:tabs>
        <w:ind w:left="1430" w:hanging="720"/>
      </w:pPr>
      <w:rPr>
        <w:rFonts w:cs="Times New Roman"/>
      </w:rPr>
    </w:lvl>
    <w:lvl w:ilvl="2">
      <w:start w:val="1"/>
      <w:numFmt w:val="decimal"/>
      <w:lvlText w:val="%1.%2.%3."/>
      <w:lvlJc w:val="left"/>
      <w:pPr>
        <w:tabs>
          <w:tab w:val="num" w:pos="0"/>
        </w:tabs>
        <w:ind w:left="1146" w:hanging="720"/>
      </w:pPr>
      <w:rPr>
        <w:b w:val="false"/>
        <w:rFonts w:cs="Times New Roman"/>
      </w:rPr>
    </w:lvl>
    <w:lvl w:ilvl="3">
      <w:start w:val="1"/>
      <w:numFmt w:val="decimal"/>
      <w:lvlText w:val="%1.%2.%3.%4."/>
      <w:lvlJc w:val="left"/>
      <w:pPr>
        <w:tabs>
          <w:tab w:val="num" w:pos="0"/>
        </w:tabs>
        <w:ind w:left="1506" w:hanging="1080"/>
      </w:pPr>
      <w:rPr>
        <w:rFonts w:cs="Times New Roman"/>
      </w:rPr>
    </w:lvl>
    <w:lvl w:ilvl="4">
      <w:start w:val="1"/>
      <w:numFmt w:val="decimal"/>
      <w:lvlText w:val="%1.%2.%3.%4.%5."/>
      <w:lvlJc w:val="left"/>
      <w:pPr>
        <w:tabs>
          <w:tab w:val="num" w:pos="0"/>
        </w:tabs>
        <w:ind w:left="1440" w:hanging="1080"/>
      </w:pPr>
      <w:rPr>
        <w:rFonts w:cs="Times New Roman"/>
      </w:rPr>
    </w:lvl>
    <w:lvl w:ilvl="5">
      <w:start w:val="1"/>
      <w:numFmt w:val="decimal"/>
      <w:lvlText w:val="%1.%2.%3.%4.%5.%6."/>
      <w:lvlJc w:val="left"/>
      <w:pPr>
        <w:tabs>
          <w:tab w:val="num" w:pos="0"/>
        </w:tabs>
        <w:ind w:left="1800" w:hanging="1440"/>
      </w:pPr>
      <w:rPr>
        <w:rFonts w:cs="Times New Roman"/>
      </w:rPr>
    </w:lvl>
    <w:lvl w:ilvl="6">
      <w:start w:val="1"/>
      <w:numFmt w:val="decimal"/>
      <w:lvlText w:val="%1.%2.%3.%4.%5.%6.%7."/>
      <w:lvlJc w:val="left"/>
      <w:pPr>
        <w:tabs>
          <w:tab w:val="num" w:pos="0"/>
        </w:tabs>
        <w:ind w:left="2160" w:hanging="1800"/>
      </w:pPr>
      <w:rPr>
        <w:rFonts w:cs="Times New Roman"/>
      </w:rPr>
    </w:lvl>
    <w:lvl w:ilvl="7">
      <w:start w:val="1"/>
      <w:numFmt w:val="decimal"/>
      <w:lvlText w:val="%1.%2.%3.%4.%5.%6.%7.%8."/>
      <w:lvlJc w:val="left"/>
      <w:pPr>
        <w:tabs>
          <w:tab w:val="num" w:pos="0"/>
        </w:tabs>
        <w:ind w:left="2160" w:hanging="1800"/>
      </w:pPr>
      <w:rPr>
        <w:rFonts w:cs="Times New Roman"/>
      </w:rPr>
    </w:lvl>
    <w:lvl w:ilvl="8">
      <w:start w:val="1"/>
      <w:numFmt w:val="decimal"/>
      <w:lvlText w:val="%1.%2.%3.%4.%5.%6.%7.%8.%9."/>
      <w:lvlJc w:val="left"/>
      <w:pPr>
        <w:tabs>
          <w:tab w:val="num" w:pos="0"/>
        </w:tabs>
        <w:ind w:left="2520" w:hanging="2160"/>
      </w:pPr>
      <w:rPr>
        <w:rFonts w:cs="Times New Roman"/>
      </w:rPr>
    </w:lvl>
  </w:abstractNum>
  <w:abstractNum w:abstractNumId="13">
    <w:lvl w:ilvl="0">
      <w:start w:val="9"/>
      <w:numFmt w:val="decimal"/>
      <w:lvlText w:val="%1."/>
      <w:lvlJc w:val="left"/>
      <w:pPr>
        <w:tabs>
          <w:tab w:val="num" w:pos="0"/>
        </w:tabs>
        <w:ind w:left="450" w:hanging="450"/>
      </w:pPr>
      <w:rPr>
        <w:rFonts w:cs="Times New Roman"/>
      </w:rPr>
    </w:lvl>
    <w:lvl w:ilvl="1">
      <w:start w:val="1"/>
      <w:numFmt w:val="decimal"/>
      <w:lvlText w:val="%1.%2."/>
      <w:lvlJc w:val="left"/>
      <w:pPr>
        <w:tabs>
          <w:tab w:val="num" w:pos="0"/>
        </w:tabs>
        <w:ind w:left="2136" w:hanging="720"/>
      </w:pPr>
      <w:rPr>
        <w:rFonts w:cs="Times New Roman"/>
      </w:rPr>
    </w:lvl>
    <w:lvl w:ilvl="2">
      <w:start w:val="1"/>
      <w:numFmt w:val="decimal"/>
      <w:lvlText w:val="%1.%2.%3."/>
      <w:lvlJc w:val="left"/>
      <w:pPr>
        <w:tabs>
          <w:tab w:val="num" w:pos="0"/>
        </w:tabs>
        <w:ind w:left="3552" w:hanging="720"/>
      </w:pPr>
      <w:rPr>
        <w:rFonts w:cs="Times New Roman"/>
      </w:rPr>
    </w:lvl>
    <w:lvl w:ilvl="3">
      <w:start w:val="1"/>
      <w:numFmt w:val="decimal"/>
      <w:lvlText w:val="%1.%2.%3.%4."/>
      <w:lvlJc w:val="left"/>
      <w:pPr>
        <w:tabs>
          <w:tab w:val="num" w:pos="0"/>
        </w:tabs>
        <w:ind w:left="5328" w:hanging="1080"/>
      </w:pPr>
      <w:rPr>
        <w:rFonts w:cs="Times New Roman"/>
      </w:rPr>
    </w:lvl>
    <w:lvl w:ilvl="4">
      <w:start w:val="1"/>
      <w:numFmt w:val="decimal"/>
      <w:lvlText w:val="%1.%2.%3.%4.%5."/>
      <w:lvlJc w:val="left"/>
      <w:pPr>
        <w:tabs>
          <w:tab w:val="num" w:pos="0"/>
        </w:tabs>
        <w:ind w:left="6744" w:hanging="1080"/>
      </w:pPr>
      <w:rPr>
        <w:rFonts w:cs="Times New Roman"/>
      </w:rPr>
    </w:lvl>
    <w:lvl w:ilvl="5">
      <w:start w:val="1"/>
      <w:numFmt w:val="decimal"/>
      <w:lvlText w:val="%1.%2.%3.%4.%5.%6."/>
      <w:lvlJc w:val="left"/>
      <w:pPr>
        <w:tabs>
          <w:tab w:val="num" w:pos="0"/>
        </w:tabs>
        <w:ind w:left="8520" w:hanging="1440"/>
      </w:pPr>
      <w:rPr>
        <w:rFonts w:cs="Times New Roman"/>
      </w:rPr>
    </w:lvl>
    <w:lvl w:ilvl="6">
      <w:start w:val="1"/>
      <w:numFmt w:val="decimal"/>
      <w:lvlText w:val="%1.%2.%3.%4.%5.%6.%7."/>
      <w:lvlJc w:val="left"/>
      <w:pPr>
        <w:tabs>
          <w:tab w:val="num" w:pos="0"/>
        </w:tabs>
        <w:ind w:left="10296" w:hanging="1800"/>
      </w:pPr>
      <w:rPr>
        <w:rFonts w:cs="Times New Roman"/>
      </w:rPr>
    </w:lvl>
    <w:lvl w:ilvl="7">
      <w:start w:val="1"/>
      <w:numFmt w:val="decimal"/>
      <w:lvlText w:val="%1.%2.%3.%4.%5.%6.%7.%8."/>
      <w:lvlJc w:val="left"/>
      <w:pPr>
        <w:tabs>
          <w:tab w:val="num" w:pos="0"/>
        </w:tabs>
        <w:ind w:left="11712" w:hanging="1800"/>
      </w:pPr>
      <w:rPr>
        <w:rFonts w:cs="Times New Roman"/>
      </w:rPr>
    </w:lvl>
    <w:lvl w:ilvl="8">
      <w:start w:val="1"/>
      <w:numFmt w:val="decimal"/>
      <w:lvlText w:val="%1.%2.%3.%4.%5.%6.%7.%8.%9."/>
      <w:lvlJc w:val="left"/>
      <w:pPr>
        <w:tabs>
          <w:tab w:val="num" w:pos="0"/>
        </w:tabs>
        <w:ind w:left="13488" w:hanging="2160"/>
      </w:pPr>
      <w:rPr>
        <w:rFonts w:cs="Times New Roman"/>
      </w:rPr>
    </w:lvl>
  </w:abstractNum>
  <w:abstractNum w:abstractNumId="14">
    <w:lvl w:ilvl="0">
      <w:start w:val="6"/>
      <w:numFmt w:val="decimal"/>
      <w:lvlText w:val="%1."/>
      <w:lvlJc w:val="left"/>
      <w:pPr>
        <w:tabs>
          <w:tab w:val="num" w:pos="0"/>
        </w:tabs>
        <w:ind w:left="360" w:hanging="360"/>
      </w:pPr>
      <w:rPr/>
    </w:lvl>
    <w:lvl w:ilvl="1">
      <w:start w:val="5"/>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w="http://schemas.openxmlformats.org/wordprocessingml/2006/main">
  <w:zoom w:percent="100"/>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99"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b206e"/>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a264b0"/>
    <w:pPr>
      <w:keepNext w:val="true"/>
      <w:spacing w:before="240" w:after="60"/>
      <w:outlineLvl w:val="0"/>
    </w:pPr>
    <w:rPr>
      <w:rFonts w:ascii="Arial" w:hAnsi="Arial" w:cs="Arial"/>
      <w:b/>
      <w:bCs/>
      <w:kern w:val="2"/>
      <w:sz w:val="32"/>
      <w:szCs w:val="32"/>
    </w:rPr>
  </w:style>
  <w:style w:type="paragraph" w:styleId="Heading3">
    <w:name w:val="Heading 3"/>
    <w:basedOn w:val="Normal"/>
    <w:next w:val="Normal"/>
    <w:link w:val="31"/>
    <w:qFormat/>
    <w:rsid w:val="001b1bd9"/>
    <w:pPr>
      <w:keepNext w:val="true"/>
      <w:keepLines/>
      <w:spacing w:before="200" w:after="0"/>
      <w:outlineLvl w:val="2"/>
    </w:pPr>
    <w:rPr>
      <w:rFonts w:ascii="Cambria" w:hAnsi="Cambria"/>
      <w:b/>
      <w:bCs/>
      <w:color w:val="4F81BD"/>
      <w:lang w:val="x-none" w:eastAsia="x-none"/>
    </w:rPr>
  </w:style>
  <w:style w:type="character" w:styleId="DefaultParagraphFont" w:default="1">
    <w:name w:val="Default Paragraph Font"/>
    <w:uiPriority w:val="1"/>
    <w:semiHidden/>
    <w:unhideWhenUsed/>
    <w:qFormat/>
    <w:rPr/>
  </w:style>
  <w:style w:type="character" w:styleId="Style7" w:customStyle="1">
    <w:name w:val="Заголовок Знак"/>
    <w:qFormat/>
    <w:locked/>
    <w:rsid w:val="00565582"/>
    <w:rPr>
      <w:b/>
      <w:bCs/>
      <w:sz w:val="24"/>
      <w:szCs w:val="24"/>
      <w:lang w:val="ru-RU" w:eastAsia="ru-RU" w:bidi="ar-SA"/>
    </w:rPr>
  </w:style>
  <w:style w:type="character" w:styleId="Style8" w:customStyle="1">
    <w:name w:val="Основной текст Знак"/>
    <w:qFormat/>
    <w:rsid w:val="00565582"/>
    <w:rPr>
      <w:lang w:val="ru-RU" w:eastAsia="ru-RU" w:bidi="ar-SA"/>
    </w:rPr>
  </w:style>
  <w:style w:type="character" w:styleId="Pagenumber">
    <w:name w:val="page number"/>
    <w:basedOn w:val="DefaultParagraphFont"/>
    <w:qFormat/>
    <w:rsid w:val="008b02a1"/>
    <w:rPr/>
  </w:style>
  <w:style w:type="character" w:styleId="3" w:customStyle="1">
    <w:name w:val="Основной текст 3 Знак"/>
    <w:link w:val="BodyText3"/>
    <w:qFormat/>
    <w:rsid w:val="005a0965"/>
    <w:rPr>
      <w:sz w:val="16"/>
      <w:szCs w:val="16"/>
    </w:rPr>
  </w:style>
  <w:style w:type="character" w:styleId="Annotationreference">
    <w:name w:val="annotation reference"/>
    <w:qFormat/>
    <w:rsid w:val="00d36934"/>
    <w:rPr>
      <w:sz w:val="16"/>
      <w:szCs w:val="16"/>
    </w:rPr>
  </w:style>
  <w:style w:type="character" w:styleId="Style9" w:customStyle="1">
    <w:name w:val="Текст примечания Знак"/>
    <w:basedOn w:val="DefaultParagraphFont"/>
    <w:link w:val="Annotationtext"/>
    <w:qFormat/>
    <w:rsid w:val="00d36934"/>
    <w:rPr/>
  </w:style>
  <w:style w:type="character" w:styleId="Style10" w:customStyle="1">
    <w:name w:val="Тема примечания Знак"/>
    <w:link w:val="Annotationsubject"/>
    <w:uiPriority w:val="99"/>
    <w:qFormat/>
    <w:rsid w:val="00d36934"/>
    <w:rPr>
      <w:b/>
      <w:bCs/>
    </w:rPr>
  </w:style>
  <w:style w:type="character" w:styleId="31" w:customStyle="1">
    <w:name w:val="Заголовок 3 Знак"/>
    <w:semiHidden/>
    <w:qFormat/>
    <w:rsid w:val="001b1bd9"/>
    <w:rPr>
      <w:rFonts w:ascii="Cambria" w:hAnsi="Cambria" w:eastAsia="Times New Roman" w:cs="Times New Roman"/>
      <w:b/>
      <w:bCs/>
      <w:color w:val="4F81BD"/>
    </w:rPr>
  </w:style>
  <w:style w:type="character" w:styleId="Style11" w:customStyle="1">
    <w:name w:val="Основной текст с отступом Знак"/>
    <w:basedOn w:val="DefaultParagraphFont"/>
    <w:qFormat/>
    <w:rsid w:val="00e00bca"/>
    <w:rPr/>
  </w:style>
  <w:style w:type="character" w:styleId="Style12" w:customStyle="1">
    <w:name w:val="комментарий"/>
    <w:uiPriority w:val="99"/>
    <w:qFormat/>
    <w:rsid w:val="00d562c0"/>
    <w:rPr>
      <w:rFonts w:cs="Times New Roman"/>
      <w:b/>
      <w:bCs/>
      <w:i/>
      <w:iCs/>
      <w:shd w:fill="FFFF99" w:val="clear"/>
    </w:rPr>
  </w:style>
  <w:style w:type="character" w:styleId="Style13" w:customStyle="1">
    <w:name w:val="Текст сноски Знак"/>
    <w:basedOn w:val="DefaultParagraphFont"/>
    <w:uiPriority w:val="99"/>
    <w:qFormat/>
    <w:rsid w:val="00f47c6a"/>
    <w:rPr/>
  </w:style>
  <w:style w:type="character" w:styleId="Style14">
    <w:name w:val="Символ сноски"/>
    <w:uiPriority w:val="99"/>
    <w:qFormat/>
    <w:rsid w:val="00f47c6a"/>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0449a5"/>
    <w:rPr/>
  </w:style>
  <w:style w:type="character" w:styleId="Hyperlink">
    <w:name w:val="Hyperlink"/>
    <w:rsid w:val="005e6f32"/>
    <w:rPr>
      <w:color w:val="0000FF"/>
      <w:u w:val="single"/>
    </w:rPr>
  </w:style>
  <w:style w:type="character" w:styleId="Style16" w:customStyle="1">
    <w:name w:val="Нижний колонтитул Знак"/>
    <w:uiPriority w:val="99"/>
    <w:qFormat/>
    <w:rsid w:val="00d925fb"/>
    <w:rPr/>
  </w:style>
  <w:style w:type="character" w:styleId="Style17" w:customStyle="1">
    <w:name w:val="Абзац списка Знак"/>
    <w:link w:val="ListParagraph"/>
    <w:uiPriority w:val="34"/>
    <w:qFormat/>
    <w:locked/>
    <w:rsid w:val="00182860"/>
    <w:rPr/>
  </w:style>
  <w:style w:type="character" w:styleId="LineNumber">
    <w:name w:val="Line Number"/>
    <w:rPr/>
  </w:style>
  <w:style w:type="character" w:styleId="Style18">
    <w:name w:val="Символ концевой сноски"/>
    <w:qFormat/>
    <w:rPr>
      <w:vertAlign w:val="superscript"/>
    </w:rPr>
  </w:style>
  <w:style w:type="character" w:styleId="EndnoteReference">
    <w:name w:val="Endnote Reference"/>
    <w:rPr>
      <w:vertAlign w:val="superscript"/>
    </w:rPr>
  </w:style>
  <w:style w:type="character" w:styleId="FollowedHyperlink">
    <w:name w:val="FollowedHyperlink"/>
    <w:rPr>
      <w:color w:val="800000"/>
      <w:u w:val="single"/>
    </w:rPr>
  </w:style>
  <w:style w:type="paragraph" w:styleId="Style19">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8"/>
    <w:rsid w:val="00084bde"/>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20">
    <w:name w:val="Указатель"/>
    <w:basedOn w:val="Normal"/>
    <w:qFormat/>
    <w:pPr>
      <w:suppressLineNumbers/>
    </w:pPr>
    <w:rPr/>
  </w:style>
  <w:style w:type="paragraph" w:styleId="Title">
    <w:name w:val="Title"/>
    <w:basedOn w:val="Normal"/>
    <w:link w:val="Style7"/>
    <w:qFormat/>
    <w:rsid w:val="00a264b0"/>
    <w:pPr>
      <w:jc w:val="center"/>
    </w:pPr>
    <w:rPr>
      <w:b/>
      <w:bCs/>
      <w:sz w:val="24"/>
      <w:szCs w:val="24"/>
    </w:rPr>
  </w:style>
  <w:style w:type="paragraph" w:styleId="Style21" w:customStyle="1">
    <w:name w:val="Таблицы (моноширинный)"/>
    <w:basedOn w:val="Normal"/>
    <w:next w:val="Normal"/>
    <w:qFormat/>
    <w:rsid w:val="00a264b0"/>
    <w:pPr>
      <w:jc w:val="both"/>
    </w:pPr>
    <w:rPr>
      <w:rFonts w:ascii="Courier New" w:hAnsi="Courier New" w:cs="Courier New"/>
    </w:rPr>
  </w:style>
  <w:style w:type="paragraph" w:styleId="BodyTextIndent2">
    <w:name w:val="Body Text Indent 2"/>
    <w:basedOn w:val="Normal"/>
    <w:qFormat/>
    <w:rsid w:val="00a264b0"/>
    <w:pPr>
      <w:ind w:hanging="0" w:left="1843"/>
      <w:jc w:val="both"/>
    </w:pPr>
    <w:rPr>
      <w:sz w:val="24"/>
    </w:rPr>
  </w:style>
  <w:style w:type="paragraph" w:styleId="BalloonText">
    <w:name w:val="Balloon Text"/>
    <w:basedOn w:val="Normal"/>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2">
    <w:name w:val="Колонтитул"/>
    <w:basedOn w:val="Normal"/>
    <w:qFormat/>
    <w:pPr/>
    <w:rPr/>
  </w:style>
  <w:style w:type="paragraph" w:styleId="Footer">
    <w:name w:val="Footer"/>
    <w:basedOn w:val="Normal"/>
    <w:link w:val="Style16"/>
    <w:uiPriority w:val="99"/>
    <w:rsid w:val="008b02a1"/>
    <w:pPr>
      <w:tabs>
        <w:tab w:val="clear" w:pos="709"/>
        <w:tab w:val="center" w:pos="4677" w:leader="none"/>
        <w:tab w:val="right" w:pos="9355" w:leader="none"/>
      </w:tabs>
    </w:pPr>
    <w:rPr/>
  </w:style>
  <w:style w:type="paragraph" w:styleId="BodyText3">
    <w:name w:val="Body Text 3"/>
    <w:basedOn w:val="Normal"/>
    <w:link w:val="3"/>
    <w:qFormat/>
    <w:rsid w:val="005a0965"/>
    <w:pPr>
      <w:spacing w:before="0" w:after="120"/>
    </w:pPr>
    <w:rPr>
      <w:sz w:val="16"/>
      <w:szCs w:val="16"/>
      <w:lang w:val="x-none" w:eastAsia="x-none"/>
    </w:rPr>
  </w:style>
  <w:style w:type="paragraph" w:styleId="Annotationtext">
    <w:name w:val="annotation text"/>
    <w:basedOn w:val="Normal"/>
    <w:link w:val="Style9"/>
    <w:qFormat/>
    <w:rsid w:val="00d36934"/>
    <w:pPr/>
    <w:rPr/>
  </w:style>
  <w:style w:type="paragraph" w:styleId="Annotationsubject">
    <w:name w:val="annotation subject"/>
    <w:basedOn w:val="Annotationtext"/>
    <w:next w:val="Annotationtext"/>
    <w:link w:val="Style10"/>
    <w:uiPriority w:val="99"/>
    <w:qFormat/>
    <w:rsid w:val="00d36934"/>
    <w:pPr/>
    <w:rPr>
      <w:b/>
      <w:bCs/>
      <w:lang w:val="x-none" w:eastAsia="x-none"/>
    </w:rPr>
  </w:style>
  <w:style w:type="paragraph" w:styleId="ListParagraph">
    <w:name w:val="List Paragraph"/>
    <w:basedOn w:val="Normal"/>
    <w:link w:val="Style17"/>
    <w:uiPriority w:val="34"/>
    <w:qFormat/>
    <w:rsid w:val="00ec6e7d"/>
    <w:pPr>
      <w:spacing w:before="0" w:after="0"/>
      <w:ind w:hanging="0" w:left="720"/>
      <w:contextualSpacing/>
    </w:pPr>
    <w:rPr/>
  </w:style>
  <w:style w:type="paragraph" w:styleId="Style23" w:customStyle="1">
    <w:name w:val="Знак Знак Знак Знак Знак Знак Знак Знак Знак"/>
    <w:basedOn w:val="Normal"/>
    <w:uiPriority w:val="99"/>
    <w:qFormat/>
    <w:rsid w:val="00d31bfd"/>
    <w:pPr>
      <w:widowControl/>
      <w:spacing w:lineRule="exact" w:line="240" w:before="0" w:after="160"/>
      <w:jc w:val="both"/>
    </w:pPr>
    <w:rPr>
      <w:rFonts w:ascii="Verdana" w:hAnsi="Verdana"/>
      <w:sz w:val="22"/>
      <w:lang w:val="en-US" w:eastAsia="en-US"/>
    </w:rPr>
  </w:style>
  <w:style w:type="paragraph" w:styleId="Style24" w:customStyle="1">
    <w:name w:val="Подпункт договора"/>
    <w:basedOn w:val="Normal"/>
    <w:qFormat/>
    <w:rsid w:val="00d31bfd"/>
    <w:pPr>
      <w:widowControl/>
      <w:tabs>
        <w:tab w:val="clear" w:pos="709"/>
        <w:tab w:val="left" w:pos="360" w:leader="none"/>
      </w:tabs>
      <w:jc w:val="both"/>
    </w:pPr>
    <w:rPr>
      <w:rFonts w:ascii="Arial" w:hAnsi="Arial"/>
    </w:rPr>
  </w:style>
  <w:style w:type="paragraph" w:styleId="ConsNormal" w:customStyle="1">
    <w:name w:val="ConsNormal"/>
    <w:qFormat/>
    <w:rsid w:val="00b53021"/>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BodyTextIndent">
    <w:name w:val="Body Text Indent"/>
    <w:basedOn w:val="Normal"/>
    <w:link w:val="Style11"/>
    <w:rsid w:val="00e00bca"/>
    <w:pPr>
      <w:spacing w:before="0" w:after="120"/>
      <w:ind w:hanging="0" w:left="283"/>
    </w:pPr>
    <w:rPr/>
  </w:style>
  <w:style w:type="paragraph" w:styleId="Style25"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link w:val="Style13"/>
    <w:uiPriority w:val="99"/>
    <w:rsid w:val="00f47c6a"/>
    <w:pPr/>
    <w:rPr/>
  </w:style>
  <w:style w:type="paragraph" w:styleId="ListBullet3">
    <w:name w:val="List Bullet 3"/>
    <w:basedOn w:val="Normal"/>
    <w:uiPriority w:val="99"/>
    <w:unhideWhenUsed/>
    <w:qFormat/>
    <w:rsid w:val="00fa3bf9"/>
    <w:pPr>
      <w:widowControl/>
      <w:tabs>
        <w:tab w:val="clear" w:pos="709"/>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09"/>
        <w:tab w:val="left" w:pos="851" w:leader="none"/>
      </w:tabs>
      <w:spacing w:lineRule="auto" w:line="360"/>
      <w:ind w:hanging="851" w:left="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5"/>
    <w:uiPriority w:val="99"/>
    <w:rsid w:val="000449a5"/>
    <w:pPr>
      <w:tabs>
        <w:tab w:val="clear" w:pos="709"/>
        <w:tab w:val="center" w:pos="4677" w:leader="none"/>
        <w:tab w:val="right" w:pos="9355" w:leader="none"/>
      </w:tabs>
    </w:pPr>
    <w:rPr/>
  </w:style>
  <w:style w:type="paragraph" w:styleId="Style26" w:customStyle="1">
    <w:name w:val="Пункт договора"/>
    <w:basedOn w:val="Normal"/>
    <w:qFormat/>
    <w:rsid w:val="00e65842"/>
    <w:pPr>
      <w:jc w:val="both"/>
    </w:pPr>
    <w:rPr>
      <w:rFonts w:ascii="Arial" w:hAnsi="Arial"/>
    </w:rPr>
  </w:style>
  <w:style w:type="paragraph" w:styleId="1" w:customStyle="1">
    <w:name w:val="Знак Знак Знак Знак Знак Знак Знак Знак Знак1"/>
    <w:basedOn w:val="Normal"/>
    <w:qFormat/>
    <w:rsid w:val="007d41d8"/>
    <w:pPr>
      <w:widowControl/>
      <w:spacing w:lineRule="exact" w:line="240" w:before="0" w:after="160"/>
      <w:jc w:val="both"/>
    </w:pPr>
    <w:rPr>
      <w:rFonts w:ascii="Verdana" w:hAnsi="Verdana"/>
      <w:sz w:val="22"/>
      <w:lang w:val="en-US" w:eastAsia="en-US"/>
    </w:rPr>
  </w:style>
  <w:style w:type="paragraph" w:styleId="11" w:customStyle="1">
    <w:name w:val="Обычный1"/>
    <w:qFormat/>
    <w:rsid w:val="0073039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rsid w:val="00a510bb"/>
    <w:pPr>
      <w:widowControl w:val="false"/>
      <w:suppressAutoHyphens w:val="true"/>
      <w:bidi w:val="0"/>
      <w:spacing w:before="0" w:after="0"/>
      <w:jc w:val="left"/>
    </w:pPr>
    <w:rPr>
      <w:rFonts w:ascii="Calibri" w:hAnsi="Calibri" w:eastAsia="Times New Roman" w:cs="Calibri"/>
      <w:color w:val="auto"/>
      <w:kern w:val="0"/>
      <w:sz w:val="22"/>
      <w:szCs w:val="20"/>
      <w:lang w:val="ru-RU" w:eastAsia="ru-RU" w:bidi="ar-SA"/>
    </w:rPr>
  </w:style>
  <w:style w:type="paragraph" w:styleId="NoSpacing">
    <w:name w:val="No Spacing"/>
    <w:qFormat/>
    <w:pPr>
      <w:widowControl/>
      <w:suppressAutoHyphens w:val="true"/>
      <w:bidi w:val="0"/>
      <w:spacing w:before="0" w:after="0"/>
      <w:jc w:val="left"/>
    </w:pPr>
    <w:rPr>
      <w:rFonts w:ascii="Calibri" w:hAnsi="Calibri" w:eastAsia="Times New Roman" w:cs="Calibri"/>
      <w:color w:val="auto"/>
      <w:kern w:val="0"/>
      <w:sz w:val="22"/>
      <w:szCs w:val="22"/>
      <w:lang w:val="ru-RU" w:eastAsia="zh-CN" w:bidi="ar-SA"/>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9">
    <w:name w:val="Table Grid"/>
    <w:basedOn w:val="a1"/>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hyperlink" Target="http://www.cbr.ru/" TargetMode="External"/><Relationship Id="rId9" Type="http://schemas.openxmlformats.org/officeDocument/2006/relationships/hyperlink" Target="http://www.cbr.ru/" TargetMode="Externa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footnotes" Target="footnotes.xml"/><Relationship Id="rId15" Type="http://schemas.openxmlformats.org/officeDocument/2006/relationships/numbering" Target="numbering.xml"/><Relationship Id="rId16" Type="http://schemas.openxmlformats.org/officeDocument/2006/relationships/fontTable" Target="fontTable.xml"/><Relationship Id="rId17" Type="http://schemas.openxmlformats.org/officeDocument/2006/relationships/settings" Target="settings.xml"/><Relationship Id="rId18" Type="http://schemas.openxmlformats.org/officeDocument/2006/relationships/theme" Target="theme/theme1.xml"/><Relationship Id="rId19" Type="http://schemas.openxmlformats.org/officeDocument/2006/relationships/customXml" Target="../customXml/item1.xml"/><Relationship Id="rId20" Type="http://schemas.openxmlformats.org/officeDocument/2006/relationships/customXml" Target="../customXml/item2.xml"/><Relationship Id="rId21" Type="http://schemas.openxmlformats.org/officeDocument/2006/relationships/customXml" Target="../customXml/item3.xml"/><Relationship Id="rId22"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B0BAB9-8B8F-4B85-B8DF-266ED50E1B2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DDC28637-82A2-4882-B880-456EC7FD591C}">
  <ds:schemaRefs>
    <ds:schemaRef ds:uri="http://schemas.openxmlformats.org/officeDocument/2006/bibliography"/>
  </ds:schemaRefs>
</ds:datastoreItem>
</file>

<file path=customXml/itemProps3.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4.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821</TotalTime>
  <Application>AlterOffice/2026.2.0.0$Linux_X86_64 LibreOffice_project/bc4ef1adf80b36c7a6365f8ed6cbf29021361edd</Application>
  <AppVersion>15.0000</AppVersion>
  <Pages>26</Pages>
  <Words>9657</Words>
  <Characters>69407</Characters>
  <CharactersWithSpaces>78756</CharactersWithSpaces>
  <Paragraphs>435</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2024-04-03T13:12:00Z</dcterms:created>
  <dc:creator>tsypilev_ag</dc:creator>
  <dc:description/>
  <dc:language>ru-RU</dc:language>
  <cp:lastModifiedBy>schigarevnn@corp.gidroogk.com</cp:lastModifiedBy>
  <cp:lastPrinted>2018-05-22T09:46:00Z</cp:lastPrinted>
  <dcterms:modified xsi:type="dcterms:W3CDTF">2026-09-30T11:56:58Z</dcterms:modified>
  <cp:revision>62</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