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jpeg" ContentType="image/jpeg"/>
  <Default Extension="xml" ContentType="application/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oter8.xml" ContentType="application/vnd.openxmlformats-officedocument.wordprocessingml.footer+xml"/>
  <Override PartName="/word/footer11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0.xml" ContentType="application/vnd.openxmlformats-officedocument.wordprocessingml.foot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1.xml" ContentType="application/vnd.openxmlformats-officedocument.wordprocessingml.head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9540" w:leader="none"/>
        </w:tabs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ab/>
      </w:r>
      <w:r>
        <w:rPr>
          <w:sz w:val="26"/>
          <w:szCs w:val="26"/>
        </w:rPr>
        <w:t>Приложение №1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к договору поставки от _______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№</w:t>
      </w:r>
      <w:r>
        <w:rPr>
          <w:sz w:val="26"/>
          <w:szCs w:val="26"/>
        </w:rPr>
        <w:t>____________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6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Технические требования</w:t>
      </w:r>
    </w:p>
    <w:p>
      <w:pPr>
        <w:pStyle w:val="Normal"/>
        <w:spacing w:lineRule="auto" w:line="26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64"/>
        <w:jc w:val="center"/>
        <w:rPr>
          <w:sz w:val="26"/>
          <w:szCs w:val="26"/>
        </w:rPr>
      </w:pPr>
      <w:r>
        <w:rPr>
          <w:rFonts w:eastAsia="Calibri"/>
          <w:b/>
          <w:bCs/>
          <w:sz w:val="26"/>
          <w:szCs w:val="26"/>
          <w:lang w:eastAsia="x-none"/>
        </w:rPr>
        <w:t xml:space="preserve">ОКПД2 </w:t>
      </w:r>
      <w:r>
        <w:rPr>
          <w:rFonts w:eastAsia="Calibri"/>
          <w:b/>
          <w:bCs/>
          <w:color w:val="000000"/>
          <w:sz w:val="26"/>
          <w:szCs w:val="26"/>
          <w:lang w:eastAsia="x-none"/>
        </w:rPr>
        <w:t xml:space="preserve">63.99.10 Приобретение оборудования для реализации технических мер защиты </w:t>
      </w:r>
      <w:r>
        <w:rPr>
          <w:rFonts w:eastAsia="Calibri"/>
          <w:b/>
          <w:bCs/>
          <w:color w:val="000000"/>
          <w:sz w:val="26"/>
          <w:szCs w:val="26"/>
          <w:lang w:eastAsia="x-none"/>
        </w:rPr>
        <w:t>внешних стыков ЦОД М9 с контрагентами</w:t>
      </w:r>
    </w:p>
    <w:p>
      <w:pPr>
        <w:pStyle w:val="Normal"/>
        <w:spacing w:lineRule="auto" w:line="26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Лот №_____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3"/>
            <w:tabs>
              <w:tab w:val="clear" w:pos="708"/>
              <w:tab w:val="left" w:pos="567" w:leader="none"/>
              <w:tab w:val="right" w:pos="9911" w:leader="dot"/>
            </w:tabs>
            <w:spacing w:lineRule="auto" w:line="264"/>
            <w:ind w:left="0"/>
            <w:rPr>
              <w:rFonts w:eastAsia="PMingLiU" w:cs="Times New Roman"/>
              <w:sz w:val="24"/>
              <w:szCs w:val="24"/>
            </w:rPr>
          </w:pPr>
          <w:r>
            <w:fldChar w:fldCharType="begin"/>
          </w:r>
          <w:r>
            <w:rPr>
              <w:rStyle w:val="Style17"/>
              <w:sz w:val="24"/>
              <w:szCs w:val="24"/>
              <w:rFonts w:eastAsia="Calibri" w:cs="Times New Roman"/>
            </w:rPr>
            <w:instrText xml:space="preserve"> TOC \o "1-4" \h</w:instrText>
          </w:r>
          <w:r>
            <w:rPr>
              <w:rStyle w:val="Style17"/>
              <w:sz w:val="24"/>
              <w:szCs w:val="24"/>
              <w:rFonts w:eastAsia="Calibri" w:cs="Times New Roman"/>
            </w:rPr>
            <w:fldChar w:fldCharType="separate"/>
          </w:r>
          <w:hyperlink w:anchor="_Toc229082364">
            <w:r>
              <w:rPr>
                <w:rStyle w:val="Style17"/>
                <w:rFonts w:eastAsia="Calibri" w:cs="Times New Roman"/>
                <w:sz w:val="24"/>
                <w:szCs w:val="24"/>
              </w:rPr>
              <w:t>1.</w:t>
            </w:r>
            <w:r>
              <w:rPr>
                <w:rStyle w:val="Style17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sz w:val="24"/>
                <w:szCs w:val="2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65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1.1.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66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1.2.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67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1.3.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68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1.4.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560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/>
              <w:b w:val="false"/>
              <w:bCs w:val="false"/>
            </w:rPr>
          </w:pPr>
          <w:hyperlink w:anchor="_Toc229082369">
            <w:r>
              <w:rPr>
                <w:rStyle w:val="Style17"/>
                <w:rFonts w:eastAsia="Calibri"/>
                <w:b w:val="false"/>
              </w:rPr>
              <w:t>2.</w:t>
              <w:tab/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70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2.1.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_Toc229082370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71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2.1.1.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_Toc229082371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72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2.1.2.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Требования к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 w:cs="Times New Roman"/>
              <w:b w:val="false"/>
              <w:bCs w:val="false"/>
              <w:sz w:val="24"/>
              <w:szCs w:val="24"/>
            </w:rPr>
          </w:pPr>
          <w:hyperlink w:anchor="_Toc229082373"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2.2.</w:t>
            </w:r>
            <w:r>
              <w:rPr>
                <w:rStyle w:val="Style17"/>
                <w:rFonts w:eastAsia="PMingLiU" w:cs="Times New Roman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7"/>
                <w:rFonts w:eastAsia="Calibri" w:cs="Times New Roman"/>
                <w:b w:val="false"/>
                <w:sz w:val="24"/>
                <w:szCs w:val="2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rFonts w:cs="Times New Roman"/>
                <w:b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560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/>
              <w:b w:val="false"/>
              <w:bCs w:val="false"/>
            </w:rPr>
          </w:pPr>
          <w:hyperlink w:anchor="_Toc229082374">
            <w:r>
              <w:rPr>
                <w:rStyle w:val="Style17"/>
                <w:rFonts w:eastAsia="Calibri"/>
                <w:b w:val="false"/>
              </w:rPr>
              <w:t>3.</w:t>
            </w:r>
            <w:r>
              <w:rPr>
                <w:rStyle w:val="Style17"/>
                <w:rFonts w:eastAsia="PMingLiU"/>
                <w:b w:val="false"/>
                <w:bCs w:val="false"/>
              </w:rPr>
              <w:tab/>
            </w:r>
            <w:r>
              <w:rPr>
                <w:rStyle w:val="Style17"/>
                <w:rFonts w:eastAsia="Calibri"/>
                <w:b w:val="false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560"/>
              <w:tab w:val="left" w:pos="567" w:leader="none"/>
              <w:tab w:val="right" w:pos="9911" w:leader="dot"/>
            </w:tabs>
            <w:spacing w:lineRule="auto" w:line="264" w:before="0" w:after="0"/>
            <w:rPr>
              <w:rFonts w:eastAsia="PMingLiU"/>
              <w:b w:val="false"/>
              <w:bCs w:val="false"/>
            </w:rPr>
          </w:pPr>
          <w:hyperlink w:anchor="_Toc229082375">
            <w:r>
              <w:rPr>
                <w:rStyle w:val="Style17"/>
                <w:rFonts w:eastAsia="Calibri"/>
                <w:b w:val="false"/>
              </w:rPr>
              <w:t>4.</w:t>
            </w:r>
            <w:r>
              <w:rPr>
                <w:rStyle w:val="Style17"/>
                <w:rFonts w:eastAsia="PMingLiU"/>
                <w:b w:val="false"/>
                <w:bCs w:val="false"/>
              </w:rPr>
              <w:tab/>
            </w:r>
            <w:r>
              <w:rPr>
                <w:rStyle w:val="Style17"/>
                <w:rFonts w:eastAsia="Calibri"/>
                <w:b w:val="false"/>
                <w:spacing w:val="-8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pacing w:lineRule="auto" w:line="264" w:before="0" w:after="0"/>
            <w:rPr/>
          </w:pPr>
          <w:hyperlink w:anchor="_Toc229082376">
            <w:r>
              <w:rPr>
                <w:rStyle w:val="Style17"/>
                <w:rFonts w:eastAsia="Calibri"/>
                <w:b w:val="false"/>
              </w:rPr>
              <w:t>5.</w:t>
            </w:r>
            <w:r>
              <w:rPr>
                <w:rStyle w:val="Style17"/>
                <w:rFonts w:eastAsia="PMingLiU"/>
                <w:b w:val="false"/>
                <w:bCs w:val="false"/>
              </w:rPr>
              <w:tab/>
            </w:r>
            <w:r>
              <w:rPr>
                <w:rStyle w:val="Style17"/>
                <w:rFonts w:eastAsia="Calibri"/>
                <w:b w:val="false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_Toc229082376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b w:val="false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7"/>
              <w:b w:val="false"/>
            </w:rPr>
            <w:fldChar w:fldCharType="end"/>
          </w:r>
        </w:p>
      </w:sdtContent>
    </w:sdt>
    <w:p>
      <w:pPr>
        <w:pStyle w:val="Rtext1"/>
        <w:rPr/>
      </w:pPr>
      <w:r>
        <w:rPr/>
      </w:r>
      <w:r>
        <w:br w:type="page"/>
      </w:r>
    </w:p>
    <w:p>
      <w:pPr>
        <w:pStyle w:val="Heading3"/>
        <w:numPr>
          <w:ilvl w:val="0"/>
          <w:numId w:val="14"/>
        </w:numPr>
        <w:rPr/>
      </w:pPr>
      <w:bookmarkStart w:id="0" w:name="_Toc51339692"/>
      <w:bookmarkStart w:id="1" w:name="_Toc131080443"/>
      <w:bookmarkStart w:id="2" w:name="_Toc197953190"/>
      <w:bookmarkStart w:id="3" w:name="_Toc229082364"/>
      <w:r>
        <w:rPr>
          <w:rStyle w:val="Blk"/>
          <w:sz w:val="28"/>
        </w:rPr>
        <w:t>Общие сведения</w:t>
      </w:r>
      <w:bookmarkEnd w:id="0"/>
      <w:bookmarkEnd w:id="1"/>
      <w:bookmarkEnd w:id="2"/>
      <w:bookmarkEnd w:id="3"/>
    </w:p>
    <w:p>
      <w:pPr>
        <w:pStyle w:val="HH2"/>
        <w:numPr>
          <w:ilvl w:val="1"/>
          <w:numId w:val="14"/>
        </w:numPr>
        <w:rPr/>
      </w:pPr>
      <w:bookmarkStart w:id="4" w:name="_Toc46743505"/>
      <w:bookmarkStart w:id="5" w:name="_Toc197953191"/>
      <w:bookmarkStart w:id="6" w:name="_Toc131080444"/>
      <w:bookmarkStart w:id="7" w:name="_Toc229082365"/>
      <w:r>
        <w:rPr/>
        <w:t>Обозначения и сокращения</w:t>
      </w:r>
      <w:bookmarkEnd w:id="4"/>
      <w:bookmarkEnd w:id="5"/>
      <w:bookmarkEnd w:id="6"/>
      <w:bookmarkEnd w:id="7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W w:w="9774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556"/>
        <w:gridCol w:w="8217"/>
      </w:tblGrid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ИА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Исполнительный аппарат ПАО «РусГидро»</w:t>
            </w:r>
          </w:p>
        </w:tc>
      </w:tr>
      <w:tr>
        <w:trPr>
          <w:trHeight w:val="70" w:hRule="atLeast"/>
        </w:trPr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Заказчик</w:t>
            </w:r>
          </w:p>
        </w:tc>
        <w:tc>
          <w:tcPr>
            <w:tcW w:w="8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«РусГидро ИТ сервис»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Информационные технологии</w:t>
            </w:r>
            <w:r>
              <w:rPr>
                <w:rStyle w:val="FootnoteReference"/>
                <w:sz w:val="24"/>
                <w:szCs w:val="24"/>
                <w:lang w:eastAsia="x-none"/>
              </w:rPr>
              <w:footnoteReference w:id="2"/>
            </w:r>
            <w:r>
              <w:rPr>
                <w:rStyle w:val="Style"/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x-none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ЛВС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 вычислительная сеть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НМА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Нематериальные активы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система</w:t>
            </w:r>
          </w:p>
        </w:tc>
      </w:tr>
      <w:tr>
        <w:trPr>
          <w:trHeight w:val="70" w:hRule="atLeast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ПО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обеспечение</w:t>
            </w:r>
          </w:p>
        </w:tc>
      </w:tr>
      <w:tr>
        <w:trPr>
          <w:trHeight w:val="70" w:hRule="atLeast"/>
        </w:trPr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Поставщик</w:t>
            </w:r>
          </w:p>
        </w:tc>
        <w:tc>
          <w:tcPr>
            <w:tcW w:w="8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закупки, получивший право на заключение договора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СХД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хранения данных</w:t>
            </w:r>
          </w:p>
        </w:tc>
      </w:tr>
      <w:tr>
        <w:trPr>
          <w:trHeight w:val="138" w:hRule="atLeast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ТП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 поддержка</w:t>
            </w:r>
          </w:p>
        </w:tc>
      </w:tr>
      <w:tr>
        <w:trPr>
          <w:trHeight w:val="138" w:hRule="atLeast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ТТ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ЦОД</w:t>
            </w:r>
          </w:p>
        </w:tc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обработки данных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r>
        <w:br w:type="page"/>
      </w:r>
    </w:p>
    <w:p>
      <w:pPr>
        <w:pStyle w:val="HH2"/>
        <w:numPr>
          <w:ilvl w:val="1"/>
          <w:numId w:val="14"/>
        </w:numPr>
        <w:rPr/>
      </w:pPr>
      <w:bookmarkStart w:id="8" w:name="_Toc229082366"/>
      <w:r>
        <w:rPr/>
        <w:t>Наименование закупаемой продукции</w:t>
      </w:r>
      <w:bookmarkEnd w:id="8"/>
    </w:p>
    <w:p>
      <w:pPr>
        <w:pStyle w:val="Normal"/>
        <w:spacing w:lineRule="auto" w:line="264"/>
        <w:ind w:firstLine="567"/>
        <w:jc w:val="both"/>
        <w:rPr/>
      </w:pPr>
      <w:r>
        <w:rPr>
          <w:rFonts w:eastAsia="Calibri"/>
          <w:sz w:val="24"/>
          <w:szCs w:val="24"/>
          <w:lang w:eastAsia="x-none"/>
        </w:rPr>
        <w:t xml:space="preserve">ОКПД2 </w:t>
      </w:r>
      <w:r>
        <w:rPr>
          <w:rFonts w:eastAsia="Calibri"/>
          <w:color w:val="000000"/>
          <w:sz w:val="24"/>
          <w:szCs w:val="24"/>
          <w:lang w:eastAsia="x-none"/>
        </w:rPr>
        <w:t>63.99.10 Приобретение оборудования для реализации технических мер защиты от актуальных угроз.</w:t>
      </w:r>
    </w:p>
    <w:p>
      <w:pPr>
        <w:pStyle w:val="Rtext1"/>
        <w:rPr>
          <w:rFonts w:eastAsia="Calibri"/>
          <w:szCs w:val="24"/>
        </w:rPr>
      </w:pPr>
      <w:r>
        <w:rPr>
          <w:rFonts w:eastAsia="Calibri"/>
          <w:szCs w:val="24"/>
        </w:rPr>
      </w:r>
    </w:p>
    <w:p>
      <w:pPr>
        <w:pStyle w:val="Rtext1"/>
        <w:rPr>
          <w:rFonts w:eastAsia="Calibri"/>
          <w:szCs w:val="24"/>
        </w:rPr>
      </w:pPr>
      <w:r>
        <w:rPr>
          <w:rFonts w:eastAsia="Calibri"/>
          <w:szCs w:val="24"/>
        </w:rPr>
      </w:r>
    </w:p>
    <w:p>
      <w:pPr>
        <w:pStyle w:val="HH2"/>
        <w:numPr>
          <w:ilvl w:val="1"/>
          <w:numId w:val="14"/>
        </w:numPr>
        <w:rPr/>
      </w:pPr>
      <w:bookmarkStart w:id="9" w:name="_Toc229082367"/>
      <w:bookmarkStart w:id="10" w:name="_Toc197953193"/>
      <w:bookmarkStart w:id="11" w:name="_Toc46743507"/>
      <w:bookmarkStart w:id="12" w:name="_Toc131080446"/>
      <w:r>
        <w:rPr/>
        <w:t xml:space="preserve">Цель </w:t>
      </w:r>
      <w:bookmarkEnd w:id="10"/>
      <w:bookmarkEnd w:id="11"/>
      <w:bookmarkEnd w:id="12"/>
      <w:r>
        <w:rPr/>
        <w:t>использования закупаемой продукции</w:t>
      </w:r>
      <w:bookmarkEnd w:id="9"/>
    </w:p>
    <w:p>
      <w:pPr>
        <w:pStyle w:val="Rtext1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1.3.1 Целью мероприятия является поставка оборудования и программного обеспечения для р</w:t>
      </w:r>
      <w:r>
        <w:rPr>
          <w:rFonts w:eastAsia="Calibri"/>
          <w:spacing w:val="-4"/>
          <w:sz w:val="24"/>
          <w:szCs w:val="24"/>
          <w:lang w:eastAsia="x-none"/>
        </w:rPr>
        <w:t>еализации мероприятий по повышению уровня защищенности информации, передаваемой по внешним каналам связи в ПАО «РусГидро», предусмотренных в рамках работ по Приказу №64 от 04.04.2025</w:t>
      </w:r>
      <w:r>
        <w:rPr>
          <w:rFonts w:eastAsia="Calibri"/>
          <w:szCs w:val="24"/>
          <w:lang w:eastAsia="x-none"/>
        </w:rPr>
        <w:t>.</w:t>
      </w:r>
    </w:p>
    <w:p>
      <w:pPr>
        <w:pStyle w:val="Rtext1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1.3.2. Задачами являются:</w:t>
      </w:r>
    </w:p>
    <w:p>
      <w:pPr>
        <w:pStyle w:val="Lst1"/>
        <w:numPr>
          <w:ilvl w:val="0"/>
          <w:numId w:val="17"/>
        </w:numPr>
        <w:ind w:hanging="567" w:left="567"/>
        <w:rPr/>
      </w:pPr>
      <w:r>
        <w:rPr>
          <w:szCs w:val="24"/>
          <w:lang w:eastAsia="x-none"/>
        </w:rPr>
        <w:t>поставка оборудования ИТ-инфраструктуры</w:t>
      </w:r>
      <w:bookmarkStart w:id="13" w:name="_Toc195824937_Копия_1"/>
      <w:r>
        <w:rPr>
          <w:szCs w:val="24"/>
          <w:lang w:eastAsia="x-none"/>
        </w:rPr>
        <w:t>.</w:t>
      </w:r>
      <w:bookmarkEnd w:id="13"/>
    </w:p>
    <w:p>
      <w:pPr>
        <w:pStyle w:val="Rtext1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Rtext1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Rtext1"/>
        <w:rPr>
          <w:szCs w:val="24"/>
        </w:rPr>
      </w:pPr>
      <w:r>
        <w:rPr>
          <w:szCs w:val="24"/>
        </w:rPr>
      </w:r>
    </w:p>
    <w:p>
      <w:pPr>
        <w:pStyle w:val="HH2"/>
        <w:numPr>
          <w:ilvl w:val="1"/>
          <w:numId w:val="14"/>
        </w:numPr>
        <w:rPr/>
      </w:pPr>
      <w:bookmarkStart w:id="14" w:name="_Toc229082368"/>
      <w:bookmarkStart w:id="15" w:name="_Toc46743508"/>
      <w:bookmarkStart w:id="16" w:name="_Toc197953194"/>
      <w:bookmarkStart w:id="17" w:name="_Toc131080447"/>
      <w:r>
        <w:rPr/>
        <w:t>Существующее положение</w:t>
      </w:r>
      <w:bookmarkEnd w:id="14"/>
      <w:bookmarkEnd w:id="15"/>
      <w:bookmarkEnd w:id="16"/>
      <w:bookmarkEnd w:id="17"/>
    </w:p>
    <w:p>
      <w:pPr>
        <w:pStyle w:val="Normal"/>
        <w:spacing w:lineRule="auto" w:line="276"/>
        <w:ind w:firstLine="567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Требуется замена маршрутизаторов, коммутаторов, балансировщиков нагрузки и виртуального МСЭ на оборудование российского производства, которое соответствует по наименованию или параметрам эквивалентности в соответствии с Приложением № 1 к настоящим Техническим требованиям.</w:t>
      </w:r>
    </w:p>
    <w:p>
      <w:pPr>
        <w:pStyle w:val="Rtext1"/>
        <w:spacing w:lineRule="auto" w:line="276"/>
        <w:ind w:firstLine="567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Перечень объектов учета Заказчика, входящих в контур работ указан в Таблице 1.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Tn1"/>
        <w:spacing w:lineRule="auto" w:line="276" w:before="0" w:after="0"/>
        <w:jc w:val="left"/>
        <w:rPr>
          <w:b/>
        </w:rPr>
      </w:pPr>
      <w:bookmarkStart w:id="18" w:name="_Toc130406163"/>
      <w:bookmarkStart w:id="19" w:name="_Toc131081289"/>
      <w:bookmarkStart w:id="20" w:name="_Toc131080448"/>
      <w:r>
        <w:rPr>
          <w:b/>
        </w:rPr>
        <w:t>Таблица 1. Перечень объектов Заказчика</w:t>
      </w:r>
      <w:bookmarkEnd w:id="18"/>
      <w:bookmarkEnd w:id="19"/>
      <w:bookmarkEnd w:id="20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62"/>
        <w:gridCol w:w="1977"/>
        <w:gridCol w:w="2985"/>
        <w:gridCol w:w="2693"/>
        <w:gridCol w:w="1701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Расположение объекта (место поставки МТР, производства работ)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основного средства (в отношении которого выполняются работы)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l"/>
              <w:widowControl w:val="false"/>
              <w:spacing w:before="0" w:after="0"/>
              <w:contextualSpacing/>
              <w:rPr>
                <w:rFonts w:ascii="Times New Roman" w:hAnsi="Times New Roman"/>
                <w:kern w:val="2"/>
                <w:lang w:val="ru-RU" w:eastAsia="en-US" w:bidi="ar-SA"/>
              </w:rPr>
            </w:pPr>
            <w:r>
              <w:rPr>
                <w:rFonts w:eastAsia="Aptos"/>
                <w:iCs/>
                <w:kern w:val="2"/>
                <w:sz w:val="24"/>
                <w:szCs w:val="24"/>
                <w:lang w:val="ru-RU" w:eastAsia="en-US" w:bidi="ar-SA"/>
              </w:rPr>
              <w:t>Центр обработки данных M9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Российская Федерация, </w:t>
            </w:r>
            <w:r>
              <w:rPr>
                <w:iCs/>
                <w:sz w:val="24"/>
                <w:szCs w:val="24"/>
                <w:lang w:val="en-US"/>
              </w:rPr>
              <w:t>г. Москва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kern w:val="2"/>
                <w:highlight w:val="none"/>
                <w:shd w:fill="FFFF00" w:val="clear"/>
                <w:lang w:val="ru-RU" w:eastAsia="en-US" w:bidi="ar-SA"/>
              </w:rPr>
            </w:pPr>
            <w:r>
              <w:rPr>
                <w:rFonts w:eastAsia="Aptos"/>
                <w:iCs/>
                <w:kern w:val="2"/>
                <w:sz w:val="24"/>
                <w:szCs w:val="24"/>
                <w:shd w:fill="FFFF00" w:val="clear"/>
                <w:lang w:val="ru-RU" w:eastAsia="en-US" w:bidi="ar-SA"/>
              </w:rPr>
              <w:t>Программно-аппаратный комплекс</w:t>
            </w:r>
            <w:r>
              <w:rPr>
                <w:rStyle w:val="FootnoteReference"/>
                <w:rFonts w:eastAsia="Aptos"/>
                <w:iCs/>
                <w:kern w:val="2"/>
                <w:sz w:val="24"/>
                <w:szCs w:val="24"/>
                <w:shd w:fill="FFFF00" w:val="clear"/>
                <w:lang w:val="ru-RU" w:eastAsia="en-US" w:bidi="ar-SA"/>
              </w:rPr>
              <w:footnoteReference w:id="3"/>
            </w:r>
            <w:r>
              <w:rPr>
                <w:rFonts w:eastAsia="Aptos"/>
                <w:iCs/>
                <w:kern w:val="2"/>
                <w:sz w:val="24"/>
                <w:szCs w:val="24"/>
                <w:shd w:fill="FFFF00" w:val="clear"/>
                <w:lang w:val="ru-RU" w:eastAsia="en-US" w:bidi="ar-SA"/>
              </w:rPr>
              <w:t xml:space="preserve"> систем ИТ-инфраструктуры общего назначения, инв. № ОГ00006946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d2"/>
        <w:numPr>
          <w:ilvl w:val="0"/>
          <w:numId w:val="0"/>
        </w:numPr>
        <w:ind w:hanging="0" w:left="0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Rtext1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Hd2"/>
        <w:numPr>
          <w:ilvl w:val="0"/>
          <w:numId w:val="0"/>
        </w:numPr>
        <w:ind w:hanging="0" w:left="0"/>
        <w:rPr>
          <w:lang w:val="x-none"/>
        </w:rPr>
      </w:pPr>
      <w:r>
        <w:rPr>
          <w:lang w:val="x-none"/>
        </w:rPr>
      </w:r>
      <w:r>
        <w:br w:type="page"/>
      </w:r>
    </w:p>
    <w:p>
      <w:pPr>
        <w:pStyle w:val="Heading1"/>
        <w:numPr>
          <w:ilvl w:val="0"/>
          <w:numId w:val="15"/>
        </w:numPr>
        <w:rPr/>
      </w:pPr>
      <w:bookmarkStart w:id="21" w:name="_Toc197953195"/>
      <w:r>
        <w:rPr/>
        <w:tab/>
      </w:r>
      <w:bookmarkStart w:id="22" w:name="_Toc229082369"/>
      <w:r>
        <w:rPr/>
        <w:t>Требования к продукции</w:t>
      </w:r>
      <w:bookmarkEnd w:id="21"/>
      <w:bookmarkEnd w:id="22"/>
    </w:p>
    <w:p>
      <w:pPr>
        <w:pStyle w:val="HH2"/>
        <w:numPr>
          <w:ilvl w:val="1"/>
          <w:numId w:val="15"/>
        </w:numPr>
        <w:rPr/>
      </w:pPr>
      <w:bookmarkStart w:id="23" w:name="_Toc197953196"/>
      <w:bookmarkStart w:id="24" w:name="_Toc229082370"/>
      <w:bookmarkStart w:id="25" w:name="_Toc131080451"/>
      <w:r>
        <w:rPr/>
        <w:t>Требования к объемам и срокам</w:t>
      </w:r>
      <w:bookmarkEnd w:id="25"/>
      <w:r>
        <w:rPr/>
        <w:t xml:space="preserve"> поставки</w:t>
      </w:r>
      <w:bookmarkEnd w:id="23"/>
      <w:bookmarkEnd w:id="24"/>
      <w:r>
        <w:rPr/>
        <w:t xml:space="preserve"> </w:t>
      </w:r>
    </w:p>
    <w:p>
      <w:pPr>
        <w:pStyle w:val="HH2"/>
        <w:numPr>
          <w:ilvl w:val="2"/>
          <w:numId w:val="15"/>
        </w:numPr>
        <w:rPr/>
      </w:pPr>
      <w:bookmarkStart w:id="26" w:name="_Toc197953197"/>
      <w:bookmarkStart w:id="27" w:name="_Toc229082371"/>
      <w:r>
        <w:rPr/>
        <w:t>Перечень и объем закупаемой продукции</w:t>
      </w:r>
      <w:bookmarkEnd w:id="26"/>
      <w:bookmarkEnd w:id="27"/>
    </w:p>
    <w:p>
      <w:pPr>
        <w:pStyle w:val="Normal"/>
        <w:rPr>
          <w:sz w:val="24"/>
          <w:szCs w:val="24"/>
          <w:lang w:val="en-US" w:eastAsia="x-none"/>
        </w:rPr>
      </w:pPr>
      <w:r>
        <w:rPr>
          <w:sz w:val="24"/>
          <w:szCs w:val="24"/>
          <w:lang w:val="en-US" w:eastAsia="x-none"/>
        </w:rPr>
      </w:r>
    </w:p>
    <w:p>
      <w:pPr>
        <w:pStyle w:val="Tn1"/>
        <w:spacing w:lineRule="auto" w:line="276" w:before="0" w:after="0"/>
        <w:jc w:val="left"/>
        <w:rPr>
          <w:b/>
          <w:bCs/>
        </w:rPr>
      </w:pPr>
      <w:bookmarkStart w:id="28" w:name="_Toc51955658"/>
      <w:bookmarkStart w:id="29" w:name="_Toc131080454"/>
      <w:bookmarkStart w:id="30" w:name="_Toc131081295"/>
      <w:bookmarkStart w:id="31" w:name="_Toc130406169"/>
      <w:r>
        <w:rPr>
          <w:b/>
          <w:bCs/>
        </w:rPr>
        <w:t xml:space="preserve">Таблица 1.1. Перечень и объем </w:t>
      </w:r>
      <w:bookmarkEnd w:id="28"/>
      <w:bookmarkEnd w:id="29"/>
      <w:bookmarkEnd w:id="30"/>
      <w:bookmarkEnd w:id="31"/>
      <w:r>
        <w:rPr>
          <w:b/>
          <w:bCs/>
        </w:rPr>
        <w:t>закупаемых материально-технических ресурсов</w:t>
      </w:r>
    </w:p>
    <w:tbl>
      <w:tblPr>
        <w:tblW w:w="991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88"/>
        <w:gridCol w:w="5545"/>
        <w:gridCol w:w="1417"/>
        <w:gridCol w:w="2260"/>
      </w:tblGrid>
      <w:tr>
        <w:trPr>
          <w:tblHeader w:val="true"/>
          <w:trHeight w:val="521" w:hRule="atLeast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во</w:t>
            </w:r>
          </w:p>
        </w:tc>
      </w:tr>
      <w:tr>
        <w:trPr>
          <w:trHeight w:val="58" w:hRule="atLeast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58" w:hRule="atLeast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Маршрутизатор (тип 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58" w:hRule="atLeast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Коммутатор (тип 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58" w:hRule="atLeast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Балансировщик нагрузки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58" w:hRule="atLeast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lang w:eastAsia="x-none"/>
              </w:rPr>
              <w:t xml:space="preserve">Виртуальный </w:t>
            </w:r>
            <w:r>
              <w:rPr>
                <w:iCs/>
                <w:color w:val="000000"/>
                <w:sz w:val="24"/>
                <w:szCs w:val="24"/>
                <w:lang w:val="en-US" w:eastAsia="x-none"/>
              </w:rPr>
              <w:t>NGFW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Rtext1"/>
        <w:rPr>
          <w:b/>
          <w:bCs/>
        </w:rPr>
      </w:pPr>
      <w:r>
        <w:rPr>
          <w:b/>
          <w:bCs/>
        </w:rPr>
      </w:r>
    </w:p>
    <w:p>
      <w:pPr>
        <w:pStyle w:val="Rtext1"/>
        <w:ind w:hanging="0"/>
        <w:rPr>
          <w:i/>
          <w:i/>
        </w:rPr>
      </w:pPr>
      <w:r>
        <w:rPr>
          <w:i/>
        </w:rPr>
        <w:t>п.3 (а) В случае указания в Технических требованиях и приложенной к Техническим требованиям документации конкретных торговых марок и названий продукции участники в составе предложения могут предложить аналогичные, характеристики которых не ниже, чем у продукции, указанной в Технических требованиях. В случае, если Участником предлагается аналог требуемой Заказчиком продукции, в составе своего предложения он должен в обязательном порядке предоставить подробное (в объёме не менее описанного в Технических требованиях) техническое описание предлагаемого к поставке аналога.</w:t>
      </w:r>
      <w:bookmarkStart w:id="32" w:name="_Toc197953198"/>
    </w:p>
    <w:p>
      <w:pPr>
        <w:pStyle w:val="Rtext1"/>
        <w:ind w:hanging="0"/>
        <w:rPr/>
      </w:pPr>
      <w:r>
        <w:rPr/>
      </w:r>
    </w:p>
    <w:p>
      <w:pPr>
        <w:pStyle w:val="HH2"/>
        <w:numPr>
          <w:ilvl w:val="2"/>
          <w:numId w:val="15"/>
        </w:numPr>
        <w:rPr/>
      </w:pPr>
      <w:bookmarkStart w:id="33" w:name="_Toc229082372"/>
      <w:r>
        <w:rPr/>
        <w:t>Требования к срокам поставки продукции</w:t>
      </w:r>
      <w:bookmarkEnd w:id="32"/>
      <w:bookmarkEnd w:id="33"/>
    </w:p>
    <w:p>
      <w:pPr>
        <w:pStyle w:val="Tn1"/>
        <w:spacing w:lineRule="auto" w:line="276" w:before="0" w:after="0"/>
        <w:jc w:val="left"/>
        <w:rPr>
          <w:szCs w:val="24"/>
        </w:rPr>
      </w:pPr>
      <w:bookmarkStart w:id="34" w:name="_Toc131081298"/>
      <w:bookmarkStart w:id="35" w:name="_Toc131080457"/>
      <w:bookmarkStart w:id="36" w:name="_Toc130406172"/>
      <w:r>
        <w:rPr>
          <w:b/>
        </w:rPr>
        <w:t xml:space="preserve">Таблица 2. Требования по срокам поставки </w:t>
      </w:r>
      <w:bookmarkEnd w:id="34"/>
      <w:bookmarkEnd w:id="35"/>
      <w:bookmarkEnd w:id="36"/>
      <w:r>
        <w:rPr>
          <w:b/>
        </w:rPr>
        <w:t>продукции</w:t>
      </w:r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75"/>
        <w:gridCol w:w="3536"/>
        <w:gridCol w:w="2904"/>
        <w:gridCol w:w="2902"/>
      </w:tblGrid>
      <w:tr>
        <w:trPr>
          <w:tblHeader w:val="true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  <w:r>
              <w:rPr>
                <w:rStyle w:val="FootnoteReference"/>
                <w:b/>
                <w:sz w:val="24"/>
                <w:szCs w:val="24"/>
              </w:rPr>
              <w:footnoteReference w:customMarkFollows="1" w:id="4"/>
              <w:t>[</w:t>
            </w:r>
            <w:r>
              <w:rPr>
                <w:b/>
                <w:sz w:val="24"/>
                <w:szCs w:val="24"/>
                <w:vertAlign w:val="superscript"/>
              </w:rPr>
              <w:t>1]</w:t>
            </w:r>
          </w:p>
        </w:tc>
      </w:tr>
      <w:tr>
        <w:trPr>
          <w:trHeight w:val="81" w:hRule="atLeas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bookmarkStart w:id="37" w:name="_Toc46743511"/>
            <w:r>
              <w:rPr>
                <w:b/>
                <w:sz w:val="24"/>
                <w:szCs w:val="24"/>
              </w:rPr>
              <w:t>4</w:t>
            </w:r>
            <w:bookmarkEnd w:id="37"/>
          </w:p>
        </w:tc>
      </w:tr>
      <w:tr>
        <w:trPr/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/>
              <w:jc w:val="center"/>
              <w:rPr/>
            </w:pPr>
            <w:r>
              <w:rPr/>
              <w:t>‍</w:t>
            </w:r>
            <w:r>
              <w:rPr/>
              <w:t>1.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iCs/>
                <w:sz w:val="24"/>
                <w:szCs w:val="24"/>
                <w:lang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Маршрутизатор (тип 1)</w:t>
            </w:r>
          </w:p>
        </w:tc>
        <w:tc>
          <w:tcPr>
            <w:tcW w:w="29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X3</w:t>
            </w:r>
          </w:p>
        </w:tc>
        <w:tc>
          <w:tcPr>
            <w:tcW w:w="29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1134" w:leader="none"/>
                <w:tab w:val="left" w:pos="1418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X + 5 месяцев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1134" w:leader="none"/>
                <w:tab w:val="left" w:pos="1418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/>
              <w:jc w:val="center"/>
              <w:rPr/>
            </w:pPr>
            <w:r>
              <w:rPr/>
              <w:t>2.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Коммутатор (тип 1)</w:t>
            </w:r>
          </w:p>
        </w:tc>
        <w:tc>
          <w:tcPr>
            <w:tcW w:w="29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1134" w:leader="none"/>
                <w:tab w:val="left" w:pos="1418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/>
              <w:jc w:val="center"/>
              <w:rPr/>
            </w:pPr>
            <w:r>
              <w:rPr/>
              <w:t>3.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Балансировщик нагрузки</w:t>
            </w:r>
          </w:p>
        </w:tc>
        <w:tc>
          <w:tcPr>
            <w:tcW w:w="29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1134" w:leader="none"/>
                <w:tab w:val="left" w:pos="1418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/>
              <w:jc w:val="center"/>
              <w:rPr/>
            </w:pPr>
            <w:r>
              <w:rPr/>
              <w:t>4.</w:t>
            </w:r>
          </w:p>
        </w:tc>
        <w:tc>
          <w:tcPr>
            <w:tcW w:w="3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Виртуальный NGFW</w:t>
            </w:r>
          </w:p>
        </w:tc>
        <w:tc>
          <w:tcPr>
            <w:tcW w:w="29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1134" w:leader="none"/>
                <w:tab w:val="left" w:pos="1418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szCs w:val="24"/>
        </w:rPr>
      </w:pPr>
      <w:r>
        <w:rPr>
          <w:szCs w:val="24"/>
        </w:rPr>
      </w:r>
    </w:p>
    <w:p>
      <w:pPr>
        <w:pStyle w:val="Tn1"/>
        <w:spacing w:lineRule="auto" w:line="276" w:before="0" w:after="0"/>
        <w:jc w:val="left"/>
        <w:rPr>
          <w:szCs w:val="24"/>
        </w:rPr>
      </w:pPr>
      <w:r>
        <w:rPr>
          <w:b/>
          <w:szCs w:val="24"/>
        </w:rPr>
        <w:t>Поставка осуществляется после предварительного официального согласования сроков поставки с Заказчиком.</w:t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sectPr>
          <w:headerReference w:type="default" r:id="rId2"/>
          <w:headerReference w:type="first" r:id="rId3"/>
          <w:footerReference w:type="first" r:id="rId4"/>
          <w:footnotePr>
            <w:numFmt w:val="decimal"/>
          </w:footnotePr>
          <w:type w:val="nextPage"/>
          <w:pgSz w:w="11906" w:h="16838"/>
          <w:pgMar w:left="1134" w:right="851" w:gutter="0" w:header="567" w:top="1134" w:footer="567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FootnoteText"/>
        <w:spacing w:lineRule="auto" w:line="276" w:before="0" w:after="0"/>
        <w:jc w:val="left"/>
        <w:rPr>
          <w:szCs w:val="24"/>
        </w:rPr>
      </w:pPr>
      <w:r>
        <w:rPr>
          <w:szCs w:val="24"/>
        </w:rPr>
      </w:r>
    </w:p>
    <w:p>
      <w:pPr>
        <w:pStyle w:val="HH2"/>
        <w:numPr>
          <w:ilvl w:val="1"/>
          <w:numId w:val="15"/>
        </w:numPr>
        <w:rPr/>
      </w:pPr>
      <w:bookmarkStart w:id="38" w:name="_Toc197953199"/>
      <w:bookmarkStart w:id="39" w:name="_Toc131080458"/>
      <w:bookmarkStart w:id="40" w:name="_Toc229082373"/>
      <w:r>
        <w:rPr/>
        <w:t>Требования к качеству продукции</w:t>
      </w:r>
      <w:bookmarkEnd w:id="38"/>
      <w:bookmarkEnd w:id="39"/>
      <w:bookmarkEnd w:id="40"/>
    </w:p>
    <w:p>
      <w:pPr>
        <w:pStyle w:val="Tn1"/>
        <w:spacing w:before="0" w:after="0"/>
        <w:jc w:val="left"/>
        <w:rPr>
          <w:b/>
        </w:rPr>
      </w:pPr>
      <w:bookmarkStart w:id="41" w:name="_Toc131080459"/>
      <w:bookmarkStart w:id="42" w:name="_Toc51339698"/>
      <w:bookmarkStart w:id="43" w:name="_Toc131081300"/>
      <w:bookmarkStart w:id="44" w:name="_Toc130406174"/>
      <w:r>
        <w:rPr>
          <w:b/>
        </w:rPr>
        <w:t xml:space="preserve">Таблица 3. Требования к </w:t>
      </w:r>
      <w:bookmarkEnd w:id="41"/>
      <w:bookmarkEnd w:id="42"/>
      <w:bookmarkEnd w:id="43"/>
      <w:bookmarkEnd w:id="44"/>
      <w:r>
        <w:rPr>
          <w:b/>
        </w:rPr>
        <w:t xml:space="preserve">качеству </w:t>
      </w:r>
      <w:r>
        <w:rPr>
          <w:b/>
          <w:szCs w:val="24"/>
        </w:rPr>
        <w:t>продукции</w:t>
      </w:r>
    </w:p>
    <w:p>
      <w:pPr>
        <w:pStyle w:val="Rtext1"/>
        <w:ind w:hanging="0"/>
        <w:rPr>
          <w:b/>
          <w:iCs/>
          <w:szCs w:val="24"/>
        </w:rPr>
      </w:pPr>
      <w:r>
        <w:rPr>
          <w:bCs/>
          <w:iCs/>
        </w:rPr>
        <w:t xml:space="preserve">Наименование продукции (все </w:t>
      </w:r>
      <w:r>
        <w:rPr>
          <w:bCs/>
          <w:iCs/>
          <w:szCs w:val="24"/>
        </w:rPr>
        <w:t>позиции Таблиц 1.1.):</w:t>
      </w:r>
      <w:r>
        <w:rPr>
          <w:b/>
          <w:bCs/>
          <w:iCs/>
          <w:szCs w:val="24"/>
        </w:rPr>
        <w:t xml:space="preserve"> </w:t>
      </w:r>
      <w:r>
        <w:rPr>
          <w:rFonts w:eastAsia="Calibri"/>
          <w:b w:val="false"/>
          <w:bCs w:val="false"/>
          <w:iCs/>
          <w:sz w:val="24"/>
          <w:szCs w:val="24"/>
          <w:lang w:eastAsia="x-none"/>
        </w:rPr>
        <w:t xml:space="preserve">ОКПД2 </w:t>
      </w:r>
      <w:r>
        <w:rPr>
          <w:rFonts w:eastAsia="Calibri"/>
          <w:b w:val="false"/>
          <w:bCs w:val="false"/>
          <w:iCs/>
          <w:color w:val="000000"/>
          <w:sz w:val="24"/>
          <w:szCs w:val="24"/>
          <w:lang w:eastAsia="x-none"/>
        </w:rPr>
        <w:t>63.99.10 Приобретение оборудования для реализации технических мер защиты от актуальных угроз.</w:t>
      </w:r>
    </w:p>
    <w:tbl>
      <w:tblPr>
        <w:tblW w:w="1516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9"/>
        <w:gridCol w:w="2128"/>
        <w:gridCol w:w="4532"/>
        <w:gridCol w:w="1843"/>
        <w:gridCol w:w="3548"/>
        <w:gridCol w:w="2267"/>
      </w:tblGrid>
      <w:tr>
        <w:trPr>
          <w:tblHeader w:val="true"/>
        </w:trPr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 xml:space="preserve">Согласие с требованием/ указание </w:t>
            </w:r>
            <w:r>
              <w:rPr>
                <w:b/>
                <w:bCs/>
                <w:spacing w:val="-6"/>
                <w:sz w:val="24"/>
                <w:szCs w:val="24"/>
              </w:rPr>
              <w:t>характеристик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blHeader w:val="true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bookmarkStart w:id="45" w:name="_Toc195824946"/>
            <w:bookmarkEnd w:id="45"/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spacing w:val="-8"/>
                <w:sz w:val="24"/>
                <w:szCs w:val="24"/>
              </w:rPr>
            </w:pPr>
            <w:r>
              <w:rPr>
                <w:iCs/>
                <w:spacing w:val="-8"/>
                <w:sz w:val="24"/>
                <w:szCs w:val="24"/>
              </w:rPr>
              <w:t>Функциональные характеристики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представлены в Приложении № 1 к настоящим Техническим требованиям.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наименованию или параметрам эквивалентности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в заявке должен представить техническое предложение с указанием характеристик Продукции по форме Приложения №1, а также спецификацию по форме Приложения №3 с заполнением всех столбцов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12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pacing w:val="-8"/>
                <w:sz w:val="24"/>
                <w:szCs w:val="24"/>
              </w:rPr>
            </w:pPr>
            <w:r>
              <w:rPr>
                <w:iCs/>
                <w:spacing w:val="-8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Поставляемая продукция, включая ее отдельные детали, компоненты и составные части, должна быть новой, не восстановленной, не бывшей в употреблении, в исправном рабочем состоянии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в заявке должен представить техническое предложение с указанием характеристик Продукции по форме Приложения №1, а также спецификацию по форме Приложения №3 с заполнением всех столбцов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Безопасность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соответствовать общим правилам безопасности, предъявляемым к продукции данного рода. Продукция должна соответствовать требованиям технической документации на данную продукцию и обеспечивать безопасность персонала при ее эксплуатации (использовании)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bookmarkStart w:id="46" w:name="_Toc195824947"/>
            <w:bookmarkEnd w:id="46"/>
            <w:r>
              <w:rPr>
                <w:sz w:val="24"/>
                <w:szCs w:val="24"/>
                <w:lang w:val="en-US"/>
              </w:rPr>
              <w:t>3.1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Материалы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произведена с использованием только высококачественных материалов и комплектующих, быть сертифицирована в установленном законодательством порядке и обеспечена гарантийными обязательствами производителя и/или поставщика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поставляться упакованной в тару, обеспечивающую ее полную сохранность от всякого рода повреждений и порчи, с учетом возможной перевозки и длительного хранения. Тара и упаковка входят в цену поставляемой продукции, за исключением случаев, специально </w:t>
            </w:r>
            <w:r>
              <w:rPr>
                <w:spacing w:val="-8"/>
                <w:sz w:val="24"/>
                <w:szCs w:val="24"/>
              </w:rPr>
              <w:t>оговоренных Поставщиком и Заказчиком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Упаковка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pacing w:val="-6"/>
                <w:sz w:val="24"/>
                <w:szCs w:val="24"/>
              </w:rPr>
            </w:pPr>
            <w:r>
              <w:rPr>
                <w:iCs/>
                <w:spacing w:val="-6"/>
                <w:sz w:val="24"/>
                <w:szCs w:val="24"/>
              </w:rPr>
              <w:t>Продукция должна поставляться в фирменной упаковке, защищающей от повреждений и воздействия внешней среды. Упаковка и маркировка продукции должны соответствовать требованиям ГОСТ Р71784-2024. Каждая единица поставляемой продукции должна быть упакована в стандартную оригинальную заводскую упаковку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Каждая единица поставляемой продукции должна иметь на заводской упаковке четкое указание наименования, производителя и другой предусмотренной производителем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Доставка продукции осуществляется собственными силами Поставщика (включая подъём на этаж) до следующих адресов Заказчика: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/>
            </w:pPr>
            <w:r>
              <w:rPr>
                <w:iCs/>
                <w:spacing w:val="-4"/>
              </w:rPr>
              <w:t>продукция из Таблиц 1.1 -</w:t>
            </w:r>
            <w:r>
              <w:rPr>
                <w:iCs/>
              </w:rPr>
              <w:t xml:space="preserve"> </w:t>
            </w:r>
            <w:r>
              <w:rPr>
                <w:iCs/>
                <w:spacing w:val="-4"/>
              </w:rPr>
              <w:t>по адресу согласно п. 1 Таблицы 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Страна происхождения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Требования к стране происхождения продукции </w:t>
            </w:r>
            <w:r>
              <w:rPr>
                <w:iCs/>
                <w:sz w:val="24"/>
                <w:szCs w:val="24"/>
              </w:rPr>
              <w:t xml:space="preserve"> представлены </w:t>
            </w:r>
            <w:r>
              <w:rPr>
                <w:iCs/>
                <w:spacing w:val="-4"/>
                <w:sz w:val="24"/>
                <w:szCs w:val="24"/>
              </w:rPr>
              <w:t>в Приложении № 1 к настоящим Техническим требованиям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реестров, предусмотренных п. 3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1875, а также выписку (выписки) из реестра российской промышленной продукции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>
          <w:trHeight w:val="1665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47" w:name="_Toc195824948"/>
            <w:bookmarkEnd w:id="47"/>
            <w:r>
              <w:rPr>
                <w:sz w:val="24"/>
                <w:szCs w:val="24"/>
                <w:lang w:val="en-US"/>
              </w:rPr>
              <w:t>6.1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</w:rPr>
            </w:pPr>
            <w:r>
              <w:rPr>
                <w:iCs/>
                <w:sz w:val="24"/>
                <w:szCs w:val="24"/>
              </w:rPr>
              <w:t>Гарантийный срок производителя на поставляемую продукцию должен составлять для позиций Таблицы 1.1 не менее 36 (тридцати шести) месяцев.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48" w:name="_Toc195824949"/>
            <w:bookmarkEnd w:id="48"/>
            <w:r>
              <w:rPr>
                <w:sz w:val="24"/>
                <w:szCs w:val="24"/>
              </w:rPr>
              <w:t>6.2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 поддержка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 всю продукцию должна предлагаться техническая поддержка производителя в рабочее время на весь срок гарантии.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</w:rPr>
            </w:pPr>
            <w:r>
              <w:rPr>
                <w:bCs/>
                <w:sz w:val="24"/>
                <w:szCs w:val="24"/>
              </w:rPr>
              <w:t>Для позиций Таблицы 1.1 техническая поддержка производителя предоставляется на срок не менее 36 месяцев в объеме: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работа горячей линии для приёма входящих обращений: в режиме 24х7 (круглосуточно, без праздников и выходных);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работа горячей линии дистанционной поддержки: в режиме 8х5 (в рабочее время);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  <w:spacing w:val="-6"/>
              </w:rPr>
              <w:t>предоставление обновлений микрокода:</w:t>
            </w:r>
            <w:r>
              <w:rPr>
                <w:iCs/>
              </w:rPr>
              <w:t xml:space="preserve"> </w:t>
            </w:r>
            <w:r>
              <w:rPr>
                <w:iCs/>
                <w:spacing w:val="-6"/>
              </w:rPr>
              <w:t>на протяжение всего срока поддержки;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доставка запасных частей по результатам диагностики: в течение 8 рабочих дней (для запросов, подтверждённых до 15:00);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  <w:spacing w:val="-10"/>
              </w:rPr>
            </w:pPr>
            <w:r>
              <w:rPr>
                <w:iCs/>
                <w:spacing w:val="-10"/>
              </w:rPr>
              <w:t>выезд инженера для проведения ремонта;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неограниченное количество обращений и замен по обращению в техническую поддержку.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Документы, передаваемые вместе с поставляемой продукцией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pacing w:val="-6"/>
                <w:sz w:val="24"/>
                <w:szCs w:val="24"/>
              </w:rPr>
            </w:pPr>
            <w:r>
              <w:rPr>
                <w:iCs/>
                <w:spacing w:val="-6"/>
                <w:sz w:val="24"/>
                <w:szCs w:val="24"/>
              </w:rPr>
              <w:t>Поставщик обязан одновременно с передачей продукции передать Заказчику относящиеся к ней документы, оформленные надлежащим образом: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сертификаты качества (в случае обязательной сертификации) в 1 экз.;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технические паспорта в 1 экз.;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>руководства по эксплуатации в 1 экз.;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упаковочные листы, ярлыки в 1 экз.;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сертификат ФСТЭК России, сертификат ФСБ, формуляр и т.п.) в зависимости от номенклатуры поставляемой продукции в 1 экз.;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iCs/>
              </w:rPr>
              <w:t>товарно-транспортную накладную формы № 1-Т в 2 экз.;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26" w:leader="none"/>
              </w:tabs>
              <w:spacing w:lineRule="auto" w:line="276"/>
              <w:ind w:hanging="283" w:left="313"/>
              <w:rPr>
                <w:iCs/>
              </w:rPr>
            </w:pPr>
            <w:r>
              <w:rPr>
                <w:rFonts w:eastAsia="Times New Roman" w:cs="Calibri" w:cstheme="minorHAnsi"/>
                <w:spacing w:val="-4"/>
                <w:kern w:val="0"/>
                <w:sz w:val="24"/>
                <w:szCs w:val="24"/>
                <w:lang w:val="ru-RU" w:eastAsia="ru-RU" w:bidi="ar-SA"/>
              </w:rPr>
              <w:t>товарную накладную формы ТОРГ-12 в 2 экз.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4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pacing w:val="-6"/>
                <w:sz w:val="24"/>
                <w:szCs w:val="24"/>
              </w:rPr>
            </w:pPr>
            <w:r>
              <w:rPr>
                <w:iCs/>
                <w:spacing w:val="-6"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4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pacing w:val="-6"/>
                <w:sz w:val="24"/>
                <w:szCs w:val="24"/>
              </w:rPr>
            </w:pPr>
            <w:r>
              <w:rPr>
                <w:iCs/>
                <w:spacing w:val="-6"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before="0" w:after="6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</w:r>
    </w:p>
    <w:p>
      <w:pPr>
        <w:pStyle w:val="Normal"/>
        <w:suppressAutoHyphens w:val="false"/>
        <w:spacing w:before="0" w:after="6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Участник в составе своей заявки для подтверждения соответствия заявленных характеристик предложенной продукции требованиям настоящих ТТ предоставляет следующие документы:</w:t>
      </w:r>
    </w:p>
    <w:p>
      <w:pPr>
        <w:pStyle w:val="Tlst1"/>
        <w:numPr>
          <w:ilvl w:val="0"/>
          <w:numId w:val="12"/>
        </w:numPr>
        <w:jc w:val="both"/>
        <w:rPr/>
      </w:pPr>
      <w:r>
        <w:rPr>
          <w:rStyle w:val="Blk"/>
        </w:rPr>
        <w:t>Техническое предложение, подготовленное в соответствии с настоящими ТТ по форме, представленной в Документации о закупке, а также документы, указанные в столбце 5 Таблицы 3 «Требования к качеству продукции».</w:t>
      </w:r>
    </w:p>
    <w:p>
      <w:pPr>
        <w:sectPr>
          <w:headerReference w:type="default" r:id="rId5"/>
          <w:headerReference w:type="first" r:id="rId6"/>
          <w:footerReference w:type="default" r:id="rId7"/>
          <w:footerReference w:type="first" r:id="rId8"/>
          <w:footnotePr>
            <w:numFmt w:val="decimal"/>
          </w:footnotePr>
          <w:type w:val="nextPage"/>
          <w:pgSz w:orient="landscape" w:w="16838" w:h="11906"/>
          <w:pgMar w:left="992" w:right="720" w:gutter="0" w:header="567" w:top="851" w:footer="567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Tlst1"/>
        <w:numPr>
          <w:ilvl w:val="0"/>
          <w:numId w:val="12"/>
        </w:numPr>
        <w:jc w:val="both"/>
        <w:rPr/>
      </w:pPr>
      <w:r>
        <w:rPr>
          <w:spacing w:val="-2"/>
        </w:rPr>
        <w:t xml:space="preserve">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 </w:t>
      </w:r>
      <w:r>
        <w:rPr>
          <w:rStyle w:val="Blk"/>
          <w:spacing w:val="-2"/>
        </w:rPr>
        <w:t>(с приложением заполненной Спецификации по форме Приложения № 3 к настоящим ТТ</w:t>
      </w:r>
      <w:r>
        <w:rPr>
          <w:spacing w:val="-2"/>
        </w:rPr>
        <w:t>)</w:t>
      </w:r>
      <w:r>
        <w:rPr/>
        <w:t>.</w:t>
      </w:r>
    </w:p>
    <w:p>
      <w:pPr>
        <w:pStyle w:val="HH1"/>
        <w:numPr>
          <w:ilvl w:val="0"/>
          <w:numId w:val="8"/>
        </w:numPr>
        <w:rPr/>
      </w:pPr>
      <w:bookmarkStart w:id="49" w:name="_Toc197953200"/>
      <w:bookmarkStart w:id="50" w:name="_Toc229082374"/>
      <w:bookmarkStart w:id="51" w:name="_Toc178845842"/>
      <w:bookmarkStart w:id="52" w:name="_Toc53393312"/>
      <w:bookmarkStart w:id="53" w:name="_Toc51339699"/>
      <w:bookmarkStart w:id="54" w:name="_Toc46743519"/>
      <w:bookmarkEnd w:id="53"/>
      <w:bookmarkEnd w:id="54"/>
      <w:r>
        <w:rPr/>
        <w:t>Требования к документации по ценообразованию</w:t>
      </w:r>
      <w:bookmarkEnd w:id="52"/>
      <w:r>
        <w:rPr/>
        <w:t xml:space="preserve"> на этапе закупки</w:t>
      </w:r>
      <w:bookmarkEnd w:id="49"/>
      <w:bookmarkEnd w:id="50"/>
      <w:bookmarkEnd w:id="51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ListParagraph"/>
        <w:numPr>
          <w:ilvl w:val="1"/>
          <w:numId w:val="8"/>
        </w:numPr>
        <w:tabs>
          <w:tab w:val="clear" w:pos="708"/>
          <w:tab w:val="left" w:pos="567" w:leader="none"/>
        </w:tabs>
        <w:ind w:hanging="0" w:left="0"/>
        <w:jc w:val="both"/>
        <w:rPr/>
      </w:pPr>
      <w:r>
        <w:rPr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numPr>
          <w:ilvl w:val="1"/>
          <w:numId w:val="8"/>
        </w:numPr>
        <w:tabs>
          <w:tab w:val="clear" w:pos="708"/>
          <w:tab w:val="left" w:pos="567" w:leader="none"/>
        </w:tabs>
        <w:ind w:hanging="0" w:left="0"/>
        <w:jc w:val="both"/>
        <w:rPr/>
      </w:pPr>
      <w:r>
        <w:rPr/>
        <w:t>Вместе с Коммерческим предложением Участник должен предоставить в составе заявки спецификацию поставляемой Продукции по форме, приведенной в Приложении № 3 к настоящим Техническим требованиям (в случае закупки продукции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  <w:r>
        <w:br w:type="page"/>
      </w:r>
    </w:p>
    <w:p>
      <w:pPr>
        <w:pStyle w:val="HH1"/>
        <w:numPr>
          <w:ilvl w:val="0"/>
          <w:numId w:val="8"/>
        </w:numPr>
        <w:rPr/>
      </w:pPr>
      <w:bookmarkStart w:id="55" w:name="_Toc75446584"/>
      <w:bookmarkStart w:id="56" w:name="_Toc203646113"/>
      <w:bookmarkStart w:id="57" w:name="_Toc229082375"/>
      <w:r>
        <w:rPr/>
        <w:t>Требования к документации по ценообразованию на этапе заключения (исполнения) договора</w:t>
      </w:r>
      <w:bookmarkEnd w:id="55"/>
      <w:bookmarkEnd w:id="56"/>
      <w:bookmarkEnd w:id="57"/>
    </w:p>
    <w:p>
      <w:pPr>
        <w:pStyle w:val="Normal"/>
        <w:tabs>
          <w:tab w:val="clear" w:pos="708"/>
          <w:tab w:val="left" w:pos="567" w:leader="none"/>
        </w:tabs>
        <w:suppressAutoHyphens w:val="false"/>
        <w:spacing w:lineRule="auto" w:line="276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ListParagraph"/>
        <w:tabs>
          <w:tab w:val="clear" w:pos="708"/>
          <w:tab w:val="left" w:pos="567" w:leader="none"/>
        </w:tabs>
        <w:ind w:left="0"/>
        <w:jc w:val="both"/>
        <w:rPr/>
      </w:pPr>
      <w:r>
        <w:rPr/>
        <w:t>4.1.</w:t>
        <w:tab/>
        <w:t>Требования к документации по ценообразованию на этапе заключения (исполнения) договора отсутствуют.</w:t>
      </w:r>
      <w:r>
        <w:br w:type="page"/>
      </w:r>
    </w:p>
    <w:p>
      <w:pPr>
        <w:pStyle w:val="HH1"/>
        <w:numPr>
          <w:ilvl w:val="0"/>
          <w:numId w:val="8"/>
        </w:numPr>
        <w:rPr/>
      </w:pPr>
      <w:bookmarkStart w:id="58" w:name="_Toc229082376"/>
      <w:bookmarkStart w:id="59" w:name="_Toc197953201"/>
      <w:bookmarkStart w:id="60" w:name="_Toc178845843"/>
      <w:bookmarkStart w:id="61" w:name="_Toc54646413"/>
      <w:bookmarkEnd w:id="61"/>
      <w:r>
        <w:rPr/>
        <w:t>Приложения</w:t>
      </w:r>
      <w:bookmarkEnd w:id="58"/>
      <w:bookmarkEnd w:id="59"/>
      <w:bookmarkEnd w:id="60"/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Rtext1"/>
        <w:jc w:val="left"/>
        <w:rPr>
          <w:b/>
        </w:rPr>
      </w:pPr>
      <w:bookmarkStart w:id="62" w:name="_Toc178845844"/>
      <w:r>
        <w:rPr/>
        <w:t xml:space="preserve">Приложение № 1 – </w:t>
      </w:r>
      <w:r>
        <w:rPr>
          <w:spacing w:val="-6"/>
        </w:rPr>
        <w:t xml:space="preserve">Требования к продукции (индивидуальные требования по каждой позиции </w:t>
      </w:r>
      <w:r>
        <w:rPr/>
        <w:t>перечня продукции).</w:t>
      </w:r>
      <w:bookmarkEnd w:id="62"/>
    </w:p>
    <w:p>
      <w:pPr>
        <w:pStyle w:val="Rtext1"/>
        <w:rPr/>
      </w:pPr>
      <w:r>
        <w:rPr/>
        <w:t>Приложение № 3: Форма спецификации поставляемого оборудования.</w:t>
      </w:r>
    </w:p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>
            <w:numFmt w:val="decimal"/>
          </w:footnotePr>
          <w:type w:val="nextPage"/>
          <w:pgSz w:w="11906" w:h="16838"/>
          <w:pgMar w:left="1134" w:right="851" w:gutter="0" w:header="680" w:top="737" w:footer="737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Rtext1"/>
        <w:jc w:val="left"/>
        <w:rPr/>
      </w:pPr>
      <w:r>
        <w:rPr/>
        <w:t>Приложение № 4: Перечень квалификационных требований.</w:t>
      </w:r>
      <w:r>
        <w:br w:type="page"/>
      </w:r>
    </w:p>
    <w:p>
      <w:pPr>
        <w:pStyle w:val="Caption111111111"/>
        <w:numPr>
          <w:ilvl w:val="0"/>
          <w:numId w:val="0"/>
        </w:numPr>
        <w:ind w:hanging="0" w:left="0"/>
        <w:jc w:val="right"/>
        <w:outlineLvl w:val="1"/>
        <w:rPr/>
      </w:pPr>
      <w:bookmarkStart w:id="63" w:name="_Toc229082377"/>
      <w:bookmarkStart w:id="64" w:name="_Toc197953202"/>
      <w:bookmarkStart w:id="65" w:name="_Hlk48224758"/>
      <w:bookmarkStart w:id="66" w:name="_Toc54646413_Копия_1"/>
      <w:bookmarkStart w:id="67" w:name="_Toc51339699_Копия_1"/>
      <w:bookmarkStart w:id="68" w:name="_Ref40301253"/>
      <w:bookmarkStart w:id="69" w:name="_Toc54646414"/>
      <w:bookmarkStart w:id="70" w:name="_Toc54451385"/>
      <w:bookmarkStart w:id="71" w:name="_Toc46743519_Копия_1"/>
      <w:bookmarkEnd w:id="65"/>
      <w:bookmarkEnd w:id="66"/>
      <w:bookmarkEnd w:id="67"/>
      <w:bookmarkEnd w:id="68"/>
      <w:bookmarkEnd w:id="69"/>
      <w:bookmarkEnd w:id="70"/>
      <w:bookmarkEnd w:id="71"/>
      <w:r>
        <w:rPr>
          <w:rStyle w:val="Blk"/>
        </w:rPr>
        <w:t xml:space="preserve">Приложение № 1 к </w:t>
      </w:r>
      <w:bookmarkEnd w:id="64"/>
      <w:r>
        <w:rPr>
          <w:rStyle w:val="Blk"/>
        </w:rPr>
        <w:t>ТТ</w:t>
      </w:r>
      <w:bookmarkEnd w:id="63"/>
    </w:p>
    <w:p>
      <w:pPr>
        <w:pStyle w:val="Tn1"/>
        <w:jc w:val="left"/>
        <w:rPr>
          <w:b/>
          <w:bCs/>
        </w:rPr>
      </w:pPr>
      <w:bookmarkStart w:id="72" w:name="_Toc178845846"/>
      <w:r>
        <w:rPr>
          <w:b/>
          <w:bCs/>
        </w:rPr>
        <w:t>Таблица 4. Требования к продукции (индивидуальные требования по каждой позиции перечня продукции)</w:t>
      </w:r>
      <w:bookmarkEnd w:id="72"/>
    </w:p>
    <w:p>
      <w:pPr>
        <w:pStyle w:val="Tn1"/>
        <w:jc w:val="left"/>
        <w:rPr>
          <w:b/>
          <w:bCs/>
        </w:rPr>
      </w:pPr>
      <w:r>
        <w:rPr>
          <w:b/>
          <w:bCs/>
        </w:rPr>
      </w:r>
    </w:p>
    <w:tbl>
      <w:tblPr>
        <w:tblW w:w="151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9"/>
        <w:gridCol w:w="2108"/>
        <w:gridCol w:w="5117"/>
        <w:gridCol w:w="1562"/>
        <w:gridCol w:w="1697"/>
        <w:gridCol w:w="2129"/>
        <w:gridCol w:w="1842"/>
      </w:tblGrid>
      <w:tr>
        <w:trPr>
          <w:tblHeader w:val="true"/>
          <w:trHeight w:val="311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Заказчика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  <w:trHeight w:val="726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</w:t>
            </w:r>
          </w:p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 Полужирный" w:hAnsi="Times New Roman Полужирный"/>
                <w:b/>
                <w:bCs/>
                <w:sz w:val="20"/>
                <w:szCs w:val="20"/>
              </w:rPr>
            </w:pPr>
            <w:r>
              <w:rPr>
                <w:rFonts w:ascii="Times New Roman Полужирный" w:hAnsi="Times New Roman Полужирный"/>
                <w:b/>
                <w:bCs/>
                <w:sz w:val="20"/>
                <w:szCs w:val="20"/>
              </w:rPr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pacing w:lineRule="auto" w:line="264"/>
              <w:ind w:right="4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(параметры аналогичности), не хуже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Кол-во 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/ </w:t>
            </w:r>
            <w:r>
              <w:rPr>
                <w:b/>
                <w:bCs/>
                <w:sz w:val="20"/>
                <w:szCs w:val="20"/>
              </w:rPr>
              <w:t>Ед.изм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Предоставление подтверждающего документа или иной </w:t>
            </w:r>
            <w:r>
              <w:rPr>
                <w:b/>
                <w:bCs/>
                <w:spacing w:val="-8"/>
                <w:sz w:val="20"/>
                <w:szCs w:val="20"/>
              </w:rPr>
              <w:t>способ подтверждения</w:t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blHeader w:val="true"/>
          <w:trHeight w:val="11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>
        <w:trPr>
          <w:trHeight w:val="11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</w:t>
            </w: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Маршрутизатор (тип 1)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Сервисный маршрутизатор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Eltex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ESR-31 или эквивалент с характеристиками не хуже:</w:t>
            </w:r>
          </w:p>
          <w:p>
            <w:pPr>
              <w:pStyle w:val="ListParagraph"/>
              <w:widowControl/>
              <w:spacing w:before="0" w:after="0"/>
              <w:ind w:left="138"/>
              <w:contextualSpacing/>
              <w:jc w:val="left"/>
              <w:rPr>
                <w:rFonts w:ascii="Times New Roman" w:hAnsi="Times New Roman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 w:eastAsiaTheme="minorHAnsi"/>
                <w:kern w:val="0"/>
                <w:sz w:val="20"/>
                <w:szCs w:val="20"/>
                <w:lang w:val="ru-RU" w:eastAsia="en-US" w:bidi="ar-SA"/>
              </w:rPr>
              <w:t>1.1 Интерфейсы</w:t>
            </w:r>
            <w:r>
              <w:rPr>
                <w:rFonts w:eastAsia="Calibri" w:cs="Arial" w:eastAsiaTheme="minorHAnsi"/>
                <w:kern w:val="0"/>
                <w:sz w:val="20"/>
                <w:szCs w:val="20"/>
                <w:lang w:val="en-US" w:eastAsia="en-US" w:bidi="ar-SA"/>
              </w:rPr>
              <w:t>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- 10GBASE-R (SFP+)/1000BASE-X (SFP): 2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Ethernet 10/100/1000BASE-T (RJ-45): 8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Ethernet 1000BASE-X (SFP): 6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Консоль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RS-232 (RJ-45):1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USB 2.0: 1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USB 3.0: 1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Слот для microSD-карт: 1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Последовательный порт RS-232: 3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1.2 Производительность: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Производительность Firewall/маршрутизации </w:t>
            </w: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(фреймы 1518B): 8,9 Гбит/с; 733,5k пакетов/с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Производительность Firewall/маршрутизации (IMIX): 4 Гбит/с; 730,9k пакетов/с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Производительность L2-коммутации (фреймы 1518B): 17,4 Гбит/с; 1431k пакетов/с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Производительность IPsec VPN (фреймы 1456B): 911,5 Мбит/с, 78,2k пакетов/с;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Производительность IPsec (IMIX): 519,8 Мбит/с; 97,1k пакетов/с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Производительность одного IPsec-туннеля (фреймы 1456В): 489,5 Мбит/с; 42k пакетов/с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Производительность одного IPsec-туннеля (IMIX): 280,5 Мбит/с; 52,4k пакетов/с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Производительность IPS/IDS 10k правил: 350,2 Мбит/с; 70k пакетов/с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1.3 Сетевые и сервисные функции: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Управление L2: VLAN; LAG/LACP; Bridge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Динамическая маршрутизация: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BGP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OSPF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IS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IS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RIP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Туннелирование: GRE; DMVPN; IPsec VPN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Удаленный доступ: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PPTP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Open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VPN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WireGuard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L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2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TP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over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Ipsec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PPPoE-/PPTP-/L2TP-клиента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Безопасность: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ACL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Zone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based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Firewall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Защита от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DoS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-/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DDoS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-/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Spoof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-атак; IPS/IDS; Фильтрация по приложениям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Резервирование и кластеризация: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VRRP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Tracking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DHCP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Firewall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failover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MultiWAN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Кластер по схеме 1+1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Мониторинг: Netflow; SNMP; Zabbix; SLA; </w:t>
            </w: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Syslog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Управление сервисами и качеством: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DHCP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NAT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QOS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;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HTTP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HTTPS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Proxy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1.4 Физические характеристики и условия окружающей среды: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RAM: 4 ГБ DDR4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Flash-память: 8 ГБ eMMC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Максимальная потребляемая мощность: 40 Вт</w:t>
            </w:r>
          </w:p>
          <w:p>
            <w:pPr>
              <w:pStyle w:val="Normal"/>
              <w:widowControl/>
              <w:spacing w:before="0" w:after="0"/>
              <w:ind w:left="557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Количество блоков питания 220В, переменного тока в комплекте: 2 шт;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Питание:100–264 В AC, 50–60 Гц; 36–72 В DC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Интервал рабочих температур: От 0 до +40 °С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Интервал температуры хранения: От -40 до +70 °С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Относительная влажность при эксплуатации: Не более 80 %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Относительная влажность при хранении: От 10 до 95 %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Габариты: 430x44x275 мм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Масса: 4,44 кг.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1.5 Дополнительные требования 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Должна быть включена опция ECCM-ESR-31 системы управления Eltex ECCM для управления и мониторинга сетевыми элементами Eltex: 1 сетевой элемент ESR-31;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Должно быть включено продление гарантийного обслуживания до 3 лет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 шт.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реестров, предусмотренных п. 3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1875, а также выписку (выписки) из реестра российской промышленной продукции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rPr>
          <w:trHeight w:val="11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2.</w:t>
            </w: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Коммутатор (тип 1)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spacing w:val="-10"/>
                <w:kern w:val="0"/>
                <w:sz w:val="20"/>
                <w:szCs w:val="20"/>
                <w:lang w:val="ru-RU" w:eastAsia="en-US" w:bidi="ar-SA"/>
              </w:rPr>
              <w:t>Коммутатор агрегации MES3300-24 или эквивалент с характеристиками не хуже: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2.1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Интерфейсы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- 10/100/1000BASE-T: 24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- 10GBASE-R (SFP+)/1000BASE-X (SFP): 4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10/100/1000BASE-T (OOB): 1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Консольный порт RS-232 (RJ-45): 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2.2 Производительность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Пропускная способность: 128 Гбит/с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Объём буферной памяти: 1,5 МБ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Объем ОЗУ (DDR4): 2 ГБ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Объем ПЗУ (RAW NAND): 512 МБ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Таблица MAC-адресов: 16384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Таблица VLAN: 4094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Количество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VRRP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-маршрутизаторов: 255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Link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Aggregation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Groups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(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LAG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): 32 группы, до 8 портов в одном LAG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Качество обслуживания QoS: 8 выходных очередей на порт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Размер Jumbo-фреймов: 10240 байт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Стекирование: 8 устройств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2.3 Физические характеристики и условия окружающей среды</w:t>
            </w:r>
          </w:p>
          <w:p>
            <w:pPr>
              <w:pStyle w:val="Normal"/>
              <w:widowControl/>
              <w:spacing w:before="0" w:after="0"/>
              <w:ind w:left="557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Количество блоков питания 220В, переменного тока комплекте: 2 шт;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Питание: 100–240 В АС, 50–60 Гц; 36–72 В DC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Рабочая температура окружающей среды: От -10 до +45 °С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Температура хранения: От -50 до +70 °С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Охлаждение: Front-to-Back, 4 вентилятора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Рабочая влажность: Не более 80 %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Исполнение: 19", 1U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Габариты: 430x44x330 мм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2.4 Дополнительные требования 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Должна быть включена опция ECCM-MES3300-24 системы управления Eltex ECCM для управления и мониторинга сетевыми элементами Eltex: 1 сетевой элемент MES3300-24;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Должна быть включена опция для поддержки функционала BGP на коммутаторах 23хх, 2300хх, 33хх, 3300хх, 35xx, 3500xx, 53хх, 5400-xx, 5410, 5500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 Должна быть включена опция для поддержки функционала EVPN на коммутаторах MES53ххA, MES5310-xx, MES5400-xx, MES5410-xx, MES5500-xx;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Должно быть включено продление гарантийного обслуживания до 3 лет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 шт.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реестров, предусмотренных п. 3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1875, а также выписку (выписки) из реестра российской промышленной продукции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rPr>
          <w:trHeight w:val="11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3.</w:t>
            </w: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Балансировщик назрузки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Termidesk Connect, или эквивалент с характеристиками не хуже: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3.1 Общие архитектурные свойства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Возможность развёртывания в разных форм-факторах: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виртуальная машина;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программно-аппаратный комплекс.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Гибкость конфигурации: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через веб-интерфейс;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командную строку;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интерфейс API;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интерфейс NETCONF.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Возможность резервного копирования конфигураций.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Возможность обновления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3.2 Безопасность и аутентификация/авторизация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SSL Offload (снятие нагрузки по шифрованию и расшифрованию с конечных серверов).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TLS/SSL с продвинутыми настройками (например, SNI).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LDAP/LDAPS для аутентификации.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Поддержка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ролевого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доступа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(Role-Based Access Control).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Защита от DoS-атак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3.3 Балансировка и маршрутизация трафика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Балансировка уровней: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L4 (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поддержка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Source NAT) – TCP;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L7 (Full Proxy) – HTTP, HTTPS, WS.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Алгоритмы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распределения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нагрузки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: Round Robin, Least Connections.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Проверка состояния балансируемых серверов (health checks): ping, TCP, HTTP(S), скрипты (логические выражения для комбинаций проверок).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Сохранение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сессий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(persistence): SRC IP, CookieInsert.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Перенаправление/маршрутизация запросов на группы серверов на основе содержимого запроса, источника, URI и др. (Content Switching).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Географическая балансировка (GSLB, RHI)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3.4 Отказоустойчивость и масштабируемость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кластерной работы в конфигурации Active / Standby, синхронизация конфигураций между узлами.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Резервирование IP-адресов виртуальных серверов, автоматическое переключение трафика (failover) при выходе узлов из строя.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до 255 узлов в отказоустойчивой конфигурации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3.5 Интеграция и сетевые возможности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VLAN (802.1Q), VRF (виртуальные маршрутизируемые таблицы).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Статическая и динамическая маршрутизация, настройка DNS и NTP внутри системы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3.6 Мониторинг, логирование, статистика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Детализированный мониторинг: загрузка CPU, память, сетевой трафик и др.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Логирование событий изменения настроек, журналы доступа.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Отправка логов и статистики в сторонние системы (Syslog).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Проверки health check с расширенным содержимым.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открытой спецификации формата предоставления метрик OpenMetrics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3.7 Удобство управления и настройки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Несколько интерфейсов для управления.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Интерфейс с панелью мониторинга состояния узлов.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Возможность гибко настраивать правила маршрутизации, списков контроля доступа, правил обработки трафика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3.8 Дополнительные требования 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Должно быть включено продление гарантийного обслуживания до 3 лет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 шт.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реестров, предусмотренных п. 3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1875, а также выписку (выписки) из реестра российской промышленной продукции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rPr>
          <w:trHeight w:val="11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4.</w:t>
            </w: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Виртуальный NGFW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Кластер из двух виртуальных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NGFW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UserGate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VE500, или эквивалент с характеристиками не хуже: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4.1 Основной функционал: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Межсетевой экран нового поколения;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Система обнаружения вторжений (IDS/IPS);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Доступ к внутренним ресурсам через SSL VPN Portal;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Анализ и выгрузка информации об инцидентах безопасности (SIEM);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Автоматизация реакции на угрозы безопасности информации (SOAR);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Обратный прокси;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Контроль доступа в интернет;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Контроль приложений L7;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Дешифрование SSL;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Гостевой портал;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Безопасная публикация внутренних ресурсов и сервисов;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Advanced Threat Protection;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Идентификация пользователей;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Виртуальная частная сеть (VPN);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Удаленное администрирование;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АСУ ТП (SCADA);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Поддержка кластеризации и высокой отказоустойчивости;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>- Security Updates.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4.2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Функционал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модуля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 xml:space="preserve"> Advanced Threat Pr</w:t>
            </w:r>
            <w:bookmarkStart w:id="73" w:name="_GoBack"/>
            <w:bookmarkEnd w:id="73"/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otection: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Глубокий анализ контента (DCI);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Фильтрация по категориям;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Подписка на списки Роскомнадзора и Министерства юстиции РФ;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Черные и белые списки;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Подписка на морфологические базы;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Автоматическое обновление подписок;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Блокировка рекламы (AdBlock);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Контроль за социальными сетями.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4.3 Функционал модуля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Security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Updates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Обновление ПО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NGFW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Подписка на обновления баз IPS (сигнатуры атак);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Подписка на обновления баз L7 (сигнатуры приложений);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Стандартный пакет технической поддержки.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4.4 Производительность: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Пропускная способность межсетевого экрана,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UDP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, Мбит/сек: не менее 9000;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Одновременных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TCP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-сессий: не менее 5000000;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Новых сессий в секунду: не менее 120000;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Инспектирование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SSL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, Мбит/сек: не менее 320;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Система обнаружения вторжений (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IPS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), Мбит/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c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: не менее 1350;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Система обнаружения вторжений,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IDS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,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span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-порт, Мбит/сек: не менее 2000;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Управление приложениями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L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7, Мбит/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c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: не менее 1700;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Контентная фильтрация, Мбит/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c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>: не менее 1500.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4.5 Требования к оборудованию: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Портов 10/100/1000Base-T: до 8;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Портов 10GBase SFP+: до 8 при использовании виртуальных адаптеров VMXNET3;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Процессор, количество ядер: 6;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Память, Гбайт: 16;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Диск, Гбайт: 300.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4.6 Требования к технической поддержке и обновлениям: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Подписка на модуль Security Updates сроком не менее трех лет;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Пакет круглосуточной технической поддержки 24/7 сроком не менее трех лет.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4.7 Соответствие требованиям законодательства РФ: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Требования по безопасности информации, устанавливающие уровни доверия к средствам технической защиты информации и средствам обеспечения безопасности информационных технологий (ФСТЭК России, 2021) по 4 уровню доверия;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Профиль защиты межсетевых экранов типа Б четвертого класса защиты. ИТ.МЭ.Б4.ПЗ (ФСТЭК России, 2016);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Профиль защиты межсетевых экранов типа Д четвертого класса защиты. ИТ.МЭ.Д4.ПЗ (ФСТЭК России, 2016);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en-US" w:eastAsia="en-US" w:bidi="ar-SA"/>
              </w:rPr>
              <w:t xml:space="preserve">-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Профиль защиты систем обнаружения вторжений уровня сети четвертого класса защиты. ИТ.СОВ.С4.ПЗ (ФСТЭК России, 2012);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ПО должно быть внесено в Единый реестр российских программ для электронных вычислительных машин и баз данных.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4.8 Дополнительные требования:</w:t>
            </w:r>
          </w:p>
          <w:p>
            <w:pPr>
              <w:pStyle w:val="Normal"/>
              <w:widowControl/>
              <w:spacing w:before="0" w:after="0"/>
              <w:ind w:left="563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В ПО </w:t>
            </w:r>
            <w:r>
              <w:rPr>
                <w:rFonts w:eastAsia="Calibri" w:cs="Arial"/>
                <w:kern w:val="0"/>
                <w:sz w:val="20"/>
                <w:szCs w:val="20"/>
                <w:lang w:val="en-US" w:eastAsia="en-US" w:bidi="ar-SA"/>
              </w:rPr>
              <w:t>NGFW</w:t>
            </w:r>
            <w:r>
              <w:rPr>
                <w:rFonts w:eastAsia="Calibri" w:cs="Arial"/>
                <w:kern w:val="0"/>
                <w:sz w:val="20"/>
                <w:szCs w:val="20"/>
                <w:lang w:val="ru-RU" w:eastAsia="en-US" w:bidi="ar-SA"/>
              </w:rPr>
              <w:t xml:space="preserve"> не должно быть ограничений по количеству пользователей.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2шт.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реестров, предусмотренных п. 3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1875, а также выписку (выписки) из реестра российской промышленной продукции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64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</w:tbl>
    <w:p>
      <w:pPr>
        <w:sectPr>
          <w:headerReference w:type="default" r:id="rId13"/>
          <w:headerReference w:type="first" r:id="rId14"/>
          <w:footerReference w:type="default" r:id="rId15"/>
          <w:footerReference w:type="first" r:id="rId16"/>
          <w:footnotePr>
            <w:numFmt w:val="decimal"/>
          </w:footnotePr>
          <w:type w:val="nextPage"/>
          <w:pgSz w:orient="landscape" w:w="16838" w:h="11906"/>
          <w:pgMar w:left="1134" w:right="1134" w:gutter="0" w:header="567" w:top="1418" w:footer="567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Caption111111111"/>
        <w:numPr>
          <w:ilvl w:val="0"/>
          <w:numId w:val="0"/>
        </w:numPr>
        <w:ind w:hanging="0" w:left="0"/>
        <w:jc w:val="right"/>
        <w:outlineLvl w:val="1"/>
        <w:rPr/>
      </w:pPr>
      <w:bookmarkStart w:id="74" w:name="_Toc229082378"/>
      <w:bookmarkStart w:id="75" w:name="_Toc174971485"/>
      <w:bookmarkStart w:id="76" w:name="_Toc197953203"/>
      <w:bookmarkStart w:id="77" w:name="_Ref40301253_Копия_1"/>
      <w:bookmarkStart w:id="78" w:name="_Требования_к_узлу_Копия_1"/>
      <w:bookmarkStart w:id="79" w:name="_Hlk48224758_Копия_1"/>
      <w:bookmarkStart w:id="80" w:name="_Toc54451385_Копия_1"/>
      <w:bookmarkStart w:id="81" w:name="_Toc54646414_Копия_1"/>
      <w:bookmarkEnd w:id="77"/>
      <w:bookmarkEnd w:id="78"/>
      <w:bookmarkEnd w:id="79"/>
      <w:bookmarkEnd w:id="80"/>
      <w:bookmarkEnd w:id="81"/>
      <w:r>
        <w:rPr>
          <w:rStyle w:val="Blk"/>
        </w:rPr>
        <w:t xml:space="preserve">Приложение № 3 к </w:t>
      </w:r>
      <w:bookmarkEnd w:id="75"/>
      <w:bookmarkEnd w:id="76"/>
      <w:r>
        <w:rPr>
          <w:rStyle w:val="Blk"/>
        </w:rPr>
        <w:t>ТТ</w:t>
      </w:r>
      <w:bookmarkEnd w:id="74"/>
    </w:p>
    <w:p>
      <w:pPr>
        <w:pStyle w:val="Tn1"/>
        <w:jc w:val="left"/>
        <w:rPr>
          <w:rFonts w:eastAsia="Calibri"/>
          <w:b/>
          <w:bCs/>
          <w:szCs w:val="24"/>
        </w:rPr>
      </w:pPr>
      <w:r>
        <w:rPr>
          <w:rFonts w:eastAsia="Calibri"/>
          <w:b/>
          <w:szCs w:val="24"/>
        </w:rPr>
        <w:t xml:space="preserve">Таблица 7. Спецификация поставляемой </w:t>
      </w:r>
      <w:r>
        <w:rPr>
          <w:rFonts w:eastAsia="Calibri"/>
          <w:b/>
          <w:bCs/>
          <w:szCs w:val="24"/>
        </w:rPr>
        <w:t>Продукции</w:t>
      </w:r>
    </w:p>
    <w:tbl>
      <w:tblPr>
        <w:tblW w:w="5000" w:type="pct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70"/>
        <w:gridCol w:w="1447"/>
        <w:gridCol w:w="845"/>
        <w:gridCol w:w="755"/>
        <w:gridCol w:w="628"/>
        <w:gridCol w:w="1005"/>
        <w:gridCol w:w="877"/>
        <w:gridCol w:w="880"/>
        <w:gridCol w:w="879"/>
        <w:gridCol w:w="1004"/>
        <w:gridCol w:w="878"/>
        <w:gridCol w:w="1004"/>
        <w:gridCol w:w="628"/>
        <w:gridCol w:w="756"/>
        <w:gridCol w:w="755"/>
        <w:gridCol w:w="752"/>
        <w:gridCol w:w="1007"/>
      </w:tblGrid>
      <w:tr>
        <w:trPr>
          <w:tblHeader w:val="true"/>
          <w:trHeight w:val="1838" w:hRule="atLeast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Тип продукции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Тип, марка, артикул</w:t>
            </w:r>
          </w:p>
        </w:tc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Изготовитель</w:t>
            </w: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Срок действия передаваемых прав на ПО/ сертификатов</w:t>
            </w: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b/>
                <w:szCs w:val="20"/>
                <w:bCs/>
                <w:color w:val="000000"/>
              </w:rPr>
              <w:instrText xml:space="preserve"> HYPERLINK "../../../../../../../../../C:/Users/C:/C:/C:/C:/C:/C:/Users/dkolesnikov/Downloads/20260424%20%25D0%25A6%25D0%259E%25D0%2594%20%25D0%2594%25D0%2592%20%25D0%25A1%25D0%2591%25D0%259E%25D0%25A0%25D0%259D%25D0%25AB%25D0%2599_v10.xlsx" \l "RANGE!A58"</w:instrText>
            </w:r>
            <w:r>
              <w:rPr>
                <w:sz w:val="20"/>
                <w:b/>
                <w:szCs w:val="20"/>
                <w:bCs/>
                <w:color w:val="000000"/>
              </w:rPr>
              <w:fldChar w:fldCharType="separate"/>
            </w:r>
            <w:bookmarkStart w:id="82" w:name="RANGE!G1"/>
            <w:r>
              <w:rPr>
                <w:b/>
                <w:bCs/>
                <w:color w:val="000000"/>
                <w:sz w:val="20"/>
                <w:szCs w:val="20"/>
              </w:rPr>
              <w:t>Страна</w:t>
            </w:r>
            <w:r>
              <w:rPr>
                <w:sz w:val="20"/>
                <w:b/>
                <w:szCs w:val="20"/>
                <w:bCs/>
                <w:color w:val="000000"/>
              </w:rPr>
              <w:fldChar w:fldCharType="end"/>
            </w:r>
            <w:bookmarkEnd w:id="82"/>
            <w:r>
              <w:rPr>
                <w:b/>
                <w:bCs/>
                <w:color w:val="000000"/>
                <w:sz w:val="20"/>
                <w:szCs w:val="20"/>
              </w:rPr>
              <w:t xml:space="preserve"> происхождения продукции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регистрации производителя продукции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ОКПД2 (с указанием наименования)</w:t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fldChar w:fldCharType="begin"/>
            </w:r>
            <w:r>
              <w:rPr>
                <w:sz w:val="20"/>
                <w:b/>
                <w:szCs w:val="20"/>
                <w:bCs/>
                <w:color w:val="000000"/>
              </w:rPr>
              <w:instrText xml:space="preserve"> HYPERLINK "../../../../../../../../../C:/Users/C:/C:/C:/C:/C:/C:/Users/dkolesnikov/Downloads/20260424%20%25D0%25A6%25D0%259E%25D0%2594%20%25D0%2594%25D0%2592%20%25D0%25A1%25D0%2591%25D0%259E%25D0%25A0%25D0%259D%25D0%25AB%25D0%2599_v10.xlsx" \l "RANGE!A59"</w:instrText>
            </w:r>
            <w:r>
              <w:rPr>
                <w:sz w:val="20"/>
                <w:b/>
                <w:szCs w:val="20"/>
                <w:bCs/>
                <w:color w:val="000000"/>
              </w:rPr>
              <w:fldChar w:fldCharType="separate"/>
            </w:r>
            <w:bookmarkStart w:id="83" w:name="RANGE!I1"/>
            <w:r>
              <w:rPr>
                <w:b/>
                <w:bCs/>
                <w:color w:val="000000"/>
                <w:sz w:val="20"/>
                <w:szCs w:val="20"/>
              </w:rPr>
              <w:t>Порядковый номер(а) реестровой(ых) записи(ей)</w:t>
            </w:r>
            <w:r>
              <w:rPr>
                <w:sz w:val="20"/>
                <w:b/>
                <w:szCs w:val="20"/>
                <w:bCs/>
                <w:color w:val="000000"/>
              </w:rPr>
              <w:fldChar w:fldCharType="end"/>
            </w:r>
            <w:bookmarkEnd w:id="83"/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Порядковый номер(а) реестровой(ых) записи(ей)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Цена, в руб., без НДС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 в руб., без НДС</w:t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НДС (22%) руб.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Стоимость, руб., с НДС</w:t>
            </w:r>
          </w:p>
        </w:tc>
      </w:tr>
      <w:tr>
        <w:trPr>
          <w:trHeight w:val="315" w:hRule="atLeast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>
        <w:trPr>
          <w:trHeight w:val="207" w:hRule="atLeast"/>
        </w:trPr>
        <w:tc>
          <w:tcPr>
            <w:tcW w:w="1457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Материально-технические ресурсы</w:t>
            </w:r>
          </w:p>
        </w:tc>
      </w:tr>
      <w:tr>
        <w:trPr>
          <w:trHeight w:val="169" w:hRule="atLeast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Маршрутизатор (тип 1)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trHeight w:val="169" w:hRule="atLeast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Коммутатор (тип 1)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trHeight w:val="273" w:hRule="atLeast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Балансировщик нагрузки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trHeight w:val="273" w:hRule="atLeast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Виртуальный NGFW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113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по спецификации: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default" r:id="rId17"/>
          <w:headerReference w:type="first" r:id="rId18"/>
          <w:footerReference w:type="default" r:id="rId19"/>
          <w:footerReference w:type="first" r:id="rId20"/>
          <w:footnotePr>
            <w:numFmt w:val="decimal"/>
          </w:footnotePr>
          <w:type w:val="nextPage"/>
          <w:pgSz w:orient="landscape" w:w="16838" w:h="11906"/>
          <w:pgMar w:left="1134" w:right="1134" w:gutter="0" w:header="567" w:top="993" w:footer="567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rPr/>
      </w:pPr>
      <w:r>
        <w:rPr/>
      </w:r>
    </w:p>
    <w:p>
      <w:pPr>
        <w:pStyle w:val="Heading3"/>
        <w:numPr>
          <w:ilvl w:val="0"/>
          <w:numId w:val="0"/>
        </w:numPr>
        <w:ind w:hanging="0" w:left="0"/>
        <w:jc w:val="right"/>
        <w:rPr/>
      </w:pPr>
      <w:bookmarkStart w:id="84" w:name="_Toc176165894"/>
      <w:bookmarkStart w:id="85" w:name="_Toc153990849"/>
      <w:r>
        <w:rPr>
          <w:rStyle w:val="Style8"/>
          <w:b w:val="false"/>
          <w:bCs/>
          <w:i w:val="false"/>
          <w:caps/>
          <w:sz w:val="24"/>
          <w:szCs w:val="24"/>
        </w:rPr>
        <w:t>Приложение № </w:t>
      </w:r>
      <w:r>
        <w:rPr>
          <w:lang w:val="ru-RU"/>
        </w:rPr>
        <w:t>4</w:t>
      </w:r>
      <w:r>
        <w:rPr/>
        <w:t xml:space="preserve"> к ТТ</w:t>
      </w:r>
      <w:bookmarkEnd w:id="84"/>
      <w:bookmarkEnd w:id="85"/>
    </w:p>
    <w:p>
      <w:pPr>
        <w:pStyle w:val="Normal"/>
        <w:rPr>
          <w:rStyle w:val="Style8"/>
          <w:b w:val="false"/>
          <w:bCs/>
          <w:i w:val="false"/>
          <w:i w:val="false"/>
          <w:caps/>
          <w:sz w:val="24"/>
          <w:szCs w:val="24"/>
        </w:rPr>
      </w:pPr>
      <w:r>
        <w:rPr>
          <w:b w:val="false"/>
          <w:bCs/>
          <w:i w:val="false"/>
          <w:caps/>
          <w:sz w:val="24"/>
          <w:szCs w:val="24"/>
        </w:rPr>
      </w:r>
    </w:p>
    <w:p>
      <w:pPr>
        <w:pStyle w:val="Normal"/>
        <w:spacing w:before="0" w:after="240"/>
        <w:jc w:val="center"/>
        <w:rPr>
          <w:b/>
        </w:rPr>
      </w:pPr>
      <w:r>
        <w:rPr>
          <w:b/>
        </w:rPr>
        <w:t>Перечень квалификационных требований</w:t>
      </w:r>
    </w:p>
    <w:tbl>
      <w:tblPr>
        <w:tblW w:w="13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62"/>
        <w:gridCol w:w="6003"/>
        <w:gridCol w:w="7211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№ </w:t>
            </w:r>
            <w:r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Участникам</w:t>
            </w:r>
          </w:p>
        </w:tc>
        <w:tc>
          <w:tcPr>
            <w:tcW w:w="7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/>
        <w:tc>
          <w:tcPr>
            <w:tcW w:w="13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60"/>
              <w:jc w:val="both"/>
              <w:rPr>
                <w:rFonts w:eastAsia="Calibri"/>
                <w:iCs/>
                <w:spacing w:val="-6"/>
                <w:sz w:val="24"/>
                <w:szCs w:val="24"/>
              </w:rPr>
            </w:pPr>
            <w:r>
              <w:rPr>
                <w:rFonts w:eastAsia="Calibri"/>
                <w:iCs/>
                <w:spacing w:val="-6"/>
                <w:sz w:val="24"/>
                <w:szCs w:val="24"/>
              </w:rPr>
              <w:t xml:space="preserve">Требования к </w:t>
            </w:r>
            <w:r>
              <w:rPr>
                <w:rFonts w:eastAsia="Calibri"/>
                <w:bCs/>
                <w:iCs/>
                <w:spacing w:val="-6"/>
                <w:sz w:val="24"/>
                <w:szCs w:val="24"/>
              </w:rPr>
              <w:t>опыту</w:t>
            </w:r>
            <w:r>
              <w:rPr>
                <w:rFonts w:eastAsia="Calibri"/>
                <w:iCs/>
                <w:spacing w:val="-6"/>
                <w:sz w:val="24"/>
                <w:szCs w:val="24"/>
              </w:rPr>
              <w:t xml:space="preserve"> (поставка продукции; оценка объема исполненных обязательств по договорам)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Наличие у Участника совокупного опыта (в рамках одного или нескольких договоров) поставки оборудования для реализации технических мер защиты, при этом за последние 5 (пять) лет, предшествующих дате подачи заявки, Участником должны быть исполнены обязательства в совокупном (суммарном) объеме не менее 30 % от размера НМЦ лота, указанной в Извещении.</w:t>
            </w:r>
          </w:p>
        </w:tc>
        <w:tc>
          <w:tcPr>
            <w:tcW w:w="7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>
              <w:rPr>
                <w:rFonts w:eastAsia="Calibri"/>
                <w:spacing w:val="-4"/>
                <w:sz w:val="22"/>
                <w:szCs w:val="22"/>
              </w:rPr>
              <w:t>В составе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      </w:r>
          </w:p>
          <w:p>
            <w:pPr>
              <w:pStyle w:val="ListParagraph"/>
              <w:numPr>
                <w:ilvl w:val="0"/>
                <w:numId w:val="13"/>
              </w:numPr>
              <w:spacing w:before="60" w:after="60"/>
              <w:ind w:hanging="360" w:left="316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документов, подтверждающих состав поставок, составленных в рамках договора, подписанных сторонами договора, содержащих реквизиты договора (номер и дата) и перечень выполненных поставок;</w:t>
            </w:r>
          </w:p>
          <w:p>
            <w:pPr>
              <w:pStyle w:val="ListParagraph"/>
              <w:numPr>
                <w:ilvl w:val="0"/>
                <w:numId w:val="13"/>
              </w:numPr>
              <w:spacing w:before="60" w:after="60"/>
              <w:ind w:hanging="360" w:left="316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документов, подтверждающих исполнение поставок, составленных в рамках договора для финансовой отчетности, подписанных сторонами договора, содержащих реквизиты договора (номер и дата) и перечень, а также стоимость переданных и принятых заказчиком по договору поставок.</w:t>
            </w:r>
          </w:p>
          <w:p>
            <w:pPr>
              <w:pStyle w:val="Normal"/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Наличие у Участника собственной службы технической поддержки, функционирующей в режиме 8 часов 5 дней в неделю на территории Российской Федерации (с 09:00 до 18:00 (МСК) в будние дни), подтвержденной представленной Участником справкой о службе технической поддержки с указанием режима работы в свободной форме.</w:t>
            </w:r>
          </w:p>
        </w:tc>
        <w:tc>
          <w:tcPr>
            <w:tcW w:w="7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spacing w:val="-4"/>
                <w:sz w:val="22"/>
                <w:szCs w:val="22"/>
              </w:rPr>
              <w:t>В составе заявки Участник должен предоставить «Справку о службе технической поддержки» с указанием режима работы в свободной форме.</w:t>
            </w:r>
          </w:p>
        </w:tc>
      </w:tr>
    </w:tbl>
    <w:p>
      <w:pPr>
        <w:pStyle w:val="Normal"/>
        <w:jc w:val="center"/>
        <w:rPr>
          <w:rStyle w:val="Style8"/>
          <w:b w:val="false"/>
          <w:bCs/>
          <w:i w:val="false"/>
          <w:i w:val="false"/>
          <w:caps/>
          <w:sz w:val="24"/>
          <w:szCs w:val="24"/>
        </w:rPr>
      </w:pPr>
      <w:r>
        <w:rPr>
          <w:b w:val="false"/>
          <w:bCs/>
          <w:i w:val="false"/>
          <w:caps/>
          <w:sz w:val="24"/>
          <w:szCs w:val="24"/>
        </w:rPr>
      </w:r>
    </w:p>
    <w:sectPr>
      <w:headerReference w:type="default" r:id="rId21"/>
      <w:headerReference w:type="first" r:id="rId22"/>
      <w:footerReference w:type="default" r:id="rId23"/>
      <w:footerReference w:type="first" r:id="rId24"/>
      <w:footnotePr>
        <w:numFmt w:val="decimal"/>
      </w:footnotePr>
      <w:type w:val="nextPage"/>
      <w:pgSz w:orient="landscape" w:w="16838" w:h="11906"/>
      <w:pgMar w:left="1134" w:right="1134" w:gutter="0" w:header="567" w:top="993" w:footer="567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 Полужирный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Федеральный закон от 27.07.2006 №149-ФЗ «Об информации, информационных технологиях и о защите информации» (ст. 2).</w:t>
      </w:r>
    </w:p>
  </w:footnote>
  <w:footnote w:id="3">
    <w:p>
      <w:pPr>
        <w:pStyle w:val="FootnoteText"/>
        <w:rPr/>
      </w:pPr>
      <w:r>
        <w:rPr>
          <w:rStyle w:val="Style"/>
        </w:rPr>
        <w:footnoteRef/>
      </w:r>
      <w:r>
        <w:rPr/>
      </w:r>
    </w:p>
  </w:footnote>
  <w:footnote w:id="4">
    <w:p>
      <w:pPr>
        <w:pStyle w:val="Normal"/>
        <w:widowControl w:val="false"/>
        <w:jc w:val="both"/>
        <w:rPr>
          <w:rFonts w:eastAsia="Calibri"/>
          <w:color w:val="000000"/>
          <w:sz w:val="20"/>
          <w:szCs w:val="20"/>
        </w:rPr>
      </w:pPr>
      <w:r>
        <w:rPr>
          <w:rStyle w:val="Style"/>
        </w:rPr>
        <w:t>[</w:t>
      </w:r>
      <w:r>
        <w:rPr>
          <w:rStyle w:val="Style"/>
        </w:rPr>
        <w:t>[[[[[[[[[[[</w:t>
      </w:r>
      <w:r>
        <w:rPr>
          <w:color w:val="000000"/>
          <w:sz w:val="20"/>
          <w:szCs w:val="20"/>
          <w:vertAlign w:val="superscript"/>
        </w:rPr>
        <w:t>[1]</w:t>
      </w:r>
      <w:r>
        <w:rPr>
          <w:color w:val="000000"/>
          <w:sz w:val="20"/>
          <w:szCs w:val="20"/>
        </w:rPr>
        <w:t xml:space="preserve"> Окончание срока поставки продукции</w:t>
      </w:r>
      <w:r>
        <w:rPr>
          <w:color w:val="000000"/>
          <w:spacing w:val="-4"/>
          <w:sz w:val="20"/>
          <w:szCs w:val="20"/>
        </w:rPr>
        <w:t xml:space="preserve"> уточняется на момент заключения договора и является предварительным.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  <w:szCs w:val="20"/>
      </w:rPr>
    </w:pPr>
    <w:r>
      <w:rPr>
        <w:sz w:val="20"/>
        <w:szCs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>
        <w:i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149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1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1298"/>
        </w:tabs>
        <w:ind w:left="907" w:hanging="346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39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5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1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5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1068" w:hanging="708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5"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ec16a5"/>
    <w:pPr>
      <w:keepNext w:val="true"/>
      <w:tabs>
        <w:tab w:val="clear" w:pos="708"/>
        <w:tab w:val="left" w:pos="0" w:leader="none"/>
        <w:tab w:val="left" w:pos="567" w:leader="none"/>
      </w:tabs>
      <w:spacing w:lineRule="auto" w:line="276"/>
      <w:ind w:hanging="360" w:left="360"/>
      <w:outlineLvl w:val="2"/>
    </w:pPr>
    <w:rPr>
      <w:rFonts w:eastAsia="Calibri"/>
      <w:b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eastAsia="x-none"/>
    </w:rPr>
  </w:style>
  <w:style w:type="character" w:styleId="3" w:customStyle="1">
    <w:name w:val="Заголовок 3 Знак"/>
    <w:qFormat/>
    <w:rsid w:val="00ec16a5"/>
    <w:rPr>
      <w:rFonts w:eastAsia="Calibri"/>
      <w:b/>
      <w:sz w:val="24"/>
      <w:szCs w:val="24"/>
      <w:lang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rPr>
      <w:sz w:val="26"/>
      <w:szCs w:val="26"/>
    </w:rPr>
  </w:style>
  <w:style w:type="character" w:styleId="31" w:customStyle="1">
    <w:name w:val="УРОВЕНЬ_Абзац_тип3 Знак"/>
    <w:link w:val="37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Pr>
      <w:b/>
      <w:sz w:val="28"/>
    </w:rPr>
  </w:style>
  <w:style w:type="character" w:styleId="12" w:customStyle="1">
    <w:name w:val="УРОВЕНЬ_1. Знак"/>
    <w:link w:val="110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Lst" w:customStyle="1">
    <w:name w:val="lst Знак"/>
    <w:basedOn w:val="DefaultParagraphFont"/>
    <w:link w:val="Lst1"/>
    <w:qFormat/>
    <w:rPr>
      <w:rFonts w:eastAsia="Calibri"/>
      <w:sz w:val="24"/>
      <w:szCs w:val="22"/>
      <w:lang w:eastAsia="en-US"/>
    </w:rPr>
  </w:style>
  <w:style w:type="character" w:styleId="T3" w:customStyle="1">
    <w:name w:val="t3 Знак"/>
    <w:link w:val="T31"/>
    <w:qFormat/>
    <w:rPr>
      <w:rFonts w:eastAsia="Calibri"/>
      <w:color w:val="000000"/>
      <w:sz w:val="24"/>
      <w:szCs w:val="24"/>
    </w:rPr>
  </w:style>
  <w:style w:type="character" w:styleId="Rtext" w:customStyle="1">
    <w:name w:val="r_text Знак"/>
    <w:basedOn w:val="DefaultParagraphFont"/>
    <w:link w:val="Rtext1"/>
    <w:qFormat/>
    <w:rPr>
      <w:color w:val="000000"/>
      <w:sz w:val="24"/>
      <w:szCs w:val="26"/>
    </w:rPr>
  </w:style>
  <w:style w:type="character" w:styleId="Style14" w:customStyle="1">
    <w:name w:val="Нижний колонтитул Знак"/>
    <w:basedOn w:val="DefaultParagraphFont"/>
    <w:qFormat/>
    <w:rPr>
      <w:sz w:val="28"/>
      <w:szCs w:val="28"/>
    </w:rPr>
  </w:style>
  <w:style w:type="character" w:styleId="14" w:customStyle="1">
    <w:name w:val="Список 1 Знак"/>
    <w:link w:val="311"/>
    <w:qFormat/>
    <w:rPr>
      <w:color w:val="000000"/>
      <w:sz w:val="24"/>
    </w:rPr>
  </w:style>
  <w:style w:type="character" w:styleId="Tn" w:customStyle="1">
    <w:name w:val="t_n Знак"/>
    <w:basedOn w:val="DefaultParagraphFont"/>
    <w:link w:val="Tn1"/>
    <w:qFormat/>
    <w:rPr>
      <w:sz w:val="24"/>
      <w:szCs w:val="28"/>
    </w:rPr>
  </w:style>
  <w:style w:type="character" w:styleId="23" w:customStyle="1">
    <w:name w:val="Неразрешенное упоминание2"/>
    <w:basedOn w:val="DefaultParagraphFont"/>
    <w:qFormat/>
    <w:rPr>
      <w:color w:val="605E5C"/>
      <w:shd w:fill="E1DFDD" w:val="clear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33" w:customStyle="1">
    <w:name w:val="Заголовок 3 ДИТ Знак"/>
    <w:link w:val="38"/>
    <w:qFormat/>
    <w:rPr>
      <w:rFonts w:eastAsia="Calibri"/>
      <w:bCs/>
      <w:sz w:val="24"/>
      <w:szCs w:val="24"/>
      <w:lang w:eastAsia="x-none"/>
    </w:rPr>
  </w:style>
  <w:style w:type="character" w:styleId="Style15" w:customStyle="1">
    <w:name w:val="Тема примечания Знак"/>
    <w:basedOn w:val="Style11"/>
    <w:link w:val="Annotationsubject"/>
    <w:qFormat/>
    <w:rPr>
      <w:b/>
      <w:bCs/>
    </w:rPr>
  </w:style>
  <w:style w:type="character" w:styleId="Style16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Tlist" w:customStyle="1">
    <w:name w:val="t_list Знак"/>
    <w:basedOn w:val="Style7"/>
    <w:link w:val="Tlist1"/>
    <w:qFormat/>
    <w:rPr>
      <w:rFonts w:eastAsia="Calibri"/>
      <w:sz w:val="24"/>
      <w:szCs w:val="18"/>
      <w:lang w:val="en-US"/>
    </w:rPr>
  </w:style>
  <w:style w:type="character" w:styleId="Style17" w:customStyle="1">
    <w:name w:val="Ссылка указателя"/>
    <w:qFormat/>
    <w:rPr/>
  </w:style>
  <w:style w:type="character" w:styleId="Linenumber1" w:customStyle="1">
    <w:name w:val="line number1"/>
    <w:qFormat/>
    <w:rPr/>
  </w:style>
  <w:style w:type="character" w:styleId="Tlst" w:customStyle="1">
    <w:name w:val="t_lst Знак"/>
    <w:basedOn w:val="Style7"/>
    <w:link w:val="Tlst1"/>
    <w:qFormat/>
    <w:rPr>
      <w:rFonts w:eastAsia="Calibri"/>
      <w:sz w:val="24"/>
      <w:szCs w:val="24"/>
    </w:rPr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">
    <w:name w:val="line number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5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/>
    </w:pPr>
    <w:rPr>
      <w:rFonts w:cs="Calibri"/>
      <w:sz w:val="20"/>
      <w:szCs w:val="20"/>
    </w:rPr>
  </w:style>
  <w:style w:type="paragraph" w:styleId="Style25" w:customStyle="1">
    <w:name w:val="Раздел регламента"/>
    <w:basedOn w:val="Normal"/>
    <w:qFormat/>
    <w:pPr/>
    <w:rPr/>
  </w:style>
  <w:style w:type="paragraph" w:styleId="Style26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link w:val="Style16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5"/>
    <w:qFormat/>
    <w:pPr/>
    <w:rPr>
      <w:b/>
      <w:bCs/>
    </w:rPr>
  </w:style>
  <w:style w:type="paragraph" w:styleId="17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170"/>
    </w:pPr>
    <w:rPr>
      <w:rFonts w:cs="Calibri"/>
      <w:sz w:val="20"/>
      <w:szCs w:val="20"/>
    </w:rPr>
  </w:style>
  <w:style w:type="paragraph" w:styleId="26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1111111" w:customStyle="1">
    <w:name w:val="caption111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pPr>
      <w:keepLines/>
      <w:tabs>
        <w:tab w:val="left" w:pos="0" w:leader="none"/>
        <w:tab w:val="left" w:pos="567" w:leader="none"/>
        <w:tab w:val="left" w:pos="709" w:leader="none"/>
      </w:tabs>
      <w:spacing w:before="480" w:after="240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9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/>
    </w:pPr>
    <w:rPr>
      <w:rFonts w:ascii="Calibri" w:hAnsi="Calibri" w:cs="Calibri"/>
      <w:sz w:val="20"/>
      <w:szCs w:val="20"/>
    </w:rPr>
  </w:style>
  <w:style w:type="paragraph" w:styleId="Lst1" w:customStyle="1">
    <w:name w:val="lst"/>
    <w:basedOn w:val="ListParagraph"/>
    <w:link w:val="Lst"/>
    <w:qFormat/>
    <w:pPr>
      <w:numPr>
        <w:ilvl w:val="0"/>
        <w:numId w:val="6"/>
      </w:numPr>
      <w:tabs>
        <w:tab w:val="clear" w:pos="708"/>
        <w:tab w:val="left" w:pos="851" w:leader="none"/>
      </w:tabs>
      <w:jc w:val="both"/>
    </w:pPr>
    <w:rPr>
      <w:szCs w:val="22"/>
      <w:lang w:eastAsia="en-US"/>
    </w:rPr>
  </w:style>
  <w:style w:type="paragraph" w:styleId="T31" w:customStyle="1">
    <w:name w:val="t3"/>
    <w:basedOn w:val="Normal"/>
    <w:link w:val="T3"/>
    <w:qFormat/>
    <w:pPr>
      <w:spacing w:lineRule="auto" w:line="276"/>
      <w:ind w:hanging="504" w:left="1224"/>
      <w:jc w:val="both"/>
    </w:pPr>
    <w:rPr>
      <w:rFonts w:eastAsia="Calibri"/>
      <w:color w:val="000000"/>
      <w:sz w:val="24"/>
      <w:szCs w:val="24"/>
    </w:rPr>
  </w:style>
  <w:style w:type="paragraph" w:styleId="ListBullet">
    <w:name w:val="List Bullet"/>
    <w:basedOn w:val="ListParagraph"/>
    <w:qFormat/>
    <w:pPr>
      <w:numPr>
        <w:ilvl w:val="0"/>
        <w:numId w:val="7"/>
      </w:numPr>
      <w:spacing w:lineRule="auto" w:line="276"/>
      <w:jc w:val="both"/>
    </w:pPr>
    <w:rPr>
      <w:szCs w:val="22"/>
      <w:lang w:eastAsia="en-US"/>
    </w:rPr>
  </w:style>
  <w:style w:type="paragraph" w:styleId="Rtext1" w:customStyle="1">
    <w:name w:val="r_text"/>
    <w:basedOn w:val="Normal"/>
    <w:link w:val="Rtext"/>
    <w:qFormat/>
    <w:pPr>
      <w:spacing w:lineRule="auto" w:line="276"/>
      <w:ind w:firstLine="567"/>
      <w:jc w:val="both"/>
    </w:pPr>
    <w:rPr>
      <w:color w:val="000000"/>
      <w:sz w:val="24"/>
      <w:szCs w:val="26"/>
      <w:shd w:fill="FFFFFF" w:val="clear"/>
    </w:rPr>
  </w:style>
  <w:style w:type="paragraph" w:styleId="S1" w:customStyle="1">
    <w:name w:val="S_ЗаголовкиТаблицы1"/>
    <w:basedOn w:val="Normal"/>
    <w:qFormat/>
    <w:pPr>
      <w:keepNext w:val="true"/>
      <w:widowControl w:val="false"/>
      <w:jc w:val="center"/>
    </w:pPr>
    <w:rPr>
      <w:rFonts w:ascii="Arial" w:hAnsi="Arial"/>
      <w:b/>
      <w:caps/>
      <w:sz w:val="16"/>
      <w:szCs w:val="16"/>
    </w:rPr>
  </w:style>
  <w:style w:type="paragraph" w:styleId="311" w:customStyle="1">
    <w:name w:val="Маркированный список 31"/>
    <w:basedOn w:val="Normal"/>
    <w:link w:val="14"/>
    <w:qFormat/>
    <w:pPr>
      <w:spacing w:lineRule="auto" w:line="276" w:before="60" w:after="0"/>
      <w:ind w:hanging="396" w:left="1247"/>
    </w:pPr>
    <w:rPr>
      <w:color w:val="000000"/>
      <w:sz w:val="24"/>
      <w:szCs w:val="20"/>
    </w:rPr>
  </w:style>
  <w:style w:type="paragraph" w:styleId="Tn1" w:customStyle="1">
    <w:name w:val="t_n"/>
    <w:basedOn w:val="Normal"/>
    <w:link w:val="Tn"/>
    <w:qFormat/>
    <w:pPr>
      <w:keepNext w:val="true"/>
      <w:spacing w:before="240" w:after="240"/>
      <w:jc w:val="right"/>
    </w:pPr>
    <w:rPr>
      <w:sz w:val="24"/>
    </w:rPr>
  </w:style>
  <w:style w:type="paragraph" w:styleId="111" w:customStyle="1">
    <w:name w:val="Обычный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Times New Roman" w:cs="Times New Roman"/>
      <w:color w:val="auto"/>
      <w:kern w:val="2"/>
      <w:sz w:val="24"/>
      <w:szCs w:val="24"/>
      <w:lang w:val="ru-RU" w:eastAsia="ru-RU" w:bidi="ar-SA"/>
    </w:rPr>
  </w:style>
  <w:style w:type="paragraph" w:styleId="Xl64" w:customStyle="1">
    <w:name w:val="xl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styleId="Xl65" w:customStyle="1">
    <w:name w:val="xl65"/>
    <w:basedOn w:val="Normal"/>
    <w:qFormat/>
    <w:pPr>
      <w:spacing w:before="280" w:after="280"/>
    </w:pPr>
    <w:rPr>
      <w:rFonts w:ascii="Calibri" w:hAnsi="Calibri"/>
      <w:sz w:val="24"/>
      <w:szCs w:val="24"/>
    </w:rPr>
  </w:style>
  <w:style w:type="paragraph" w:styleId="Xl66" w:customStyle="1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styleId="Xl67" w:customStyle="1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styleId="Xl68" w:customStyle="1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sz w:val="24"/>
      <w:szCs w:val="24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sz w:val="24"/>
      <w:szCs w:val="24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sz w:val="24"/>
      <w:szCs w:val="24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styleId="Msonormal" w:customStyle="1">
    <w:name w:val="msonormal"/>
    <w:basedOn w:val="Normal"/>
    <w:qFormat/>
    <w:pPr>
      <w:spacing w:before="280" w:after="280"/>
    </w:pPr>
    <w:rPr>
      <w:rFonts w:ascii="Calibri" w:hAnsi="Calibri"/>
      <w:sz w:val="24"/>
      <w:szCs w:val="24"/>
    </w:rPr>
  </w:style>
  <w:style w:type="paragraph" w:styleId="Font5" w:customStyle="1">
    <w:name w:val="font5"/>
    <w:basedOn w:val="Normal"/>
    <w:qFormat/>
    <w:pPr>
      <w:spacing w:before="280" w:after="280"/>
    </w:pPr>
    <w:rPr>
      <w:rFonts w:ascii="Calibri" w:hAnsi="Calibri"/>
      <w:color w:val="000000"/>
      <w:sz w:val="22"/>
      <w:szCs w:val="22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styleId="HH1" w:customStyle="1">
    <w:name w:val="HH1"/>
    <w:basedOn w:val="Heading1"/>
    <w:qFormat/>
    <w:pPr/>
    <w:rPr>
      <w:sz w:val="24"/>
    </w:rPr>
  </w:style>
  <w:style w:type="paragraph" w:styleId="HH2" w:customStyle="1">
    <w:name w:val="HH2"/>
    <w:basedOn w:val="Heading2"/>
    <w:qFormat/>
    <w:pPr>
      <w:numPr>
        <w:ilvl w:val="1"/>
        <w:numId w:val="13"/>
      </w:numPr>
    </w:pPr>
    <w:rPr/>
  </w:style>
  <w:style w:type="paragraph" w:styleId="38" w:customStyle="1">
    <w:name w:val="Заголовок 3 ДИТ"/>
    <w:basedOn w:val="HH2"/>
    <w:link w:val="33"/>
    <w:qFormat/>
    <w:pPr>
      <w:numPr>
        <w:ilvl w:val="2"/>
      </w:numPr>
      <w:ind w:hanging="709" w:left="709"/>
    </w:pPr>
    <w:rPr>
      <w:b w:val="false"/>
    </w:rPr>
  </w:style>
  <w:style w:type="paragraph" w:styleId="112" w:customStyle="1">
    <w:name w:val="Нумерованный список1"/>
    <w:basedOn w:val="Normal"/>
    <w:qFormat/>
    <w:pPr>
      <w:spacing w:lineRule="auto" w:line="360" w:before="60" w:after="0"/>
      <w:jc w:val="both"/>
    </w:pPr>
    <w:rPr>
      <w:rFonts w:ascii="Calibri" w:hAnsi="Calibri" w:eastAsia="Calibri"/>
      <w:sz w:val="24"/>
      <w:lang w:eastAsia="zh-CN"/>
    </w:rPr>
  </w:style>
  <w:style w:type="paragraph" w:styleId="Tlist1" w:customStyle="1">
    <w:name w:val="t_list"/>
    <w:basedOn w:val="ListParagraph"/>
    <w:link w:val="Tlist"/>
    <w:qFormat/>
    <w:pPr>
      <w:numPr>
        <w:ilvl w:val="0"/>
        <w:numId w:val="10"/>
      </w:numPr>
    </w:pPr>
    <w:rPr>
      <w:rFonts w:eastAsia="Times New Roman"/>
      <w:sz w:val="20"/>
      <w:szCs w:val="18"/>
      <w:lang w:val="en-US"/>
    </w:rPr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Tlst1" w:customStyle="1">
    <w:name w:val="t_lst"/>
    <w:basedOn w:val="ListParagraph"/>
    <w:link w:val="Tlst"/>
    <w:qFormat/>
    <w:pPr>
      <w:numPr>
        <w:ilvl w:val="0"/>
        <w:numId w:val="11"/>
      </w:numPr>
    </w:pPr>
    <w:rPr/>
  </w:style>
  <w:style w:type="paragraph" w:styleId="Default" w:customStyle="1">
    <w:name w:val="Default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Hd2" w:customStyle="1">
    <w:name w:val="hd2"/>
    <w:basedOn w:val="Heading2"/>
    <w:qFormat/>
    <w:pPr>
      <w:numPr>
        <w:ilvl w:val="1"/>
        <w:numId w:val="16"/>
      </w:numPr>
      <w:ind w:hanging="792" w:left="360"/>
    </w:pPr>
    <w:rPr/>
  </w:style>
  <w:style w:type="paragraph" w:styleId="Tl">
    <w:name w:val="t_l"/>
    <w:basedOn w:val="Normal"/>
    <w:qFormat/>
    <w:pPr>
      <w:suppressAutoHyphens w:val="false"/>
      <w:ind w:hanging="0"/>
      <w:jc w:val="left"/>
    </w:pPr>
    <w:rPr>
      <w:rFonts w:cs="Times New Roman"/>
      <w:sz w:val="20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qFormat/>
  </w:style>
  <w:style w:type="numbering" w:styleId="210" w:customStyle="1">
    <w:name w:val="Стиль2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0.xml"/><Relationship Id="rId26" Type="http://schemas.openxmlformats.org/officeDocument/2006/relationships/numbering" Target="numbering.xml"/><Relationship Id="rId3" Type="http://schemas.openxmlformats.org/officeDocument/2006/relationships/header" Target="header2.xml"/><Relationship Id="rId21" Type="http://schemas.openxmlformats.org/officeDocument/2006/relationships/header" Target="header11.xml"/><Relationship Id="rId7" Type="http://schemas.openxmlformats.org/officeDocument/2006/relationships/footer" Target="footer2.xml"/><Relationship Id="rId12" Type="http://schemas.openxmlformats.org/officeDocument/2006/relationships/footer" Target="footer5.xml"/><Relationship Id="rId17" Type="http://schemas.openxmlformats.org/officeDocument/2006/relationships/header" Target="header9.xml"/><Relationship Id="rId25" Type="http://schemas.openxmlformats.org/officeDocument/2006/relationships/footnotes" Target="footnotes.xml"/><Relationship Id="rId33" Type="http://schemas.openxmlformats.org/officeDocument/2006/relationships/customXml" Target="../customXml/item4.xml"/><Relationship Id="rId2" Type="http://schemas.openxmlformats.org/officeDocument/2006/relationships/header" Target="header1.xml"/><Relationship Id="rId16" Type="http://schemas.openxmlformats.org/officeDocument/2006/relationships/footer" Target="footer7.xml"/><Relationship Id="rId20" Type="http://schemas.openxmlformats.org/officeDocument/2006/relationships/footer" Target="footer9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4.xml"/><Relationship Id="rId11" Type="http://schemas.openxmlformats.org/officeDocument/2006/relationships/footer" Target="footer4.xml"/><Relationship Id="rId24" Type="http://schemas.openxmlformats.org/officeDocument/2006/relationships/footer" Target="footer11.xml"/><Relationship Id="rId32" Type="http://schemas.openxmlformats.org/officeDocument/2006/relationships/customXml" Target="../customXml/item3.xml"/><Relationship Id="rId5" Type="http://schemas.openxmlformats.org/officeDocument/2006/relationships/header" Target="header3.xml"/><Relationship Id="rId15" Type="http://schemas.openxmlformats.org/officeDocument/2006/relationships/footer" Target="footer6.xml"/><Relationship Id="rId23" Type="http://schemas.openxmlformats.org/officeDocument/2006/relationships/footer" Target="footer10.xml"/><Relationship Id="rId28" Type="http://schemas.openxmlformats.org/officeDocument/2006/relationships/settings" Target="settings.xml"/><Relationship Id="rId10" Type="http://schemas.openxmlformats.org/officeDocument/2006/relationships/header" Target="header6.xml"/><Relationship Id="rId19" Type="http://schemas.openxmlformats.org/officeDocument/2006/relationships/footer" Target="footer8.xml"/><Relationship Id="rId31" Type="http://schemas.openxmlformats.org/officeDocument/2006/relationships/customXml" Target="../customXml/item2.xml"/><Relationship Id="rId4" Type="http://schemas.openxmlformats.org/officeDocument/2006/relationships/footer" Target="footer1.xml"/><Relationship Id="rId9" Type="http://schemas.openxmlformats.org/officeDocument/2006/relationships/header" Target="header5.xml"/><Relationship Id="rId14" Type="http://schemas.openxmlformats.org/officeDocument/2006/relationships/header" Target="header8.xml"/><Relationship Id="rId22" Type="http://schemas.openxmlformats.org/officeDocument/2006/relationships/header" Target="header12.xml"/><Relationship Id="rId27" Type="http://schemas.openxmlformats.org/officeDocument/2006/relationships/fontTable" Target="fontTable.xml"/><Relationship Id="rId30" Type="http://schemas.openxmlformats.org/officeDocument/2006/relationships/customXml" Target="../customXml/item1.xml"/><Relationship Id="rId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A35E55-6ADC-405B-9283-9BF9A792B4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01D4FF-BA56-4C6C-B2EB-8240296D3F8A}"/>
</file>

<file path=customXml/itemProps3.xml><?xml version="1.0" encoding="utf-8"?>
<ds:datastoreItem xmlns:ds="http://schemas.openxmlformats.org/officeDocument/2006/customXml" ds:itemID="{463769C8-0B17-4B9D-B360-C7D8E83142D3}"/>
</file>

<file path=customXml/itemProps4.xml><?xml version="1.0" encoding="utf-8"?>
<ds:datastoreItem xmlns:ds="http://schemas.openxmlformats.org/officeDocument/2006/customXml" ds:itemID="{E48E5D54-A4EE-4D0C-AC91-C17326C593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Application>AlterOffice/2026.2.1.0$Linux_X86_64 LibreOffice_project/f008988ffacaa0b2bf57911c2759d08ca79831df</Application>
  <AppVersion>15.0000</AppVersion>
  <Pages>27</Pages>
  <Words>3671</Words>
  <Characters>24355</Characters>
  <CharactersWithSpaces>27441</CharactersWithSpaces>
  <Paragraphs>553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Забунов Александр Сергеевич</dc:creator>
  <dc:description/>
  <cp:lastModifiedBy>shevchukaa@corp.gidroogk.com</cp:lastModifiedBy>
  <cp:revision>24</cp:revision>
  <cp:lastPrinted>2026-07-13T17:34:00Z</cp:lastPrinted>
  <dcterms:created xsi:type="dcterms:W3CDTF">2026-09-02T10:02:00Z</dcterms:created>
  <dcterms:modified xsi:type="dcterms:W3CDTF">2026-09-25T14:10:24Z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