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keepNext w:val="true"/>
        <w:keepLines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sz w:val="24"/>
          <w:szCs w:val="24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Технические требования на оказание услуг</w:t>
      </w:r>
    </w:p>
    <w:p>
      <w:pPr>
        <w:pStyle w:val="Normal1"/>
        <w:keepNext w:val="true"/>
        <w:keepLines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Standard"/>
        <w:keepNext w:val="true"/>
        <w:keepLines/>
        <w:pageBreakBefore w:val="false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Standard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  <w:bCs/>
          <w:sz w:val="24"/>
          <w:szCs w:val="24"/>
        </w:rPr>
      </w:pPr>
      <w:r>
        <w:rPr>
          <w:rFonts w:eastAsia="Calibri"/>
          <w:b/>
          <w:bCs/>
          <w:color w:val="auto"/>
          <w:kern w:val="0"/>
          <w:sz w:val="24"/>
          <w:szCs w:val="24"/>
          <w:lang w:val="ru-RU" w:eastAsia="ru-RU" w:bidi="ar-SA"/>
        </w:rPr>
        <w:t>«ОКПД2 — 38.22.19.000. Сбор, транспортирование, обработка, утилизация, обезвреживание, размещение загрязненных грунтов и отработанных покрышек»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sz w:val="24"/>
              <w:szCs w:val="24"/>
              <w:vanish w:val="false"/>
              <w:rFonts w:ascii="Times New Roman" w:hAnsi="Times New Roman"/>
            </w:rPr>
            <w:instrText xml:space="preserve"> TOC \z \o "1-4" \u \h</w:instrText>
          </w:r>
          <w:r>
            <w:rPr>
              <w:webHidden/>
              <w:rStyle w:val="Style14"/>
              <w:sz w:val="24"/>
              <w:szCs w:val="24"/>
              <w:vanish w:val="false"/>
              <w:rFonts w:ascii="Times New Roman" w:hAnsi="Times New Roman"/>
            </w:rPr>
            <w:fldChar w:fldCharType="separate"/>
          </w:r>
          <w:hyperlink w:anchor="_Toc54643694">
            <w:r>
              <w:rPr>
                <w:webHidden/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>1.</w:t>
            </w:r>
            <w:r>
              <w:rPr>
                <w:rStyle w:val="Style14"/>
                <w:rFonts w:eastAsia="新細明體" w:cs="Arial" w:ascii="Times New Roman" w:hAnsi="Times New Roman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Общие сведения</w:t>
            </w:r>
            <w:r>
              <w:rPr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ab/>
            </w:r>
          </w:hyperlink>
          <w:r>
            <w:rPr>
              <w:rFonts w:ascii="Times New Roman" w:hAnsi="Times New Roman"/>
              <w:vanish w:val="false"/>
              <w:sz w:val="24"/>
              <w:szCs w:val="24"/>
            </w:rPr>
            <w:t>3</w:t>
          </w:r>
        </w:p>
        <w:p>
          <w:pPr>
            <w:pStyle w:val="TOC4"/>
            <w:rPr/>
          </w:pPr>
          <w:hyperlink w:anchor="_Toc54643695">
            <w:r>
              <w:rPr>
                <w:webHidden/>
                <w:rStyle w:val="Style14"/>
                <w:rFonts w:ascii="Times New Roman" w:hAnsi="Times New Roman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4"/>
                <w:rFonts w:eastAsia="新細明體" w:cs="Arial" w:ascii="Times New Roman" w:hAnsi="Times New Roman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Обозначения и сокращения</w:t>
            </w:r>
            <w:r>
              <w:rPr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ab/>
            </w:r>
          </w:hyperlink>
          <w:r>
            <w:rPr>
              <w:rFonts w:ascii="Times New Roman" w:hAnsi="Times New Roman"/>
              <w:vanish w:val="false"/>
              <w:sz w:val="24"/>
              <w:szCs w:val="24"/>
            </w:rPr>
            <w:t>3</w:t>
          </w:r>
        </w:p>
        <w:p>
          <w:pPr>
            <w:pStyle w:val="TOC4"/>
            <w:rPr/>
          </w:pPr>
          <w:hyperlink w:anchor="_Toc54643696">
            <w:r>
              <w:rPr>
                <w:webHidden/>
                <w:rStyle w:val="Style14"/>
                <w:rFonts w:ascii="Times New Roman" w:hAnsi="Times New Roman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4"/>
                <w:rFonts w:eastAsia="新細明體" w:cs="Arial" w:ascii="Times New Roman" w:hAnsi="Times New Roman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Наименование закупаемой продукции</w:t>
            </w:r>
            <w:r>
              <w:rPr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ab/>
            </w:r>
          </w:hyperlink>
          <w:r>
            <w:rPr>
              <w:rFonts w:ascii="Times New Roman" w:hAnsi="Times New Roman"/>
              <w:vanish w:val="false"/>
              <w:sz w:val="24"/>
              <w:szCs w:val="24"/>
            </w:rPr>
            <w:t>4</w:t>
          </w:r>
        </w:p>
        <w:p>
          <w:pPr>
            <w:pStyle w:val="TOC4"/>
            <w:rPr/>
          </w:pPr>
          <w:hyperlink w:anchor="_Toc54643697">
            <w:r>
              <w:rPr>
                <w:webHidden/>
                <w:rStyle w:val="Style14"/>
                <w:rFonts w:ascii="Times New Roman" w:hAnsi="Times New Roman"/>
                <w:iCs/>
                <w:vanish w:val="false"/>
                <w:sz w:val="24"/>
                <w:szCs w:val="24"/>
              </w:rPr>
              <w:t>1.3.</w:t>
            </w:r>
            <w:r>
              <w:rPr>
                <w:rStyle w:val="Style14"/>
                <w:rFonts w:eastAsia="新細明體" w:cs="Arial" w:ascii="Times New Roman" w:hAnsi="Times New Roman" w:cstheme="minorBidi" w:eastAsiaTheme="minorEastAsia"/>
                <w:vanish w:val="false"/>
                <w:sz w:val="24"/>
                <w:szCs w:val="24"/>
              </w:rPr>
              <w:tab/>
            </w:r>
            <w:r>
              <w:rPr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 xml:space="preserve">Цель оказания услуг </w:t>
            </w:r>
          </w:hyperlink>
          <w:hyperlink w:anchor="_Toc5464369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end"/>
            </w:r>
          </w:hyperlink>
          <w:r>
            <w:rPr>
              <w:rFonts w:ascii="Times New Roman" w:hAnsi="Times New Roman"/>
              <w:vanish w:val="false"/>
              <w:sz w:val="24"/>
              <w:szCs w:val="24"/>
            </w:rPr>
            <w:t>4</w:t>
          </w:r>
        </w:p>
        <w:p>
          <w:pPr>
            <w:pStyle w:val="TOC4"/>
            <w:rPr/>
          </w:pPr>
          <w:hyperlink w:anchor="_Toc5464369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643699">
            <w:r>
              <w:rPr>
                <w:webHidden/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>Таблица 1. Перечень объектов заказчика</w:t>
              <w:tab/>
            </w:r>
          </w:hyperlink>
          <w:r>
            <w:rPr>
              <w:rFonts w:ascii="Times New Roman" w:hAnsi="Times New Roman"/>
              <w:vanish w:val="false"/>
              <w:sz w:val="24"/>
              <w:szCs w:val="24"/>
            </w:rPr>
            <w:t>4</w:t>
          </w:r>
        </w:p>
        <w:p>
          <w:pPr>
            <w:pStyle w:val="TOC4"/>
            <w:rPr/>
          </w:pPr>
          <w:hyperlink w:anchor="_Toc54643700">
            <w:r>
              <w:rPr>
                <w:webHidden/>
                <w:rStyle w:val="Style14"/>
                <w:rFonts w:ascii="Times New Roman" w:hAnsi="Times New Roman"/>
                <w:iCs/>
                <w:vanish w:val="false"/>
                <w:sz w:val="24"/>
                <w:szCs w:val="24"/>
              </w:rPr>
              <w:t>1.</w:t>
            </w:r>
            <w:r>
              <w:rPr>
                <w:rStyle w:val="Style14"/>
                <w:rFonts w:ascii="Times New Roman" w:hAnsi="Times New Roman"/>
                <w:iCs/>
                <w:sz w:val="24"/>
                <w:szCs w:val="24"/>
              </w:rPr>
              <w:t>4.</w:t>
            </w:r>
            <w:r>
              <w:rPr>
                <w:rStyle w:val="Style14"/>
                <w:rFonts w:eastAsia="新細明體" w:cs="Arial" w:ascii="Times New Roman" w:hAnsi="Times New Roman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ab/>
            </w:r>
          </w:hyperlink>
          <w:r>
            <w:rPr>
              <w:rFonts w:ascii="Times New Roman" w:hAnsi="Times New Roman"/>
              <w:vanish w:val="false"/>
              <w:sz w:val="24"/>
              <w:szCs w:val="24"/>
            </w:rPr>
            <w:t>4</w:t>
          </w:r>
        </w:p>
        <w:p>
          <w:pPr>
            <w:pStyle w:val="TOC4"/>
            <w:rPr>
              <w:rFonts w:ascii="Times New Roman" w:hAnsi="Times New Roman" w:eastAsia="新細明體" w:cs="Arial" w:cstheme="minorBidi" w:eastAsiaTheme="minorEastAsia"/>
              <w:sz w:val="24"/>
              <w:szCs w:val="24"/>
            </w:rPr>
          </w:pPr>
          <w:r>
            <w:rPr>
              <w:rFonts w:eastAsia="新細明體" w:cs="Arial" w:cstheme="minorBidi" w:eastAsiaTheme="minorEastAsia" w:ascii="Times New Roman" w:hAnsi="Times New Roman"/>
              <w:sz w:val="24"/>
              <w:szCs w:val="24"/>
            </w:rPr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54643702">
            <w:r>
              <w:rPr>
                <w:webHidden/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>2.</w:t>
            </w:r>
            <w:r>
              <w:rPr>
                <w:rStyle w:val="Style14"/>
                <w:rFonts w:eastAsia="新細明體" w:cs="Arial" w:ascii="Times New Roman" w:hAnsi="Times New Roman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rFonts w:ascii="Times New Roman" w:hAnsi="Times New Roman"/>
                <w:iCs/>
                <w:sz w:val="24"/>
                <w:szCs w:val="24"/>
              </w:rPr>
              <w:t>Требования к продукции</w:t>
            </w:r>
            <w:r>
              <w:rPr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ab/>
            </w:r>
          </w:hyperlink>
          <w:r>
            <w:rPr>
              <w:rFonts w:eastAsia="新細明體" w:cs="Arial" w:ascii="Times New Roman" w:hAnsi="Times New Roman" w:cstheme="minorBidi" w:eastAsiaTheme="minorEastAsia"/>
              <w:b/>
              <w:bCs/>
              <w:vanish w:val="false"/>
              <w:sz w:val="24"/>
              <w:szCs w:val="24"/>
            </w:rPr>
            <w:t>4</w:t>
          </w:r>
        </w:p>
        <w:p>
          <w:pPr>
            <w:pStyle w:val="TOC4"/>
            <w:rPr/>
          </w:pPr>
          <w:hyperlink w:anchor="_Toc54643703">
            <w:r>
              <w:rPr>
                <w:webHidden/>
                <w:rStyle w:val="Style14"/>
                <w:rFonts w:ascii="Times New Roman" w:hAnsi="Times New Roman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4"/>
                <w:rFonts w:eastAsia="新細明體" w:cs="Arial" w:ascii="Times New Roman" w:hAnsi="Times New Roman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Требования к объемам и срокам оказания услуг</w:t>
            </w:r>
            <w:r>
              <w:rPr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ab/>
            </w:r>
          </w:hyperlink>
          <w:r>
            <w:rPr>
              <w:rFonts w:ascii="Times New Roman" w:hAnsi="Times New Roman"/>
              <w:vanish w:val="false"/>
              <w:sz w:val="24"/>
              <w:szCs w:val="24"/>
            </w:rPr>
            <w:t>4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54643704">
            <w:r>
              <w:rPr>
                <w:webHidden/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新細明體" w:cs="Arial" w:ascii="Times New Roman" w:hAnsi="Times New Roman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Требования к перечню и объему услуг</w:t>
            </w:r>
            <w:r>
              <w:rPr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ab/>
            </w:r>
          </w:hyperlink>
          <w:r>
            <w:rPr>
              <w:rFonts w:ascii="Times New Roman" w:hAnsi="Times New Roman"/>
              <w:vanish w:val="false"/>
              <w:sz w:val="24"/>
              <w:szCs w:val="24"/>
            </w:rPr>
            <w:t>4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643705">
            <w:r>
              <w:rPr>
                <w:webHidden/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 xml:space="preserve">Таблица 2. Перечень и </w:t>
            </w:r>
            <w:r>
              <w:rPr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>масса отходов подлежащих утилизации и обезвреживанию</w:t>
            </w:r>
            <w:r>
              <w:rPr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ab/>
            </w:r>
          </w:hyperlink>
          <w:r>
            <w:rPr>
              <w:rFonts w:ascii="Times New Roman" w:hAnsi="Times New Roman"/>
              <w:vanish w:val="false"/>
              <w:sz w:val="24"/>
              <w:szCs w:val="24"/>
            </w:rPr>
            <w:t>4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54643706">
            <w:r>
              <w:rPr>
                <w:webHidden/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>2.1.2.</w:t>
            </w:r>
            <w:r>
              <w:rPr>
                <w:rStyle w:val="Style14"/>
                <w:rFonts w:eastAsia="新細明體" w:cs="Arial" w:ascii="Times New Roman" w:hAnsi="Times New Roman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Требования к срокам оказания услуг</w:t>
            </w:r>
            <w:r>
              <w:rPr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ab/>
            </w:r>
          </w:hyperlink>
          <w:r>
            <w:rPr>
              <w:rFonts w:ascii="Times New Roman" w:hAnsi="Times New Roman"/>
              <w:vanish w:val="false"/>
              <w:sz w:val="24"/>
              <w:szCs w:val="24"/>
            </w:rPr>
            <w:t>5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643707">
            <w:r>
              <w:rPr>
                <w:webHidden/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>Таблица 3. Требования к срокам оказания услуг</w:t>
              <w:tab/>
            </w:r>
          </w:hyperlink>
          <w:r>
            <w:rPr>
              <w:rFonts w:ascii="Times New Roman" w:hAnsi="Times New Roman"/>
              <w:vanish w:val="false"/>
              <w:sz w:val="24"/>
              <w:szCs w:val="24"/>
            </w:rPr>
            <w:t>5</w:t>
          </w:r>
        </w:p>
        <w:p>
          <w:pPr>
            <w:pStyle w:val="TOC4"/>
            <w:ind w:left="560" w:hanging="0"/>
            <w:rPr/>
          </w:pPr>
          <w:hyperlink w:anchor="_Toc54643708">
            <w:r>
              <w:rPr>
                <w:webHidden/>
                <w:rStyle w:val="Style14"/>
                <w:rFonts w:ascii="Times New Roman" w:hAnsi="Times New Roman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14"/>
                <w:rFonts w:eastAsia="新細明體" w:cs="Arial" w:ascii="Times New Roman" w:hAnsi="Times New Roman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643709">
            <w:r>
              <w:rPr>
                <w:webHidden/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>Таблица 4. Требования к качеству услуг</w:t>
              <w:tab/>
            </w:r>
          </w:hyperlink>
          <w:r>
            <w:rPr>
              <w:rFonts w:ascii="Times New Roman" w:hAnsi="Times New Roman"/>
              <w:vanish w:val="false"/>
              <w:sz w:val="24"/>
              <w:szCs w:val="24"/>
            </w:rPr>
            <w:t>6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54643710">
            <w:r>
              <w:rPr>
                <w:webHidden/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>3.</w:t>
            </w:r>
            <w:r>
              <w:rPr>
                <w:rStyle w:val="Style14"/>
                <w:rFonts w:eastAsia="新細明體" w:cs="Arial" w:ascii="Times New Roman" w:hAnsi="Times New Roman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Требования к документации по ценообразованию на этапе закупки</w:t>
            </w:r>
            <w:r>
              <w:rPr>
                <w:rStyle w:val="Style14"/>
                <w:rFonts w:ascii="Times New Roman" w:hAnsi="Times New Roman"/>
                <w:vanish w:val="false"/>
                <w:sz w:val="24"/>
                <w:szCs w:val="24"/>
              </w:rPr>
              <w:tab/>
            </w:r>
          </w:hyperlink>
          <w:r>
            <w:rPr>
              <w:rFonts w:ascii="Times New Roman" w:hAnsi="Times New Roman"/>
              <w:vanish w:val="false"/>
              <w:sz w:val="24"/>
              <w:szCs w:val="24"/>
              <w:shd w:fill="auto" w:val="clear"/>
            </w:rPr>
            <w:t>8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54643711">
            <w:r>
              <w:rPr>
                <w:webHidden/>
                <w:rStyle w:val="Style14"/>
                <w:rFonts w:ascii="Times New Roman" w:hAnsi="Times New Roman"/>
                <w:vanish w:val="false"/>
                <w:sz w:val="24"/>
                <w:szCs w:val="24"/>
                <w:shd w:fill="auto" w:val="clear"/>
              </w:rPr>
              <w:t>4.</w:t>
            </w:r>
            <w:r>
              <w:rPr>
                <w:rStyle w:val="Style14"/>
                <w:rFonts w:eastAsia="新細明體" w:cs="Arial" w:ascii="Times New Roman" w:hAnsi="Times New Roman" w:cstheme="minorBidi" w:eastAsiaTheme="minorEastAsia"/>
                <w:b w:val="false"/>
                <w:bCs w:val="false"/>
                <w:sz w:val="24"/>
                <w:szCs w:val="24"/>
                <w:shd w:fill="auto" w:val="clear"/>
              </w:rPr>
              <w:tab/>
            </w:r>
            <w:r>
              <w:rPr>
                <w:rStyle w:val="Style14"/>
                <w:rFonts w:ascii="Times New Roman" w:hAnsi="Times New Roman"/>
                <w:sz w:val="24"/>
                <w:szCs w:val="24"/>
                <w:shd w:fill="auto" w:val="clear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rStyle w:val="Style14"/>
                <w:rFonts w:ascii="Times New Roman" w:hAnsi="Times New Roman"/>
                <w:vanish w:val="false"/>
                <w:sz w:val="24"/>
                <w:szCs w:val="24"/>
                <w:shd w:fill="auto" w:val="clear"/>
              </w:rPr>
              <w:tab/>
            </w:r>
          </w:hyperlink>
          <w:hyperlink w:anchor="_Toc5464371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_Toc54643713 \h</w:instrText>
            </w:r>
            <w:r>
              <w:rPr>
                <w:webHidden/>
              </w:rPr>
              <w:fldChar w:fldCharType="separate"/>
            </w:r>
            <w:r>
              <w:rPr>
                <w:rFonts w:ascii="Times New Roman" w:hAnsi="Times New Roman"/>
                <w:vanish w:val="false"/>
                <w:sz w:val="24"/>
                <w:szCs w:val="24"/>
                <w:shd w:fill="auto" w:val="clear"/>
              </w:rPr>
              <w:t>9</w:t>
            </w:r>
            <w:r>
              <w:rPr>
                <w:webHidden/>
              </w:rPr>
              <w:fldChar w:fldCharType="end"/>
            </w:r>
          </w:hyperlink>
          <w:r>
            <w:rPr>
              <w:sz w:val="24"/>
              <w:shd w:fill="auto" w:val="clear"/>
              <w:szCs w:val="24"/>
              <w:vanish w:val="false"/>
              <w:rFonts w:ascii="Times New Roman" w:hAnsi="Times New Roman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rFonts w:ascii="Times New Roman" w:hAnsi="Times New Roman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sz w:val="24"/>
          <w:szCs w:val="24"/>
          <w:shd w:fill="auto" w:val="clear"/>
        </w:rPr>
      </w:r>
    </w:p>
    <w:p>
      <w:pPr>
        <w:pStyle w:val="Heading2"/>
        <w:numPr>
          <w:ilvl w:val="0"/>
          <w:numId w:val="0"/>
        </w:numPr>
        <w:ind w:left="0" w:right="0" w:hanging="0"/>
        <w:rPr>
          <w:rFonts w:ascii="Times New Roman" w:hAnsi="Times New Roman"/>
          <w:b w:val="false"/>
          <w:i/>
          <w:i/>
          <w:sz w:val="24"/>
          <w:szCs w:val="24"/>
        </w:rPr>
      </w:pPr>
      <w:r>
        <w:rPr>
          <w:rFonts w:ascii="Times New Roman" w:hAnsi="Times New Roman"/>
          <w:b w:val="false"/>
          <w:i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right="0" w:hanging="357"/>
        <w:jc w:val="center"/>
        <w:rPr>
          <w:sz w:val="24"/>
          <w:szCs w:val="24"/>
        </w:rPr>
      </w:pPr>
      <w:bookmarkStart w:id="0" w:name="_Toc54643694"/>
      <w:r>
        <w:rPr>
          <w:sz w:val="24"/>
          <w:szCs w:val="24"/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ind w:left="432" w:right="0" w:hanging="432"/>
        <w:rPr>
          <w:sz w:val="24"/>
          <w:szCs w:val="24"/>
        </w:rPr>
      </w:pPr>
      <w:bookmarkStart w:id="1" w:name="_Toc46743505"/>
      <w:bookmarkStart w:id="2" w:name="_Toc54643695"/>
      <w:r>
        <w:rPr>
          <w:sz w:val="24"/>
          <w:szCs w:val="24"/>
        </w:rPr>
        <w:t>Обозначения и сокращения</w:t>
      </w:r>
      <w:bookmarkEnd w:id="1"/>
      <w:bookmarkEnd w:id="2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РЭС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Район электрических сетей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Технические требования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ind w:left="432" w:right="0" w:hanging="432"/>
        <w:rPr>
          <w:sz w:val="24"/>
          <w:szCs w:val="24"/>
        </w:rPr>
      </w:pPr>
      <w:bookmarkStart w:id="3" w:name="_Toc54643696"/>
      <w:bookmarkStart w:id="4" w:name="_Toc46743506"/>
      <w:r>
        <w:rPr>
          <w:sz w:val="24"/>
          <w:szCs w:val="24"/>
        </w:rPr>
        <w:t>Наименование закупаемой продукции</w:t>
      </w:r>
      <w:bookmarkEnd w:id="3"/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left"/>
        <w:rPr>
          <w:sz w:val="24"/>
          <w:szCs w:val="24"/>
        </w:rPr>
      </w:pPr>
      <w:bookmarkStart w:id="5" w:name="_Toc46743507"/>
      <w:r>
        <w:rPr>
          <w:rFonts w:eastAsia="Calibri"/>
          <w:b w:val="false"/>
          <w:bCs w:val="false"/>
          <w:i w:val="false"/>
          <w:iCs w:val="false"/>
          <w:sz w:val="24"/>
          <w:szCs w:val="24"/>
          <w:lang w:eastAsia="x-none"/>
        </w:rPr>
        <w:t>«</w:t>
      </w:r>
      <w:r>
        <w:rPr>
          <w:rFonts w:eastAsia="Calibri"/>
          <w:b w:val="false"/>
          <w:bCs w:val="false"/>
          <w:i w:val="false"/>
          <w:iCs w:val="false"/>
          <w:color w:val="000000"/>
          <w:sz w:val="24"/>
          <w:szCs w:val="24"/>
          <w:lang w:eastAsia="x-none"/>
        </w:rPr>
        <w:t xml:space="preserve">ОКПД2 — 38.22.19.000. </w:t>
      </w:r>
      <w:r>
        <w:rPr>
          <w:rFonts w:eastAsia="Calibri" w:cs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lang w:val="ru-RU" w:eastAsia="ru-RU" w:bidi="ar-SA"/>
        </w:rPr>
        <w:t>Сбор, транспортирование, обработка, утилизация, обезвреживание, размещение загрязненных грунтов и отработанных покрышек».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suppressAutoHyphens w:val="true"/>
        <w:bidi w:val="0"/>
        <w:spacing w:before="120" w:after="120"/>
        <w:ind w:left="0" w:right="0" w:hanging="0"/>
        <w:jc w:val="left"/>
        <w:rPr/>
      </w:pPr>
      <w:bookmarkStart w:id="6" w:name="_Toc46743507"/>
      <w:r>
        <w:rPr>
          <w:rFonts w:eastAsia="Calibri"/>
          <w:i/>
          <w:sz w:val="24"/>
          <w:szCs w:val="24"/>
          <w:shd w:fill="auto" w:val="clear"/>
          <w:lang w:eastAsia="x-none"/>
        </w:rPr>
        <w:br/>
      </w:r>
      <w:bookmarkEnd w:id="6"/>
      <w:r>
        <w:rPr>
          <w:rFonts w:eastAsia="Calibri" w:cs="Times New Roman"/>
          <w:b/>
          <w:bCs/>
          <w:color w:val="000000"/>
          <w:kern w:val="0"/>
          <w:sz w:val="24"/>
          <w:szCs w:val="24"/>
          <w:shd w:fill="auto" w:val="clear"/>
          <w:lang w:val="x-none" w:eastAsia="x-none" w:bidi="ar-SA"/>
        </w:rPr>
        <w:t xml:space="preserve">1.3. </w:t>
      </w:r>
      <w:r>
        <w:rPr>
          <w:rFonts w:eastAsia="Calibri" w:cs="Times New Roman"/>
          <w:b/>
          <w:bCs/>
          <w:i w:val="false"/>
          <w:iCs w:val="false"/>
          <w:color w:val="000000"/>
          <w:kern w:val="0"/>
          <w:sz w:val="24"/>
          <w:szCs w:val="24"/>
          <w:shd w:fill="auto" w:val="clear"/>
          <w:lang w:val="x-none" w:eastAsia="x-none" w:bidi="ar-SA"/>
        </w:rPr>
        <w:t>Це</w:t>
      </w:r>
      <w:bookmarkStart w:id="7" w:name="_Toc54643697"/>
      <w:r>
        <w:rPr>
          <w:rStyle w:val="Style8"/>
          <w:rFonts w:eastAsia="Calibri" w:cs="Times New Roman"/>
          <w:b/>
          <w:bCs/>
          <w:i w:val="false"/>
          <w:iCs w:val="false"/>
          <w:color w:val="000000"/>
          <w:kern w:val="0"/>
          <w:sz w:val="24"/>
          <w:szCs w:val="24"/>
          <w:shd w:fill="auto" w:val="clear"/>
          <w:lang w:val="x-none" w:eastAsia="x-none" w:bidi="ar-SA"/>
        </w:rPr>
        <w:t xml:space="preserve">ль оказания услуг </w:t>
      </w:r>
      <w:bookmarkEnd w:id="7"/>
    </w:p>
    <w:p>
      <w:pPr>
        <w:pStyle w:val="Normal"/>
        <w:spacing w:before="240" w:after="60"/>
        <w:ind w:left="431" w:hanging="431"/>
        <w:rPr/>
      </w:pPr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auto" w:val="clear"/>
          <w:lang w:val="ru-RU"/>
        </w:rPr>
        <w:t>Соблюдение природоохранного законодательства.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sz w:val="24"/>
          <w:szCs w:val="24"/>
          <w:lang w:val="ru-RU"/>
        </w:rPr>
      </w:pPr>
      <w:bookmarkStart w:id="8" w:name="_Toc5464369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bookmarkEnd w:id="8"/>
      <w:r>
        <w:rPr>
          <w:sz w:val="24"/>
          <w:szCs w:val="24"/>
          <w:lang w:val="ru-RU"/>
        </w:rPr>
        <w:t>Перечень объектов заказчика</w:t>
      </w:r>
    </w:p>
    <w:tbl>
      <w:tblPr>
        <w:tblW w:w="99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04"/>
        <w:gridCol w:w="3075"/>
        <w:gridCol w:w="2116"/>
        <w:gridCol w:w="2591"/>
        <w:gridCol w:w="1528"/>
      </w:tblGrid>
      <w:tr>
        <w:trPr/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left="737" w:right="0" w:hanging="567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1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Производственный центр АО «Сахаэнерго»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1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Республика Саха (Якутия) г.Якутск, ул. Беринга, 42 </w:t>
            </w:r>
          </w:p>
        </w:tc>
        <w:tc>
          <w:tcPr>
            <w:tcW w:w="2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Грунт, загрязненный нефтью или нефтепродуктами (содержание нефти или нефтепродуктов менее 15%);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Покрышки  пневматических шин с металлическим кордом отработанные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881" w:hRule="atLeast"/>
        </w:trPr>
        <w:tc>
          <w:tcPr>
            <w:tcW w:w="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left="737" w:right="0" w:hanging="567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1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Вспомогательная площадка для хранения и переработки грузов АО «Сахаэнерго»</w:t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г.Якутск, Покровский тракт 10 км., территория Догдонго,</w:t>
            </w:r>
          </w:p>
          <w:p>
            <w:pPr>
              <w:pStyle w:val="Normal1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з/у 181</w:t>
            </w:r>
          </w:p>
        </w:tc>
        <w:tc>
          <w:tcPr>
            <w:tcW w:w="2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pStyle w:val="Heading4"/>
        <w:numPr>
          <w:ilvl w:val="1"/>
          <w:numId w:val="3"/>
        </w:numPr>
        <w:ind w:left="432" w:right="0" w:hanging="432"/>
        <w:jc w:val="both"/>
        <w:rPr>
          <w:sz w:val="24"/>
          <w:szCs w:val="24"/>
        </w:rPr>
      </w:pPr>
      <w:bookmarkStart w:id="9" w:name="_Hlk49857604"/>
      <w:bookmarkStart w:id="10" w:name="_Toc46743509"/>
      <w:bookmarkStart w:id="11" w:name="_Toc54643700"/>
      <w:r>
        <w:rPr>
          <w:sz w:val="24"/>
          <w:szCs w:val="24"/>
        </w:rPr>
        <w:t xml:space="preserve">Информация в отношении исполнения договора, </w:t>
      </w:r>
      <w:bookmarkStart w:id="12" w:name="_Hlk46492347"/>
      <w:r>
        <w:rPr>
          <w:sz w:val="24"/>
          <w:szCs w:val="24"/>
        </w:rPr>
        <w:t xml:space="preserve">которая должна быть учтена при подготовке заявки </w:t>
      </w:r>
      <w:bookmarkEnd w:id="12"/>
      <w:r>
        <w:rPr>
          <w:sz w:val="24"/>
          <w:szCs w:val="24"/>
        </w:rPr>
        <w:t xml:space="preserve">(в том числе перечень ресурсов, услуг и документов, предоставляемых </w:t>
      </w:r>
      <w:r>
        <w:rPr>
          <w:sz w:val="24"/>
          <w:szCs w:val="24"/>
          <w:lang w:val="ru-RU"/>
        </w:rPr>
        <w:t>заказчиком</w:t>
      </w:r>
      <w:r>
        <w:rPr>
          <w:sz w:val="24"/>
          <w:szCs w:val="24"/>
        </w:rPr>
        <w:t xml:space="preserve"> на этапе исполнения договора)</w:t>
      </w:r>
      <w:bookmarkEnd w:id="9"/>
      <w:bookmarkEnd w:id="10"/>
      <w:r>
        <w:rPr>
          <w:sz w:val="24"/>
          <w:szCs w:val="24"/>
          <w:lang w:val="ru-RU"/>
        </w:rPr>
        <w:t xml:space="preserve"> </w:t>
      </w:r>
      <w:bookmarkEnd w:id="11"/>
    </w:p>
    <w:p>
      <w:pPr>
        <w:pStyle w:val="Normal1"/>
        <w:ind w:left="60" w:right="0" w:hanging="0"/>
        <w:jc w:val="both"/>
        <w:rPr>
          <w:sz w:val="24"/>
          <w:szCs w:val="24"/>
        </w:rPr>
      </w:pPr>
      <w:r>
        <w:rPr>
          <w:b w:val="false"/>
          <w:color w:val="000000"/>
          <w:sz w:val="24"/>
          <w:szCs w:val="24"/>
        </w:rPr>
        <w:t xml:space="preserve">1.3.1. Отходы </w:t>
      </w:r>
      <w:r>
        <w:rPr>
          <w:b w:val="false"/>
          <w:color w:val="000000"/>
          <w:sz w:val="24"/>
          <w:szCs w:val="24"/>
        </w:rPr>
        <w:t xml:space="preserve">загрязненного грунта </w:t>
      </w:r>
      <w:r>
        <w:rPr>
          <w:b w:val="false"/>
          <w:color w:val="000000"/>
          <w:sz w:val="24"/>
          <w:szCs w:val="24"/>
        </w:rPr>
        <w:t>будут передаваться в мягких контейнерах биг-бэг, объемом 1 м</w:t>
      </w:r>
      <w:r>
        <w:rPr>
          <w:b w:val="false"/>
          <w:color w:val="000000"/>
          <w:sz w:val="24"/>
          <w:szCs w:val="24"/>
          <w:vertAlign w:val="superscript"/>
        </w:rPr>
        <w:t>3</w:t>
      </w:r>
      <w:r>
        <w:rPr>
          <w:b w:val="false"/>
          <w:color w:val="000000"/>
          <w:sz w:val="24"/>
          <w:szCs w:val="24"/>
        </w:rPr>
        <w:t>;</w:t>
      </w:r>
    </w:p>
    <w:p>
      <w:pPr>
        <w:pStyle w:val="Normal1"/>
        <w:ind w:left="60" w:right="0" w:hanging="0"/>
        <w:jc w:val="both"/>
        <w:rPr>
          <w:sz w:val="24"/>
          <w:szCs w:val="24"/>
        </w:rPr>
      </w:pPr>
      <w:r>
        <w:rPr>
          <w:b w:val="false"/>
          <w:color w:val="000000"/>
          <w:sz w:val="24"/>
          <w:szCs w:val="24"/>
        </w:rPr>
        <w:t>1.3.2. Заказчиком по мере накопления и формирования транспортных партий отходов в адрес Исполнителя представляется заявка на передачу отходов в произвольной форме, в которой указывается вид и количество отходов.</w:t>
      </w:r>
    </w:p>
    <w:p>
      <w:pPr>
        <w:pStyle w:val="Normal1"/>
        <w:ind w:left="60" w:right="0" w:hanging="0"/>
        <w:jc w:val="both"/>
        <w:rPr>
          <w:sz w:val="24"/>
          <w:szCs w:val="24"/>
        </w:rPr>
      </w:pPr>
      <w:r>
        <w:rPr>
          <w:b w:val="false"/>
          <w:color w:val="000000"/>
          <w:sz w:val="24"/>
          <w:szCs w:val="24"/>
        </w:rPr>
        <w:t>1.3.3. Погрузка отходов с территории Заказчика осуществляются Исполнителем собственными силами (персонал, транспорт).</w:t>
      </w:r>
    </w:p>
    <w:p>
      <w:pPr>
        <w:pStyle w:val="Normal1"/>
        <w:ind w:left="60" w:right="0" w:hanging="0"/>
        <w:jc w:val="both"/>
        <w:rPr>
          <w:rFonts w:ascii="Times New Roman" w:hAnsi="Times New Roman"/>
          <w:b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color w:val="000000"/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357" w:right="0" w:hanging="357"/>
        <w:jc w:val="center"/>
        <w:rPr>
          <w:rFonts w:ascii="Times New Roman" w:hAnsi="Times New Roman"/>
          <w:sz w:val="24"/>
          <w:szCs w:val="24"/>
        </w:rPr>
      </w:pPr>
      <w:bookmarkStart w:id="13" w:name="_Toc54643702"/>
      <w:bookmarkStart w:id="14" w:name="_Toc51339693"/>
      <w:r>
        <w:rPr>
          <w:rFonts w:ascii="Times New Roman" w:hAnsi="Times New Roman"/>
          <w:iCs/>
          <w:sz w:val="24"/>
          <w:szCs w:val="24"/>
          <w:lang w:val="ru-RU"/>
        </w:rPr>
        <w:t>Требования</w:t>
      </w:r>
      <w:r>
        <w:rPr>
          <w:rFonts w:ascii="Times New Roman" w:hAnsi="Times New Roman"/>
          <w:iCs/>
          <w:sz w:val="24"/>
          <w:szCs w:val="24"/>
        </w:rPr>
        <w:t xml:space="preserve"> к продукции</w:t>
      </w:r>
      <w:bookmarkEnd w:id="13"/>
      <w:bookmarkEnd w:id="14"/>
    </w:p>
    <w:p>
      <w:pPr>
        <w:pStyle w:val="Heading4"/>
        <w:numPr>
          <w:ilvl w:val="1"/>
          <w:numId w:val="3"/>
        </w:numPr>
        <w:ind w:left="432" w:right="0" w:hanging="432"/>
        <w:rPr>
          <w:rFonts w:ascii="Times New Roman" w:hAnsi="Times New Roman"/>
          <w:sz w:val="24"/>
          <w:szCs w:val="24"/>
        </w:rPr>
      </w:pPr>
      <w:bookmarkStart w:id="15" w:name="_Toc54643703"/>
      <w:r>
        <w:rPr>
          <w:rFonts w:ascii="Times New Roman" w:hAnsi="Times New Roman"/>
          <w:sz w:val="24"/>
          <w:szCs w:val="24"/>
        </w:rPr>
        <w:t xml:space="preserve">Требования к объемам и срокам </w:t>
      </w:r>
      <w:r>
        <w:rPr>
          <w:rFonts w:ascii="Times New Roman" w:hAnsi="Times New Roman"/>
          <w:sz w:val="24"/>
          <w:szCs w:val="24"/>
          <w:lang w:val="ru-RU"/>
        </w:rPr>
        <w:t>оказания услуг</w:t>
      </w:r>
      <w:bookmarkEnd w:id="15"/>
    </w:p>
    <w:p>
      <w:pPr>
        <w:pStyle w:val="Heading3"/>
        <w:keepNext w:val="true"/>
        <w:widowControl/>
        <w:numPr>
          <w:ilvl w:val="2"/>
          <w:numId w:val="3"/>
        </w:numPr>
        <w:suppressAutoHyphens w:val="true"/>
        <w:bidi w:val="0"/>
        <w:spacing w:before="120" w:after="60"/>
        <w:ind w:left="0" w:right="0" w:hanging="0"/>
        <w:rPr>
          <w:rFonts w:ascii="Times New Roman" w:hAnsi="Times New Roman"/>
          <w:sz w:val="24"/>
          <w:szCs w:val="24"/>
        </w:rPr>
      </w:pPr>
      <w:bookmarkStart w:id="16" w:name="_Toc54643704"/>
      <w:r>
        <w:rPr>
          <w:rFonts w:eastAsia="Calibri" w:cs="Times New Roman" w:ascii="Times New Roman" w:hAnsi="Times New Roman"/>
          <w:b/>
          <w:color w:val="auto"/>
          <w:kern w:val="0"/>
          <w:sz w:val="24"/>
          <w:szCs w:val="24"/>
          <w:lang w:val="ru-RU" w:eastAsia="x-none" w:bidi="ar-SA"/>
        </w:rPr>
        <w:t>Требования к перечню и объему услуг</w:t>
      </w:r>
      <w:bookmarkEnd w:id="16"/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Times New Roman" w:hAnsi="Times New Roman"/>
          <w:sz w:val="24"/>
          <w:szCs w:val="24"/>
        </w:rPr>
      </w:pPr>
      <w:bookmarkStart w:id="17" w:name="_Toc54643705"/>
      <w:bookmarkStart w:id="18" w:name="_Toc51339695"/>
      <w:r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  <w:lang w:val="ru-RU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bookmarkEnd w:id="17"/>
      <w:bookmarkEnd w:id="18"/>
      <w:r>
        <w:rPr>
          <w:rFonts w:eastAsia="Calibri" w:cs="Times New Roman" w:ascii="Times New Roman" w:hAnsi="Times New Roman"/>
          <w:b/>
          <w:bCs/>
          <w:color w:val="auto"/>
          <w:kern w:val="0"/>
          <w:sz w:val="24"/>
          <w:szCs w:val="24"/>
          <w:lang w:val="ru-RU" w:eastAsia="ru-RU" w:bidi="ar-SA"/>
        </w:rPr>
        <w:t>Перечень и масса отходов подлежащих утилизации и обезвреживанию</w:t>
      </w:r>
    </w:p>
    <w:p>
      <w:pPr>
        <w:pStyle w:val="Standard"/>
        <w:tabs>
          <w:tab w:val="clear" w:pos="708"/>
          <w:tab w:val="left" w:pos="426" w:leader="none"/>
        </w:tabs>
        <w:jc w:val="both"/>
        <w:rPr>
          <w:rFonts w:ascii="Times New Roman" w:hAnsi="Times New Roman" w:eastAsia="Calibri" w:cs="Times New Roman"/>
          <w:b/>
          <w:bCs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 w:ascii="Times New Roman" w:hAnsi="Times New Roman"/>
          <w:b/>
          <w:bCs/>
          <w:color w:val="auto"/>
          <w:kern w:val="0"/>
          <w:sz w:val="24"/>
          <w:szCs w:val="24"/>
          <w:lang w:val="ru-RU" w:eastAsia="ru-RU" w:bidi="ar-SA"/>
        </w:rPr>
      </w:r>
    </w:p>
    <w:tbl>
      <w:tblPr>
        <w:tblW w:w="9975" w:type="dxa"/>
        <w:jc w:val="left"/>
        <w:tblInd w:w="-3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90"/>
        <w:gridCol w:w="5428"/>
        <w:gridCol w:w="1080"/>
        <w:gridCol w:w="1472"/>
        <w:gridCol w:w="1305"/>
      </w:tblGrid>
      <w:tr>
        <w:trPr>
          <w:trHeight w:val="345" w:hRule="atLeast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>, 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Наименование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Цена за 1 кг., руб.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Масса отходов, кг</w:t>
            </w:r>
            <w:r>
              <w:rPr>
                <w:rFonts w:eastAsia="Calibri" w:cs="Times New Roman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*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Сумма, руб.</w:t>
            </w:r>
          </w:p>
        </w:tc>
      </w:tr>
      <w:tr>
        <w:trPr>
          <w:trHeight w:val="696" w:hRule="atLeast"/>
        </w:trPr>
        <w:tc>
          <w:tcPr>
            <w:tcW w:w="6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Сбор, транспортирование, обезвреживание/утилизация/размещение отхода «Грунт, загрязненный нефтью или нефтепродуктами (содержание нефти или нефтепродуктов менее15%)</w:t>
            </w:r>
            <w:r>
              <w:rPr>
                <w:rFonts w:eastAsia="Calibri" w:cs="Times New Roman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»</w:t>
            </w:r>
          </w:p>
        </w:tc>
        <w:tc>
          <w:tcPr>
            <w:tcW w:w="108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15000,00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35" w:hRule="atLeast"/>
        </w:trPr>
        <w:tc>
          <w:tcPr>
            <w:tcW w:w="6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Сбор, транспортирование, обезвреживание/утилизация/размещение отхода «Покрышки  пневматических шин с металлическим кордом отработа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нные»</w:t>
            </w:r>
          </w:p>
        </w:tc>
        <w:tc>
          <w:tcPr>
            <w:tcW w:w="10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3500,00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14" w:hRule="atLeast"/>
        </w:trPr>
        <w:tc>
          <w:tcPr>
            <w:tcW w:w="61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Итого: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pStyle w:val="Normal"/>
        <w:numPr>
          <w:ilvl w:val="0"/>
          <w:numId w:val="0"/>
        </w:numPr>
        <w:spacing w:before="240" w:after="60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b/>
          <w:sz w:val="24"/>
          <w:szCs w:val="24"/>
          <w:lang w:val="ru-RU"/>
        </w:rPr>
        <w:t xml:space="preserve">* </w:t>
      </w:r>
      <w:r>
        <w:rPr>
          <w:rFonts w:eastAsia="Calibri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Объемы отходов, указанные в таблице 1, являются ориентировочными (максимально возможными). Фактический объем передаваемых на утилизацию отходов каждого вида может составлять от 0% до 100 % от заявленной массы, но не превышать суммарной массы отходов указанной в таблице 1.</w:t>
      </w:r>
    </w:p>
    <w:p>
      <w:pPr>
        <w:pStyle w:val="Heading3"/>
        <w:keepNext w:val="true"/>
        <w:widowControl/>
        <w:numPr>
          <w:ilvl w:val="2"/>
          <w:numId w:val="3"/>
        </w:numPr>
        <w:suppressAutoHyphens w:val="true"/>
        <w:bidi w:val="0"/>
        <w:spacing w:before="120" w:after="60"/>
        <w:ind w:left="0" w:right="0" w:hanging="0"/>
        <w:rPr>
          <w:rFonts w:ascii="Times New Roman" w:hAnsi="Times New Roman"/>
          <w:sz w:val="24"/>
          <w:szCs w:val="24"/>
        </w:rPr>
      </w:pPr>
      <w:bookmarkStart w:id="19" w:name="_Toc54643706"/>
      <w:bookmarkStart w:id="20" w:name="_Toc51339696"/>
      <w:r>
        <w:rPr>
          <w:rFonts w:ascii="Times New Roman" w:hAnsi="Times New Roman"/>
          <w:sz w:val="24"/>
          <w:szCs w:val="24"/>
          <w:lang w:val="ru-RU"/>
        </w:rPr>
        <w:t xml:space="preserve">Требования </w:t>
      </w:r>
      <w:bookmarkEnd w:id="20"/>
      <w:r>
        <w:rPr>
          <w:rFonts w:ascii="Times New Roman" w:hAnsi="Times New Roman"/>
          <w:sz w:val="24"/>
          <w:szCs w:val="24"/>
          <w:lang w:val="ru-RU"/>
        </w:rPr>
        <w:t>к срокам оказания услуг</w:t>
      </w:r>
      <w:bookmarkEnd w:id="19"/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Times New Roman" w:hAnsi="Times New Roman"/>
          <w:sz w:val="24"/>
          <w:szCs w:val="24"/>
        </w:rPr>
      </w:pPr>
      <w:bookmarkStart w:id="21" w:name="_Toc54643707"/>
      <w:bookmarkStart w:id="22" w:name="_Toc50125127"/>
      <w:bookmarkStart w:id="23" w:name="_Toc51339697"/>
      <w:bookmarkStart w:id="24" w:name="_Toc50125126_Копия_1"/>
      <w:bookmarkEnd w:id="24"/>
      <w:r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  <w:lang w:val="ru-RU"/>
        </w:rPr>
        <w:t>3</w:t>
      </w:r>
      <w:r>
        <w:rPr>
          <w:rFonts w:ascii="Times New Roman" w:hAnsi="Times New Roman"/>
          <w:sz w:val="24"/>
          <w:szCs w:val="24"/>
        </w:rPr>
        <w:t xml:space="preserve">. </w:t>
      </w:r>
      <w:bookmarkStart w:id="25" w:name="_Hlk50465284"/>
      <w:r>
        <w:rPr>
          <w:rFonts w:ascii="Times New Roman" w:hAnsi="Times New Roman"/>
          <w:sz w:val="24"/>
          <w:szCs w:val="24"/>
        </w:rPr>
        <w:t xml:space="preserve">Требования </w:t>
      </w:r>
      <w:r>
        <w:rPr>
          <w:rFonts w:ascii="Times New Roman" w:hAnsi="Times New Roman"/>
          <w:sz w:val="24"/>
          <w:szCs w:val="24"/>
          <w:lang w:val="ru-RU"/>
        </w:rPr>
        <w:t>к</w:t>
      </w:r>
      <w:r>
        <w:rPr>
          <w:rFonts w:ascii="Times New Roman" w:hAnsi="Times New Roman"/>
          <w:sz w:val="24"/>
          <w:szCs w:val="24"/>
        </w:rPr>
        <w:t xml:space="preserve"> срокам </w:t>
      </w:r>
      <w:bookmarkEnd w:id="22"/>
      <w:bookmarkEnd w:id="23"/>
      <w:bookmarkEnd w:id="25"/>
      <w:r>
        <w:rPr>
          <w:rFonts w:ascii="Times New Roman" w:hAnsi="Times New Roman"/>
          <w:sz w:val="24"/>
          <w:szCs w:val="24"/>
          <w:lang w:val="ru-RU"/>
        </w:rPr>
        <w:t>оказания услуг</w:t>
      </w:r>
      <w:bookmarkEnd w:id="21"/>
    </w:p>
    <w:tbl>
      <w:tblPr>
        <w:tblW w:w="9723" w:type="dxa"/>
        <w:jc w:val="left"/>
        <w:tblInd w:w="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27"/>
        <w:gridCol w:w="2999"/>
        <w:gridCol w:w="2973"/>
        <w:gridCol w:w="3123"/>
      </w:tblGrid>
      <w:tr>
        <w:trPr/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к окончанию срока оказания услуг 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ind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Сбор, транспортирование, обезвреживание/утилизация/размещение отходов по заявке Заказчика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01.01.2027 г.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31.12.2027 г.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ind w:left="432" w:right="0" w:hanging="432"/>
        <w:rPr>
          <w:rFonts w:ascii="Times New Roman" w:hAnsi="Times New Roman"/>
          <w:sz w:val="24"/>
          <w:szCs w:val="24"/>
        </w:rPr>
      </w:pPr>
      <w:bookmarkStart w:id="26" w:name="_Toc54643709"/>
      <w:bookmarkStart w:id="27" w:name="_Toc51339698"/>
      <w:bookmarkStart w:id="28" w:name="_Toc54643708"/>
      <w:bookmarkStart w:id="29" w:name="_Toc46743511"/>
      <w:r>
        <w:rPr>
          <w:rFonts w:ascii="Times New Roman" w:hAnsi="Times New Roman"/>
          <w:sz w:val="24"/>
          <w:szCs w:val="24"/>
        </w:rPr>
        <w:t xml:space="preserve">Требования к </w:t>
      </w:r>
      <w:bookmarkEnd w:id="29"/>
      <w:r>
        <w:rPr>
          <w:rFonts w:ascii="Times New Roman" w:hAnsi="Times New Roman"/>
          <w:sz w:val="24"/>
          <w:szCs w:val="24"/>
          <w:lang w:val="ru-RU"/>
        </w:rPr>
        <w:t>качеству услуг</w:t>
      </w:r>
      <w:bookmarkEnd w:id="28"/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 </w:t>
      </w:r>
      <w:r>
        <w:rPr>
          <w:rFonts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</w:rPr>
        <w:t xml:space="preserve">. Требования к </w:t>
      </w:r>
      <w:bookmarkEnd w:id="27"/>
      <w:r>
        <w:rPr>
          <w:rFonts w:ascii="Times New Roman" w:hAnsi="Times New Roman"/>
          <w:sz w:val="24"/>
          <w:szCs w:val="24"/>
          <w:lang w:val="ru-RU"/>
        </w:rPr>
        <w:t>качеству услуг</w:t>
      </w:r>
      <w:bookmarkEnd w:id="26"/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rPr>
          <w:rFonts w:ascii="Times New Roman" w:hAnsi="Times New Roman"/>
          <w:b w:val="false"/>
          <w:sz w:val="24"/>
          <w:szCs w:val="24"/>
        </w:rPr>
      </w:pPr>
      <w:r>
        <w:rPr>
          <w:rFonts w:ascii="Times New Roman" w:hAnsi="Times New Roman"/>
          <w:b w:val="false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Наименование услуг/этапа услуг (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«ОКПД2 —  38.22.19.000. </w:t>
      </w:r>
      <w:r>
        <w:rPr>
          <w:rFonts w:eastAsia="Calibri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4"/>
          <w:sz w:val="24"/>
          <w:szCs w:val="24"/>
          <w:u w:val="none"/>
          <w:shd w:fill="auto" w:val="clear"/>
          <w:vertAlign w:val="baseline"/>
          <w:lang w:val="ru-RU" w:eastAsia="ru-RU" w:bidi="ar-SA"/>
        </w:rPr>
        <w:t>Сбор, транспортирование, обработка, утилизация, обезвреживание, размещение загрязненных грунтов и отработанных покрышек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»</w:t>
      </w:r>
      <w:r>
        <w:rPr>
          <w:rFonts w:ascii="Times New Roman" w:hAnsi="Times New Roman"/>
          <w:b/>
          <w:bCs/>
          <w:sz w:val="24"/>
          <w:szCs w:val="24"/>
        </w:rPr>
        <w:t xml:space="preserve">): </w:t>
      </w:r>
    </w:p>
    <w:tbl>
      <w:tblPr>
        <w:tblStyle w:val="af"/>
        <w:tblW w:w="1530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0"/>
        <w:gridCol w:w="2434"/>
        <w:gridCol w:w="3914"/>
        <w:gridCol w:w="1876"/>
        <w:gridCol w:w="4186"/>
        <w:gridCol w:w="2039"/>
      </w:tblGrid>
      <w:tr>
        <w:trPr/>
        <w:tc>
          <w:tcPr>
            <w:tcW w:w="85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43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91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6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03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43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91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8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418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0" w:name="_Toc53499667"/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0"/>
          </w:p>
        </w:tc>
        <w:tc>
          <w:tcPr>
            <w:tcW w:w="24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8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418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34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18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418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634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18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418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34" w:type="dxa"/>
            <w:tcBorders/>
            <w:shd w:color="auto" w:fill="auto" w:val="clear"/>
          </w:tcPr>
          <w:p>
            <w:pPr>
              <w:pStyle w:val="Style34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Сбор, транспортирование, обезвреживание/утилизация/размещение отходов</w:t>
            </w:r>
          </w:p>
        </w:tc>
        <w:tc>
          <w:tcPr>
            <w:tcW w:w="391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соответствии со ст.9 ч. 1 Федерального закона от 04.05.2011 № 99-ФЗ «О лицензировании отдельных видов деятельности»: наличие у Участника действующей на момент подачи заявки на участие в закупке лицензии, выданной Федеральной службой по надзору в сфере природопользования на осуществление деятельности по сбору, транспортированию, обработке, утилизации, обезвреживанию, размещению отходов I-IV классов опасности</w:t>
            </w:r>
          </w:p>
        </w:tc>
        <w:tc>
          <w:tcPr>
            <w:tcW w:w="187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4186" w:type="dxa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В составе заявки Участник должен предоставить копию действующей на момент подачи на участие в закупке заявки лицензии, выданной Федеральной службой по надзору в сфере природопользования или выписку о соответствии установленному требованию (с указанием адреса сайта или страницы сайта в информационно-телекоммуникационной сети «Интернет», на которой размещена требуемая информация и документы). В приложении к Лицензии должны присутствовать следующие записи: </w:t>
            </w:r>
          </w:p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- Наименование вида отхода: «Грунт, загрязненный нефтью или нефтепродуктами (содержание нефти или нефтепродуктов менее 15%); </w:t>
            </w:r>
          </w:p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- «Покрышки  пневматических шин с металлическим кордом отработанные».</w:t>
            </w:r>
          </w:p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- Виды работ, выполняемые в составе лицензируемого вида деятельности:  сбор, транспортирование, утилизация и/или обезвреживание и/или размещение</w:t>
            </w:r>
          </w:p>
        </w:tc>
        <w:tc>
          <w:tcPr>
            <w:tcW w:w="203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>
          <w:trHeight w:val="742" w:hRule="atLeast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</w:r>
          </w:p>
        </w:tc>
        <w:tc>
          <w:tcPr>
            <w:tcW w:w="634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8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  <w:tc>
          <w:tcPr>
            <w:tcW w:w="418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  <w:tc>
          <w:tcPr>
            <w:tcW w:w="203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</w:r>
          </w:p>
        </w:tc>
        <w:tc>
          <w:tcPr>
            <w:tcW w:w="24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Предоставление акта об оказании услуг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-</w:t>
            </w:r>
          </w:p>
        </w:tc>
        <w:tc>
          <w:tcPr>
            <w:tcW w:w="18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-</w:t>
            </w:r>
          </w:p>
        </w:tc>
        <w:tc>
          <w:tcPr>
            <w:tcW w:w="4186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Акт об оказании услуг</w:t>
            </w:r>
          </w:p>
        </w:tc>
        <w:tc>
          <w:tcPr>
            <w:tcW w:w="2039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left="357" w:right="0" w:hanging="357"/>
        <w:jc w:val="center"/>
        <w:rPr>
          <w:sz w:val="24"/>
          <w:szCs w:val="24"/>
        </w:rPr>
      </w:pPr>
      <w:bookmarkStart w:id="31" w:name="_Toc54643710"/>
      <w:bookmarkStart w:id="32" w:name="_Toc53395937"/>
      <w:bookmarkStart w:id="33" w:name="_Toc53393312"/>
      <w:bookmarkStart w:id="34" w:name="_Toc51339699"/>
      <w:bookmarkStart w:id="35" w:name="_Toc46743519"/>
      <w:bookmarkEnd w:id="34"/>
      <w:bookmarkEnd w:id="35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32"/>
      <w:bookmarkEnd w:id="33"/>
      <w:r>
        <w:rPr>
          <w:sz w:val="24"/>
          <w:szCs w:val="24"/>
          <w:lang w:val="ru-RU"/>
        </w:rPr>
        <w:t xml:space="preserve"> на этапе закупки</w:t>
      </w:r>
      <w:bookmarkEnd w:id="31"/>
    </w:p>
    <w:p>
      <w:pPr>
        <w:pStyle w:val="Heading4"/>
        <w:numPr>
          <w:ilvl w:val="1"/>
          <w:numId w:val="3"/>
        </w:numPr>
        <w:ind w:left="1276" w:right="0" w:hanging="567"/>
        <w:jc w:val="left"/>
        <w:rPr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Heading4"/>
        <w:numPr>
          <w:ilvl w:val="0"/>
          <w:numId w:val="0"/>
        </w:numPr>
        <w:ind w:left="1276" w:right="0" w:hanging="0"/>
        <w:jc w:val="left"/>
        <w:rPr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</w:r>
    </w:p>
    <w:p>
      <w:pPr>
        <w:pStyle w:val="Heading1"/>
        <w:keepLines/>
        <w:numPr>
          <w:ilvl w:val="0"/>
          <w:numId w:val="0"/>
        </w:numPr>
        <w:ind w:left="357" w:right="0" w:hanging="0"/>
        <w:rPr>
          <w:iCs/>
          <w:caps/>
        </w:rPr>
      </w:pPr>
      <w:r>
        <w:rPr>
          <w:iCs/>
          <w:caps/>
        </w:rPr>
      </w:r>
    </w:p>
    <w:p>
      <w:pPr>
        <w:pStyle w:val="Normal"/>
        <w:rPr>
          <w:iCs/>
          <w:caps/>
        </w:rPr>
      </w:pPr>
      <w:r>
        <w:rPr>
          <w:iCs/>
          <w:caps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right="0" w:hanging="357"/>
        <w:jc w:val="center"/>
        <w:rPr>
          <w:sz w:val="24"/>
          <w:szCs w:val="24"/>
        </w:rPr>
      </w:pPr>
      <w:bookmarkStart w:id="36" w:name="_Toc54281228"/>
      <w:bookmarkStart w:id="37" w:name="_Toc54643711"/>
      <w:r>
        <w:rPr>
          <w:sz w:val="24"/>
          <w:szCs w:val="24"/>
          <w:lang w:val="ru-RU"/>
        </w:rPr>
        <w:t>Требования к документации по ценообразованию на этапе заключения (исполнения) договора</w:t>
      </w:r>
      <w:bookmarkEnd w:id="36"/>
      <w:bookmarkEnd w:id="37"/>
    </w:p>
    <w:p>
      <w:pPr>
        <w:pStyle w:val="Normal"/>
        <w:ind w:left="357" w:right="0" w:hanging="357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i w:val="false"/>
          <w:iCs w:val="false"/>
          <w:sz w:val="24"/>
          <w:szCs w:val="24"/>
          <w:lang w:eastAsia="x-none"/>
        </w:rPr>
        <w:t>4.1. По результатам настоящей закупки заключается договор с предельной ценой, равной начальной (максимальной) цене договора, установленной в Документации о закупке, а также с единичными расценками (ценой за единицу продукции по каждому наименованию работ), предложенными в заявке Победителем.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rFonts w:eastAsia="Calibri"/>
          <w:i w:val="false"/>
          <w:iCs w:val="false"/>
          <w:sz w:val="24"/>
          <w:szCs w:val="24"/>
          <w:lang w:val="x-none" w:eastAsia="x-none"/>
        </w:rPr>
        <w:t>4.2. Порядок формировани</w:t>
      </w:r>
      <w:r>
        <w:rPr>
          <w:i w:val="false"/>
          <w:iCs w:val="false"/>
          <w:sz w:val="24"/>
          <w:szCs w:val="24"/>
        </w:rPr>
        <w:t>я</w:t>
      </w:r>
      <w:r>
        <w:rPr>
          <w:rFonts w:eastAsia="Calibri"/>
          <w:i w:val="false"/>
          <w:iCs w:val="false"/>
          <w:sz w:val="24"/>
          <w:szCs w:val="24"/>
          <w:lang w:val="x-none" w:eastAsia="x-none"/>
        </w:rPr>
        <w:t xml:space="preserve"> </w:t>
      </w:r>
      <w:r>
        <w:rPr>
          <w:rFonts w:eastAsia="Calibri"/>
          <w:i w:val="false"/>
          <w:iCs w:val="false"/>
          <w:sz w:val="24"/>
          <w:szCs w:val="24"/>
          <w:lang w:eastAsia="x-none"/>
        </w:rPr>
        <w:t xml:space="preserve">на этапе исполнения договора </w:t>
      </w:r>
      <w:r>
        <w:rPr>
          <w:rFonts w:eastAsia="Calibri"/>
          <w:i w:val="false"/>
          <w:iCs w:val="false"/>
          <w:sz w:val="24"/>
          <w:szCs w:val="24"/>
          <w:lang w:val="x-none" w:eastAsia="x-none"/>
        </w:rPr>
        <w:t>стоимост</w:t>
      </w:r>
      <w:r>
        <w:rPr>
          <w:i w:val="false"/>
          <w:iCs w:val="false"/>
          <w:sz w:val="24"/>
          <w:szCs w:val="24"/>
        </w:rPr>
        <w:t>и</w:t>
      </w:r>
      <w:r>
        <w:rPr>
          <w:rFonts w:eastAsia="Calibri"/>
          <w:i w:val="false"/>
          <w:iCs w:val="false"/>
          <w:sz w:val="24"/>
          <w:szCs w:val="24"/>
          <w:lang w:val="x-none" w:eastAsia="x-none"/>
        </w:rPr>
        <w:t xml:space="preserve"> </w:t>
      </w:r>
      <w:r>
        <w:rPr>
          <w:rFonts w:eastAsia="Calibri"/>
          <w:i w:val="false"/>
          <w:iCs w:val="false"/>
          <w:sz w:val="24"/>
          <w:szCs w:val="24"/>
          <w:lang w:eastAsia="x-none"/>
        </w:rPr>
        <w:t>выполняемых услуг</w:t>
      </w:r>
      <w:r>
        <w:rPr>
          <w:rFonts w:eastAsia="Calibri"/>
          <w:i w:val="false"/>
          <w:iCs w:val="false"/>
          <w:sz w:val="24"/>
          <w:szCs w:val="24"/>
          <w:lang w:val="x-none" w:eastAsia="x-none"/>
        </w:rPr>
        <w:t xml:space="preserve"> </w:t>
      </w:r>
      <w:r>
        <w:rPr>
          <w:rFonts w:eastAsia="Calibri"/>
          <w:i w:val="false"/>
          <w:iCs w:val="false"/>
          <w:sz w:val="24"/>
          <w:szCs w:val="24"/>
          <w:lang w:eastAsia="x-none"/>
        </w:rPr>
        <w:t xml:space="preserve">по заявке заказчика </w:t>
      </w:r>
      <w:r>
        <w:rPr>
          <w:i w:val="false"/>
          <w:iCs w:val="false"/>
          <w:sz w:val="24"/>
          <w:szCs w:val="24"/>
        </w:rPr>
        <w:t>установлен в Проекте договора (Приложение № 2 к Документации о закупке)».</w:t>
      </w:r>
    </w:p>
    <w:p>
      <w:pPr>
        <w:pStyle w:val="Normal"/>
        <w:jc w:val="both"/>
        <w:rPr>
          <w:b/>
          <w:bCs/>
          <w:i w:val="false"/>
          <w:i w:val="false"/>
          <w:iCs w:val="false"/>
          <w:sz w:val="24"/>
          <w:szCs w:val="24"/>
          <w:lang w:eastAsia="x-none"/>
        </w:rPr>
      </w:pPr>
      <w:r>
        <w:rPr>
          <w:b/>
          <w:bCs/>
          <w:i w:val="false"/>
          <w:iCs w:val="false"/>
          <w:sz w:val="24"/>
          <w:szCs w:val="24"/>
          <w:lang w:eastAsia="x-none"/>
        </w:rPr>
      </w:r>
    </w:p>
    <w:p>
      <w:pPr>
        <w:pStyle w:val="Heading1"/>
        <w:keepLines/>
        <w:numPr>
          <w:ilvl w:val="0"/>
          <w:numId w:val="0"/>
        </w:numPr>
        <w:ind w:left="357" w:right="0" w:hanging="0"/>
        <w:rPr>
          <w:iCs/>
          <w:sz w:val="24"/>
          <w:szCs w:val="24"/>
        </w:rPr>
      </w:pPr>
      <w:r>
        <w:rPr>
          <w:iCs/>
          <w:sz w:val="24"/>
          <w:szCs w:val="24"/>
        </w:rPr>
      </w:r>
      <w:bookmarkStart w:id="38" w:name="_Ref40301253"/>
      <w:bookmarkStart w:id="39" w:name="_Ref40301253"/>
      <w:bookmarkEnd w:id="39"/>
    </w:p>
    <w:p>
      <w:pPr>
        <w:pStyle w:val="Normal"/>
        <w:keepNext w:val="true"/>
        <w:keepLines/>
        <w:spacing w:before="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widowControl/>
      <w:numPr>
        <w:ilvl w:val="2"/>
        <w:numId w:val="3"/>
      </w:numPr>
      <w:suppressAutoHyphens w:val="true"/>
      <w:bidi w:val="0"/>
      <w:spacing w:before="120" w:after="60"/>
      <w:ind w:left="0" w:right="0" w:hanging="0"/>
      <w:jc w:val="left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right="0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paragraph" w:styleId="Normal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ahoma" w:cs="Lohit Devanagari"/>
      <w:color w:val="auto"/>
      <w:kern w:val="0"/>
      <w:sz w:val="20"/>
      <w:szCs w:val="20"/>
      <w:lang w:val="ru-RU" w:eastAsia="zh-CN" w:bidi="hi-IN"/>
    </w:rPr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5D8BB-A1FF-4CD5-A115-408287A55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Application>AlterOffice/2025.3.0.0$Linux_X86_64 LibreOffice_project/4ba31b6a4271509a884f95065d0a726e9cb2bdbb</Application>
  <AppVersion>15.0000</AppVersion>
  <Pages>9</Pages>
  <Words>877</Words>
  <Characters>5934</Characters>
  <CharactersWithSpaces>6684</CharactersWithSpaces>
  <Paragraphs>141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atlasovatt@sed.local</cp:lastModifiedBy>
  <cp:lastPrinted>2006-07-26T14:04:00Z</cp:lastPrinted>
  <dcterms:modified xsi:type="dcterms:W3CDTF">2026-10-01T11:39:36Z</dcterms:modified>
  <cp:revision>59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