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jc w:val="center"/>
        <w:outlineLvl w:val="0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ТЕХНИЧЕСКИЕ ТРЕБОВАНИЯ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hanging="0" w:left="0"/>
        <w:jc w:val="center"/>
        <w:outlineLvl w:val="0"/>
        <w:rPr>
          <w:rFonts w:ascii="Times New Roman;Times;serif" w:hAnsi="Times New Roman;Times;serif" w:cs="Times New Roman"/>
          <w:color w:val="000000"/>
          <w:sz w:val="26"/>
          <w:szCs w:val="26"/>
        </w:rPr>
      </w:pPr>
      <w:r>
        <w:rPr>
          <w:rFonts w:cs="Times New Roman" w:ascii="Times New Roman;Times;serif" w:hAnsi="Times New Roman;Times;serif"/>
          <w:color w:val="000000"/>
          <w:sz w:val="26"/>
          <w:szCs w:val="26"/>
        </w:rPr>
        <w:t>ОКПД2: 28.14.13 Поставка кранов шаровых с комплектом ответных фланцев для выполнения работ на Новосибирской ГЭС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hanging="0" w:left="0"/>
        <w:jc w:val="center"/>
        <w:outlineLvl w:val="0"/>
        <w:rPr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  <w:t>(</w:t>
      </w:r>
      <w:r>
        <w:rPr>
          <w:rFonts w:cs="Times New Roman"/>
          <w:color w:val="000000"/>
          <w:sz w:val="26"/>
          <w:szCs w:val="26"/>
          <w:shd w:fill="auto" w:val="clear"/>
        </w:rPr>
        <w:t>Лот №</w:t>
      </w:r>
      <w:r>
        <w:rPr>
          <w:rFonts w:eastAsia="Geneva" w:cs="Times New Roman"/>
          <w:color w:val="000000"/>
          <w:sz w:val="26"/>
          <w:szCs w:val="26"/>
          <w:shd w:fill="auto" w:val="clear"/>
        </w:rPr>
        <w:t>)</w:t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hanging="0" w:left="0"/>
        <w:jc w:val="center"/>
        <w:outlineLvl w:val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hanging="0" w:left="0"/>
        <w:outlineLvl w:val="0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hanging="0" w:left="0"/>
        <w:jc w:val="center"/>
        <w:outlineLvl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keepNext w:val="true"/>
        <w:keepLines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p>
      <w:pPr>
        <w:pStyle w:val="Normal"/>
        <w:rPr>
          <w:szCs w:val="24"/>
        </w:rPr>
      </w:pPr>
      <w:r>
        <w:rPr>
          <w:b/>
          <w:bCs/>
          <w:szCs w:val="24"/>
        </w:rPr>
        <w:t>1. Общие сведения</w:t>
      </w:r>
      <w:r>
        <w:rPr>
          <w:szCs w:val="24"/>
        </w:rPr>
        <w:tab/>
        <w:t>………………………………………..............................….............</w:t>
        <w:tab/>
        <w:t>3</w:t>
      </w:r>
    </w:p>
    <w:p>
      <w:pPr>
        <w:pStyle w:val="Normal"/>
        <w:rPr/>
      </w:pPr>
      <w:r>
        <w:rPr>
          <w:szCs w:val="24"/>
        </w:rPr>
        <w:t>1.1 Наименование закупаемой продукции</w:t>
        <w:tab/>
        <w:t>…….…...………..………………………….</w:t>
        <w:tab/>
        <w:t>3</w:t>
      </w:r>
    </w:p>
    <w:p>
      <w:pPr>
        <w:pStyle w:val="Normal"/>
        <w:rPr/>
      </w:pPr>
      <w:r>
        <w:rPr>
          <w:szCs w:val="24"/>
        </w:rPr>
        <w:t>1.2. Цель использования закупаемой продукции</w:t>
        <w:tab/>
        <w:t>………………………………..…….</w:t>
        <w:tab/>
        <w:t>3</w:t>
      </w:r>
    </w:p>
    <w:p>
      <w:pPr>
        <w:pStyle w:val="Normal"/>
        <w:rPr/>
      </w:pPr>
      <w:r>
        <w:rPr>
          <w:b/>
          <w:bCs/>
          <w:szCs w:val="24"/>
        </w:rPr>
        <w:t>2. Требования к продукции</w:t>
      </w:r>
      <w:r>
        <w:rPr>
          <w:szCs w:val="24"/>
        </w:rPr>
        <w:tab/>
        <w:t>………………….…………………..………..……..</w:t>
        <w:tab/>
        <w:t>3</w:t>
      </w:r>
    </w:p>
    <w:p>
      <w:pPr>
        <w:pStyle w:val="Normal"/>
        <w:rPr/>
      </w:pPr>
      <w:r>
        <w:rPr>
          <w:szCs w:val="24"/>
        </w:rPr>
        <w:t>2.1. Требования к объемам и срокам поставки…………….…………………………....</w:t>
        <w:tab/>
        <w:t>3</w:t>
      </w:r>
    </w:p>
    <w:p>
      <w:pPr>
        <w:pStyle w:val="Normal"/>
        <w:rPr/>
      </w:pPr>
      <w:r>
        <w:rPr>
          <w:szCs w:val="24"/>
        </w:rPr>
        <w:t>2.1.1. Перечень и объем закупаемой продукции…………...………………………..….</w:t>
        <w:tab/>
        <w:t>3</w:t>
      </w:r>
    </w:p>
    <w:p>
      <w:pPr>
        <w:pStyle w:val="Normal"/>
        <w:rPr/>
      </w:pPr>
      <w:r>
        <w:rPr>
          <w:b/>
          <w:bCs/>
          <w:szCs w:val="24"/>
        </w:rPr>
        <w:t>Таблица 2.1. Перечень и объем закупаемой продукции</w:t>
      </w:r>
      <w:r>
        <w:rPr>
          <w:szCs w:val="24"/>
        </w:rPr>
        <w:t>…..……………………..….</w:t>
        <w:tab/>
        <w:t>3</w:t>
      </w:r>
    </w:p>
    <w:p>
      <w:pPr>
        <w:pStyle w:val="Normal"/>
        <w:rPr/>
      </w:pPr>
      <w:r>
        <w:rPr>
          <w:szCs w:val="24"/>
        </w:rPr>
        <w:t>2.1.2. Требования к срокам поставки продукции.…………………..………..………….</w:t>
        <w:tab/>
        <w:t>4</w:t>
      </w:r>
    </w:p>
    <w:p>
      <w:pPr>
        <w:pStyle w:val="Normal"/>
        <w:rPr/>
      </w:pPr>
      <w:r>
        <w:rPr>
          <w:b/>
          <w:bCs/>
          <w:szCs w:val="24"/>
        </w:rPr>
        <w:t>Таблица 2.2 Требования к качеству продукции</w:t>
      </w:r>
      <w:r>
        <w:rPr>
          <w:szCs w:val="24"/>
        </w:rPr>
        <w:t>………………………….……</w:t>
        <w:tab/>
        <w:t>4</w:t>
      </w:r>
    </w:p>
    <w:p>
      <w:pPr>
        <w:pStyle w:val="Normal"/>
        <w:rPr/>
      </w:pPr>
      <w:r>
        <w:rPr>
          <w:szCs w:val="24"/>
        </w:rPr>
        <w:t>2.2. Требования к качеству продукции</w:t>
        <w:tab/>
        <w:t>……...………………….………………...…</w:t>
        <w:tab/>
        <w:t>4</w:t>
      </w:r>
    </w:p>
    <w:p>
      <w:pPr>
        <w:pStyle w:val="Normal"/>
        <w:rPr/>
      </w:pPr>
      <w:r>
        <w:rPr>
          <w:b/>
          <w:bCs/>
          <w:szCs w:val="24"/>
        </w:rPr>
        <w:t>Таблица 2.3 Требования к продукции</w:t>
      </w:r>
      <w:r>
        <w:rPr>
          <w:szCs w:val="24"/>
        </w:rPr>
        <w:t>……………………...………………………....</w:t>
        <w:tab/>
        <w:t>5</w:t>
      </w:r>
    </w:p>
    <w:p>
      <w:pPr>
        <w:pStyle w:val="Normal"/>
        <w:rPr/>
      </w:pPr>
      <w:r>
        <w:rPr>
          <w:b/>
          <w:bCs/>
          <w:szCs w:val="24"/>
        </w:rPr>
        <w:t>3. Требования к документации по ценообразованию</w:t>
      </w:r>
      <w:r>
        <w:rPr>
          <w:b/>
          <w:bCs/>
        </w:rPr>
        <w:t xml:space="preserve"> </w:t>
      </w:r>
      <w:r>
        <w:rPr>
          <w:b/>
          <w:bCs/>
          <w:szCs w:val="24"/>
        </w:rPr>
        <w:t>на этапе закупки</w:t>
      </w:r>
      <w:r>
        <w:rPr>
          <w:szCs w:val="24"/>
        </w:rPr>
        <w:tab/>
        <w:t>..….....</w:t>
        <w:tab/>
        <w:t>7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</w:r>
    </w:p>
    <w:p>
      <w:pPr>
        <w:pStyle w:val="Normal"/>
        <w:keepNext w:val="true"/>
        <w:keepLines/>
        <w:jc w:val="both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  <w:r>
        <w:br w:type="page"/>
      </w:r>
    </w:p>
    <w:p>
      <w:pPr>
        <w:pStyle w:val="Heading4"/>
        <w:numPr>
          <w:ilvl w:val="0"/>
          <w:numId w:val="6"/>
        </w:numPr>
        <w:tabs>
          <w:tab w:val="clear" w:pos="709"/>
          <w:tab w:val="left" w:pos="0" w:leader="none"/>
        </w:tabs>
        <w:ind w:hanging="360" w:left="426"/>
        <w:jc w:val="center"/>
        <w:rPr>
          <w:color w:val="000000"/>
        </w:rPr>
      </w:pPr>
      <w:r>
        <w:rPr>
          <w:color w:val="000000"/>
        </w:rPr>
        <w:t>Общие сведения</w:t>
      </w:r>
    </w:p>
    <w:p>
      <w:pPr>
        <w:pStyle w:val="Normal"/>
        <w:tabs>
          <w:tab w:val="clear" w:pos="720"/>
          <w:tab w:val="left" w:pos="0" w:leader="none"/>
        </w:tabs>
        <w:ind w:hanging="360" w:left="426"/>
        <w:jc w:val="center"/>
        <w:rPr>
          <w:color w:val="000000"/>
        </w:rPr>
      </w:pPr>
      <w:r>
        <w:rPr>
          <w:color w:val="000000"/>
        </w:rPr>
      </w:r>
    </w:p>
    <w:p>
      <w:pPr>
        <w:pStyle w:val="Heading4"/>
        <w:numPr>
          <w:ilvl w:val="1"/>
          <w:numId w:val="7"/>
        </w:numPr>
        <w:ind w:firstLine="709" w:left="0"/>
        <w:rPr>
          <w:color w:val="000000"/>
        </w:rPr>
      </w:pPr>
      <w:bookmarkStart w:id="0" w:name="_Toc46743506"/>
      <w:bookmarkStart w:id="1" w:name="_Toc75446568"/>
      <w:bookmarkStart w:id="2" w:name="_Toc75446569"/>
      <w:bookmarkEnd w:id="2"/>
      <w:r>
        <w:rPr>
          <w:color w:val="000000"/>
        </w:rPr>
        <w:t>Наименование закупаемой продукции</w:t>
      </w:r>
      <w:bookmarkEnd w:id="0"/>
      <w:bookmarkEnd w:id="1"/>
    </w:p>
    <w:p>
      <w:pPr>
        <w:pStyle w:val="Normal"/>
        <w:ind w:firstLine="419"/>
        <w:rPr>
          <w:rFonts w:cs="Times New Roman"/>
          <w:color w:val="000000"/>
        </w:rPr>
      </w:pPr>
      <w:r>
        <w:rPr>
          <w:rFonts w:cs="Times New Roman" w:ascii="Times New Roman;Times;serif" w:hAnsi="Times New Roman;Times;serif"/>
          <w:color w:val="000000"/>
          <w:sz w:val="24"/>
          <w:szCs w:val="24"/>
          <w:shd w:fill="auto" w:val="clear"/>
          <w:lang w:val="en-US"/>
        </w:rPr>
        <w:t>ОКПД2: 28.14.13</w:t>
      </w:r>
      <w:r>
        <w:rPr>
          <w:rFonts w:cs="Times New Roman" w:ascii="Times New Roman;Times;serif" w:hAnsi="Times New Roman;Times;serif"/>
          <w:color w:val="000000"/>
          <w:sz w:val="24"/>
          <w:szCs w:val="24"/>
          <w:lang w:val="en-US"/>
        </w:rPr>
        <w:t xml:space="preserve"> Поставка кранов шаровых с комплектом ответных фланцев для выполнения работ на Новосибирской ГЭС</w:t>
      </w:r>
      <w:r>
        <w:rPr>
          <w:rFonts w:cs="Times New Roman"/>
          <w:color w:val="000000"/>
          <w:szCs w:val="24"/>
        </w:rPr>
        <w:t xml:space="preserve"> (далее – продукция).</w:t>
      </w:r>
    </w:p>
    <w:p>
      <w:pPr>
        <w:pStyle w:val="Normal"/>
        <w:ind w:firstLine="419"/>
        <w:rPr>
          <w:rFonts w:cs="Times New Roman"/>
          <w:color w:val="000000"/>
        </w:rPr>
      </w:pPr>
      <w:r>
        <w:rPr>
          <w:rFonts w:cs="Times New Roman"/>
          <w:color w:val="000000"/>
        </w:rPr>
      </w:r>
    </w:p>
    <w:p>
      <w:pPr>
        <w:pStyle w:val="Heading4"/>
        <w:numPr>
          <w:ilvl w:val="1"/>
          <w:numId w:val="7"/>
        </w:numPr>
        <w:ind w:firstLine="709" w:left="0"/>
        <w:rPr>
          <w:color w:val="000000"/>
        </w:rPr>
      </w:pPr>
      <w:bookmarkStart w:id="3" w:name="_Toc46743507"/>
      <w:bookmarkStart w:id="4" w:name="_Toc75446569_Копия_1"/>
      <w:bookmarkEnd w:id="4"/>
      <w:r>
        <w:rPr>
          <w:color w:val="000000"/>
        </w:rPr>
        <w:t xml:space="preserve">Цель </w:t>
      </w:r>
      <w:bookmarkEnd w:id="3"/>
      <w:r>
        <w:rPr>
          <w:color w:val="000000"/>
        </w:rPr>
        <w:t xml:space="preserve">использования закупаемой продукции </w:t>
      </w:r>
    </w:p>
    <w:p>
      <w:pPr>
        <w:pStyle w:val="Heading4"/>
        <w:jc w:val="both"/>
        <w:rPr/>
      </w:pPr>
      <w:r>
        <w:rPr>
          <w:rStyle w:val="Style"/>
          <w:b w:val="false"/>
          <w:bCs w:val="false"/>
          <w:i w:val="false"/>
          <w:color w:val="000000"/>
          <w:shd w:fill="FFFFFF" w:val="clear"/>
        </w:rPr>
        <w:t xml:space="preserve">Исполнение </w:t>
      </w:r>
      <w:r>
        <w:rPr>
          <w:rStyle w:val="Style"/>
          <w:b w:val="false"/>
          <w:bCs w:val="false"/>
          <w:i w:val="false"/>
          <w:color w:val="000000"/>
          <w:shd w:fill="FFFFFF" w:val="clear"/>
          <w:lang w:val="ru-RU"/>
        </w:rPr>
        <w:t xml:space="preserve">обязательств по </w:t>
      </w:r>
      <w:r>
        <w:rPr>
          <w:rStyle w:val="Style"/>
          <w:b w:val="false"/>
          <w:bCs w:val="false"/>
          <w:i w:val="false"/>
          <w:color w:val="000000"/>
          <w:shd w:fill="FFFFFF" w:val="clear"/>
        </w:rPr>
        <w:t>договор</w:t>
      </w:r>
      <w:r>
        <w:rPr>
          <w:rStyle w:val="Style"/>
          <w:b w:val="false"/>
          <w:bCs w:val="false"/>
          <w:i w:val="false"/>
          <w:color w:val="000000"/>
          <w:shd w:fill="FFFFFF" w:val="clear"/>
          <w:lang w:val="ru-RU"/>
        </w:rPr>
        <w:t>у №4-РЕМ-2023 от 11.10.2023 «Капитальный и текущий ремонт основного и вспомогательного оборудования, зданий и сооружений Филиала ПАО «РусГидро»-«Новосибирская ГЭС».</w:t>
      </w:r>
    </w:p>
    <w:p>
      <w:pPr>
        <w:pStyle w:val="Normal"/>
        <w:ind w:firstLine="454"/>
        <w:rPr>
          <w:color w:val="000000"/>
        </w:rPr>
      </w:pPr>
      <w:r>
        <w:rPr>
          <w:color w:val="000000"/>
        </w:rPr>
      </w:r>
    </w:p>
    <w:p>
      <w:pPr>
        <w:pStyle w:val="Heading1"/>
        <w:numPr>
          <w:ilvl w:val="0"/>
          <w:numId w:val="6"/>
        </w:numPr>
        <w:tabs>
          <w:tab w:val="clear" w:pos="0"/>
          <w:tab w:val="clear" w:pos="709"/>
        </w:tabs>
        <w:ind w:hanging="360" w:left="426"/>
        <w:jc w:val="center"/>
        <w:rPr>
          <w:caps/>
          <w:color w:val="000000"/>
          <w:sz w:val="24"/>
          <w:lang w:val="ru-RU"/>
        </w:rPr>
      </w:pPr>
      <w:bookmarkStart w:id="5" w:name="_Toc51339693"/>
      <w:bookmarkStart w:id="6" w:name="_Toc75446573"/>
      <w:r>
        <w:rPr>
          <w:color w:val="000000"/>
          <w:sz w:val="24"/>
        </w:rPr>
        <w:t>Требования к продукции</w:t>
      </w:r>
      <w:bookmarkEnd w:id="5"/>
      <w:bookmarkEnd w:id="6"/>
    </w:p>
    <w:p>
      <w:pPr>
        <w:pStyle w:val="Normal"/>
        <w:rPr>
          <w:rFonts w:cs="Times New Roman"/>
          <w:color w:val="000000"/>
          <w:lang w:eastAsia="x-none"/>
        </w:rPr>
      </w:pPr>
      <w:r>
        <w:rPr>
          <w:rFonts w:cs="Times New Roman"/>
          <w:color w:val="000000"/>
          <w:lang w:eastAsia="x-none"/>
        </w:rPr>
      </w:r>
    </w:p>
    <w:p>
      <w:pPr>
        <w:pStyle w:val="Heading4"/>
        <w:numPr>
          <w:ilvl w:val="1"/>
          <w:numId w:val="6"/>
        </w:numPr>
        <w:tabs>
          <w:tab w:val="clear" w:pos="0"/>
          <w:tab w:val="left" w:pos="709" w:leader="none"/>
        </w:tabs>
        <w:ind w:hanging="360" w:left="1134"/>
        <w:rPr>
          <w:color w:val="000000"/>
        </w:rPr>
      </w:pPr>
      <w:bookmarkStart w:id="7" w:name="_Toc75446574"/>
      <w:r>
        <w:rPr>
          <w:color w:val="000000"/>
        </w:rPr>
        <w:t xml:space="preserve">Требования к объемам и срокам </w:t>
      </w:r>
      <w:r>
        <w:rPr>
          <w:color w:val="000000"/>
          <w:lang w:val="ru-RU"/>
        </w:rPr>
        <w:t>поставки</w:t>
      </w:r>
      <w:bookmarkEnd w:id="7"/>
    </w:p>
    <w:p>
      <w:pPr>
        <w:pStyle w:val="Heading3"/>
        <w:numPr>
          <w:ilvl w:val="2"/>
          <w:numId w:val="6"/>
        </w:numPr>
        <w:tabs>
          <w:tab w:val="clear" w:pos="0"/>
          <w:tab w:val="left" w:pos="709" w:leader="none"/>
        </w:tabs>
        <w:ind w:firstLine="709" w:left="0"/>
        <w:rPr>
          <w:color w:val="000000"/>
        </w:rPr>
      </w:pPr>
      <w:bookmarkStart w:id="8" w:name="_Toc75446575"/>
      <w:r>
        <w:rPr>
          <w:color w:val="000000"/>
        </w:rPr>
        <w:t>Перечень и объем закупаемой продукции</w:t>
      </w:r>
      <w:bookmarkEnd w:id="8"/>
    </w:p>
    <w:p>
      <w:pPr>
        <w:pStyle w:val="Normal"/>
        <w:rPr>
          <w:rFonts w:cs="Times New Roman"/>
          <w:color w:val="000000"/>
          <w:lang w:val="x-none" w:eastAsia="x-none"/>
        </w:rPr>
      </w:pPr>
      <w:r>
        <w:rPr>
          <w:rFonts w:cs="Times New Roman"/>
          <w:color w:val="000000"/>
          <w:lang w:val="x-none" w:eastAsia="x-none"/>
        </w:rPr>
      </w:r>
    </w:p>
    <w:p>
      <w:pPr>
        <w:pStyle w:val="Normal"/>
        <w:jc w:val="both"/>
        <w:rPr>
          <w:rFonts w:cs="Times New Roman"/>
          <w:color w:val="000000"/>
          <w:szCs w:val="24"/>
        </w:rPr>
      </w:pPr>
      <w:bookmarkStart w:id="9" w:name="_Toc75446576"/>
      <w:bookmarkStart w:id="10" w:name="_Toc51339695"/>
      <w:r>
        <w:rPr>
          <w:rFonts w:cs="Times New Roman"/>
          <w:color w:val="000000"/>
          <w:szCs w:val="24"/>
        </w:rPr>
        <w:t xml:space="preserve">Таблица 1. Перечень </w:t>
      </w:r>
      <w:bookmarkEnd w:id="10"/>
      <w:r>
        <w:rPr>
          <w:rFonts w:cs="Times New Roman"/>
          <w:color w:val="000000"/>
          <w:szCs w:val="24"/>
        </w:rPr>
        <w:t>и объем закупаемой продукци</w:t>
      </w:r>
      <w:bookmarkEnd w:id="9"/>
      <w:r>
        <w:rPr>
          <w:rFonts w:cs="Times New Roman"/>
          <w:color w:val="000000"/>
          <w:szCs w:val="24"/>
        </w:rPr>
        <w:t>и</w:t>
      </w:r>
    </w:p>
    <w:tbl>
      <w:tblPr>
        <w:tblW w:w="958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21"/>
        <w:gridCol w:w="6299"/>
        <w:gridCol w:w="1276"/>
        <w:gridCol w:w="1390"/>
      </w:tblGrid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п/п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Наименование продукции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Единица измерения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Количество</w:t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1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3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4</w:t>
            </w:r>
          </w:p>
        </w:tc>
      </w:tr>
      <w:tr>
        <w:trPr>
          <w:trHeight w:val="20" w:hRule="atLeast"/>
        </w:trPr>
        <w:tc>
          <w:tcPr>
            <w:tcW w:w="958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Поставка на Нов</w:t>
            </w:r>
            <w:r>
              <w:rPr>
                <w:b/>
                <w:bCs/>
                <w:sz w:val="22"/>
                <w:lang w:val="en-US"/>
              </w:rPr>
              <w:t xml:space="preserve">осибирскую </w:t>
            </w:r>
            <w:r>
              <w:rPr>
                <w:b/>
                <w:bCs/>
                <w:sz w:val="22"/>
              </w:rPr>
              <w:t>ГЭС</w:t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68" w:leader="none"/>
              </w:tabs>
              <w:ind w:firstLine="6" w:left="0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6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overflowPunct w:val="true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Cs w:val="20"/>
              </w:rPr>
              <w:t>Кран шаровой фланцевый цельносварной, полнопроходной, с рукояткой, из стали 09Г2С, 11с67п ЦФ (каталожное обозначение: 11с67п ЦФ.01.1), DN40, РN16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overflowPunct w:val="true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Cs w:val="20"/>
              </w:rPr>
              <w:t>шт.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Cs w:val="20"/>
              </w:rPr>
              <w:t>6</w:t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68" w:leader="none"/>
              </w:tabs>
              <w:ind w:firstLine="6" w:left="0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6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Cs w:val="20"/>
              </w:rPr>
              <w:t>Комплект ответных фланцев, DN40, PN16, исп. В, ГОСТ 33259-15 тип 01 (09Г2С) (с крепежом и уплотнениями)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Cs w:val="20"/>
              </w:rPr>
              <w:t>компл.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Cs w:val="20"/>
              </w:rPr>
              <w:t>6</w:t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68" w:leader="none"/>
              </w:tabs>
              <w:ind w:firstLine="6" w:left="0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6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Cs w:val="20"/>
              </w:rPr>
              <w:t>Кран шаровой цельносварной фланцевый 11с67п 8ЦФ.01.1, DN80, PN80 (09Г2С)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Cs w:val="20"/>
              </w:rPr>
              <w:t>шт.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Cs w:val="20"/>
              </w:rPr>
              <w:t>1</w:t>
            </w:r>
          </w:p>
        </w:tc>
      </w:tr>
      <w:tr>
        <w:trPr>
          <w:trHeight w:val="20" w:hRule="atLeast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68" w:leader="none"/>
              </w:tabs>
              <w:ind w:hanging="0" w:left="0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6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Cs w:val="20"/>
              </w:rPr>
              <w:t>Комплект ответных фланцев, DN80 PN100 исп. J, ГОСТ 33259-15 тип 11 (09Г2С), с крепежом и уплотнениями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Cs w:val="20"/>
              </w:rPr>
              <w:t>компл.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Cs w:val="20"/>
              </w:rPr>
              <w:t>1</w:t>
            </w:r>
          </w:p>
        </w:tc>
      </w:tr>
    </w:tbl>
    <w:p>
      <w:pPr>
        <w:pStyle w:val="Normal"/>
        <w:rPr>
          <w:rFonts w:cs="Times New Roman"/>
          <w:color w:val="000000"/>
        </w:rPr>
      </w:pPr>
      <w:r>
        <w:rPr>
          <w:rFonts w:cs="Times New Roman"/>
          <w:color w:val="000000"/>
        </w:rPr>
      </w:r>
    </w:p>
    <w:p>
      <w:pPr>
        <w:pStyle w:val="Heading3"/>
        <w:numPr>
          <w:ilvl w:val="2"/>
          <w:numId w:val="6"/>
        </w:numPr>
        <w:tabs>
          <w:tab w:val="clear" w:pos="0"/>
          <w:tab w:val="left" w:pos="709" w:leader="none"/>
        </w:tabs>
        <w:ind w:firstLine="709" w:left="0"/>
        <w:rPr>
          <w:color w:val="000000"/>
        </w:rPr>
      </w:pPr>
      <w:bookmarkStart w:id="11" w:name="_Toc75446578"/>
      <w:bookmarkStart w:id="12" w:name="_Toc51339696"/>
      <w:r>
        <w:rPr>
          <w:color w:val="000000"/>
        </w:rPr>
        <w:t xml:space="preserve">Требования </w:t>
      </w:r>
      <w:bookmarkEnd w:id="12"/>
      <w:r>
        <w:rPr>
          <w:color w:val="000000"/>
        </w:rPr>
        <w:t xml:space="preserve">к срокам поставки продукции </w:t>
      </w:r>
      <w:bookmarkEnd w:id="11"/>
    </w:p>
    <w:p>
      <w:pPr>
        <w:pStyle w:val="Normal"/>
        <w:rPr>
          <w:rFonts w:cs="Times New Roman"/>
          <w:color w:val="000000"/>
          <w:lang w:val="x-none" w:eastAsia="x-none"/>
        </w:rPr>
      </w:pPr>
      <w:r>
        <w:rPr>
          <w:rFonts w:cs="Times New Roman"/>
          <w:color w:val="000000"/>
          <w:lang w:val="x-none" w:eastAsia="x-none"/>
        </w:rPr>
      </w:r>
    </w:p>
    <w:p>
      <w:pPr>
        <w:pStyle w:val="Normal"/>
        <w:rPr>
          <w:rFonts w:cs="Times New Roman"/>
          <w:color w:val="000000"/>
          <w:szCs w:val="24"/>
          <w:lang w:eastAsia="x-none"/>
        </w:rPr>
      </w:pPr>
      <w:bookmarkStart w:id="13" w:name="_Toc75446579"/>
      <w:bookmarkStart w:id="14" w:name="_Toc51339697"/>
      <w:bookmarkStart w:id="15" w:name="_Toc50125127"/>
      <w:r>
        <w:rPr>
          <w:rFonts w:cs="Times New Roman"/>
          <w:color w:val="000000"/>
          <w:szCs w:val="24"/>
          <w:lang w:eastAsia="x-none"/>
        </w:rPr>
        <w:t xml:space="preserve">Таблица 2. </w:t>
      </w:r>
      <w:bookmarkStart w:id="16" w:name="_Hlk50465284"/>
      <w:r>
        <w:rPr>
          <w:rFonts w:cs="Times New Roman"/>
          <w:color w:val="000000"/>
          <w:szCs w:val="24"/>
          <w:lang w:eastAsia="x-none"/>
        </w:rPr>
        <w:t xml:space="preserve">Требования по срокам </w:t>
      </w:r>
      <w:bookmarkEnd w:id="14"/>
      <w:bookmarkEnd w:id="15"/>
      <w:bookmarkEnd w:id="16"/>
      <w:r>
        <w:rPr>
          <w:rFonts w:cs="Times New Roman"/>
          <w:color w:val="000000"/>
          <w:szCs w:val="24"/>
          <w:lang w:eastAsia="x-none"/>
        </w:rPr>
        <w:t>поставки продукции</w:t>
      </w:r>
      <w:bookmarkEnd w:id="13"/>
      <w:r>
        <w:rPr>
          <w:rFonts w:cs="Times New Roman"/>
          <w:color w:val="000000"/>
          <w:szCs w:val="24"/>
          <w:lang w:eastAsia="x-none"/>
        </w:rPr>
        <w:t xml:space="preserve"> </w:t>
      </w:r>
    </w:p>
    <w:tbl>
      <w:tblPr>
        <w:tblW w:w="964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2"/>
        <w:gridCol w:w="5108"/>
        <w:gridCol w:w="1856"/>
        <w:gridCol w:w="1838"/>
      </w:tblGrid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№ </w:t>
            </w:r>
            <w:r>
              <w:rPr>
                <w:rFonts w:cs="Times New Roman"/>
                <w:color w:val="000000"/>
                <w:szCs w:val="24"/>
              </w:rPr>
              <w:t>п/п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Наименование продукции / партии продукции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1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2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3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4</w:t>
            </w:r>
          </w:p>
        </w:tc>
      </w:tr>
      <w:tr>
        <w:trPr/>
        <w:tc>
          <w:tcPr>
            <w:tcW w:w="96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bCs/>
                <w:sz w:val="22"/>
              </w:rPr>
              <w:t>Поставка на Нов</w:t>
            </w:r>
            <w:r>
              <w:rPr>
                <w:b/>
                <w:bCs/>
                <w:sz w:val="22"/>
                <w:lang w:val="en-US"/>
              </w:rPr>
              <w:t xml:space="preserve">осибирскую </w:t>
            </w:r>
            <w:r>
              <w:rPr>
                <w:b/>
                <w:bCs/>
                <w:sz w:val="22"/>
              </w:rPr>
              <w:t>ГЭС</w:t>
            </w:r>
          </w:p>
        </w:tc>
      </w:tr>
      <w:tr>
        <w:trPr>
          <w:trHeight w:val="257" w:hRule="atLeast"/>
        </w:trPr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right="170"/>
              <w:jc w:val="center"/>
              <w:rPr/>
            </w:pPr>
            <w:r>
              <w:rPr>
                <w:color w:val="000000"/>
              </w:rPr>
              <w:t>1.</w:t>
            </w:r>
          </w:p>
        </w:tc>
        <w:tc>
          <w:tcPr>
            <w:tcW w:w="5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720"/>
                <w:tab w:val="left" w:pos="900" w:leader="none"/>
              </w:tabs>
              <w:spacing w:lineRule="auto" w:line="276"/>
              <w:ind w:hanging="0" w:left="0"/>
              <w:jc w:val="left"/>
              <w:textAlignment w:val="center"/>
              <w:outlineLvl w:val="0"/>
              <w:rPr>
                <w:sz w:val="24"/>
                <w:szCs w:val="24"/>
              </w:rPr>
            </w:pPr>
            <w:r>
              <w:rPr>
                <w:rFonts w:cs="Times New Roman" w:ascii="Times New Roman;Times;serif" w:hAnsi="Times New Roman;Times;serif"/>
                <w:color w:val="000000"/>
                <w:sz w:val="24"/>
                <w:szCs w:val="24"/>
                <w:shd w:fill="auto" w:val="clear"/>
                <w:lang w:val="en-US"/>
              </w:rPr>
              <w:t>ОКПД2: 28.14.13</w:t>
            </w:r>
            <w:r>
              <w:rPr>
                <w:rFonts w:cs="Times New Roman" w:ascii="Times New Roman;Times;serif" w:hAnsi="Times New Roman;Times;serif"/>
                <w:color w:val="000000"/>
                <w:sz w:val="24"/>
                <w:szCs w:val="24"/>
                <w:lang w:val="en-US"/>
              </w:rPr>
              <w:t xml:space="preserve"> Поставка кранов шаровых с комплектом ответных фланцев для выполнения работ на Новосибирской ГЭС</w:t>
            </w:r>
          </w:p>
        </w:tc>
        <w:tc>
          <w:tcPr>
            <w:tcW w:w="1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С даты подписания договора</w:t>
            </w:r>
          </w:p>
        </w:tc>
        <w:tc>
          <w:tcPr>
            <w:tcW w:w="1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textAlignment w:val="center"/>
              <w:rPr/>
            </w:pPr>
            <w:r>
              <w:rPr>
                <w:rFonts w:cs="Times New Roman"/>
                <w:color w:val="000000"/>
                <w:szCs w:val="24"/>
              </w:rPr>
              <w:t>Определить по результатам анализа рынка</w:t>
            </w:r>
          </w:p>
        </w:tc>
      </w:tr>
    </w:tbl>
    <w:p>
      <w:pPr>
        <w:pStyle w:val="Heading4"/>
        <w:ind w:hanging="0" w:left="680"/>
        <w:rPr>
          <w:color w:val="000000"/>
        </w:rPr>
      </w:pPr>
      <w:r>
        <w:rPr>
          <w:color w:val="000000"/>
        </w:rPr>
      </w:r>
    </w:p>
    <w:p>
      <w:pPr>
        <w:pStyle w:val="ListParagraph"/>
        <w:numPr>
          <w:ilvl w:val="1"/>
          <w:numId w:val="6"/>
        </w:numPr>
        <w:rPr>
          <w:b/>
          <w:color w:val="000000"/>
          <w:lang w:eastAsia="x-none"/>
        </w:rPr>
      </w:pPr>
      <w:r>
        <w:rPr>
          <w:b/>
          <w:color w:val="000000"/>
          <w:lang w:eastAsia="x-none"/>
        </w:rPr>
        <w:t xml:space="preserve">Требования к качеству продукции </w:t>
      </w:r>
    </w:p>
    <w:p>
      <w:pPr>
        <w:sectPr>
          <w:footerReference w:type="default" r:id="rId2"/>
          <w:type w:val="nextPage"/>
          <w:pgSz w:w="11906" w:h="16838"/>
          <w:pgMar w:left="1701" w:right="851" w:gutter="0" w:header="0" w:top="993" w:footer="709" w:bottom="1134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ind w:firstLine="432"/>
        <w:jc w:val="both"/>
        <w:rPr>
          <w:bCs/>
          <w:i/>
          <w:i/>
          <w:szCs w:val="24"/>
          <w:lang w:eastAsia="x-none"/>
        </w:rPr>
      </w:pPr>
      <w:r>
        <w:rPr>
          <w:bCs/>
          <w:i/>
          <w:szCs w:val="24"/>
          <w:lang w:eastAsia="x-none"/>
        </w:rPr>
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</w:r>
    </w:p>
    <w:p>
      <w:pPr>
        <w:pStyle w:val="Normal"/>
        <w:rPr>
          <w:rFonts w:cs="Times New Roman"/>
          <w:color w:val="000000"/>
          <w:szCs w:val="24"/>
          <w:lang w:eastAsia="x-none"/>
        </w:rPr>
      </w:pPr>
      <w:bookmarkStart w:id="17" w:name="_Toc75446582"/>
      <w:r>
        <w:rPr>
          <w:rFonts w:cs="Times New Roman"/>
          <w:color w:val="000000"/>
          <w:szCs w:val="24"/>
          <w:lang w:eastAsia="x-none"/>
        </w:rPr>
        <w:t>Таблица 3. Требования к продукции</w:t>
      </w:r>
      <w:bookmarkEnd w:id="17"/>
    </w:p>
    <w:tbl>
      <w:tblPr>
        <w:tblW w:w="1502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57"/>
        <w:gridCol w:w="2620"/>
        <w:gridCol w:w="2365"/>
        <w:gridCol w:w="2999"/>
        <w:gridCol w:w="6083"/>
      </w:tblGrid>
      <w:tr>
        <w:trPr>
          <w:trHeight w:val="424" w:hRule="atLeast"/>
        </w:trPr>
        <w:tc>
          <w:tcPr>
            <w:tcW w:w="150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extAlignment w:val="baseline"/>
              <w:rPr/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</w:rPr>
              <w:t>Наименование продукции (позиция № 1.1-1.2 (Таблицы 1): ОКПД2: 28.14.13 Поставка кранов шаровых с комплектом ответных фланцев для выполнения работ на Новосибирской ГЭС</w:t>
            </w:r>
          </w:p>
        </w:tc>
      </w:tr>
      <w:tr>
        <w:trPr>
          <w:trHeight w:val="544" w:hRule="atLeast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r>
              <w:rPr>
                <w:b/>
                <w:bCs/>
              </w:rPr>
              <w:t>п/п</w:t>
            </w:r>
          </w:p>
        </w:tc>
        <w:tc>
          <w:tcPr>
            <w:tcW w:w="4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продукции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параметра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Требование заказчика</w:t>
            </w:r>
          </w:p>
        </w:tc>
      </w:tr>
      <w:tr>
        <w:trPr>
          <w:trHeight w:val="273" w:hRule="atLeast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4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</w:p>
        </w:tc>
      </w:tr>
      <w:tr>
        <w:trPr>
          <w:trHeight w:val="267" w:hRule="atLeast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4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358" w:hRule="atLeast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4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Поставка на Нов</w:t>
            </w:r>
            <w:r>
              <w:rPr>
                <w:b/>
                <w:bCs/>
                <w:lang w:val="en-US"/>
              </w:rPr>
              <w:t xml:space="preserve">осибирскую </w:t>
            </w:r>
            <w:r>
              <w:rPr>
                <w:b/>
                <w:bCs/>
              </w:rPr>
              <w:t>ГЭС</w:t>
            </w:r>
          </w:p>
        </w:tc>
      </w:tr>
      <w:tr>
        <w:trPr>
          <w:trHeight w:val="145" w:hRule="atLeast"/>
        </w:trPr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1.1</w:t>
            </w:r>
          </w:p>
        </w:tc>
        <w:tc>
          <w:tcPr>
            <w:tcW w:w="49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overflowPunct w:val="true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Cs w:val="20"/>
              </w:rPr>
              <w:t>Кран шаровой цельносварной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Серия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Cs w:val="20"/>
              </w:rPr>
              <w:t>11с67п ЦФ.01.1</w:t>
            </w:r>
          </w:p>
        </w:tc>
      </w:tr>
      <w:tr>
        <w:trPr>
          <w:trHeight w:val="143" w:hRule="atLeast"/>
        </w:trPr>
        <w:tc>
          <w:tcPr>
            <w:tcW w:w="95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85" w:type="dxa"/>
            <w:gridSpan w:val="2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overflowPunct w:val="true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Тип присоединения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Cs w:val="20"/>
                <w:lang w:val="en-US"/>
              </w:rPr>
              <w:t>Ф</w:t>
            </w:r>
            <w:r>
              <w:rPr>
                <w:color w:val="000000"/>
                <w:szCs w:val="20"/>
              </w:rPr>
              <w:t>ланцевый</w:t>
            </w:r>
          </w:p>
        </w:tc>
      </w:tr>
      <w:tr>
        <w:trPr>
          <w:trHeight w:val="143" w:hRule="atLeast"/>
        </w:trPr>
        <w:tc>
          <w:tcPr>
            <w:tcW w:w="95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overflowPunct w:val="true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Тип управления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Ручка (Рычаг)</w:t>
            </w:r>
          </w:p>
        </w:tc>
      </w:tr>
      <w:tr>
        <w:trPr>
          <w:trHeight w:val="143" w:hRule="atLeast"/>
        </w:trPr>
        <w:tc>
          <w:tcPr>
            <w:tcW w:w="95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overflowPunct w:val="true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Тип прохода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Cs w:val="20"/>
              </w:rPr>
              <w:t>Полнопроходной</w:t>
            </w:r>
          </w:p>
        </w:tc>
      </w:tr>
      <w:tr>
        <w:trPr>
          <w:trHeight w:val="143" w:hRule="atLeast"/>
        </w:trPr>
        <w:tc>
          <w:tcPr>
            <w:tcW w:w="95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overflowPunct w:val="true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Cs/>
                <w:lang w:val="en-US"/>
              </w:rPr>
              <w:t>Материал корпуса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Сталь 09Г2С</w:t>
            </w:r>
          </w:p>
        </w:tc>
      </w:tr>
      <w:tr>
        <w:trPr>
          <w:trHeight w:val="143" w:hRule="atLeast"/>
        </w:trPr>
        <w:tc>
          <w:tcPr>
            <w:tcW w:w="95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overflowPunct w:val="true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Номинальный диаметр (DN)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40 мм</w:t>
            </w:r>
          </w:p>
        </w:tc>
      </w:tr>
      <w:tr>
        <w:trPr>
          <w:trHeight w:val="143" w:hRule="atLeast"/>
        </w:trPr>
        <w:tc>
          <w:tcPr>
            <w:tcW w:w="95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overflowPunct w:val="true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Номинальное давление (PN)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16 бар</w:t>
            </w:r>
          </w:p>
        </w:tc>
      </w:tr>
      <w:tr>
        <w:trPr>
          <w:trHeight w:val="143" w:hRule="atLeast"/>
        </w:trPr>
        <w:tc>
          <w:tcPr>
            <w:tcW w:w="95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overflowPunct w:val="true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Температура рабочей среды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от -60°С до +200°С</w:t>
            </w:r>
          </w:p>
        </w:tc>
      </w:tr>
      <w:tr>
        <w:trPr>
          <w:trHeight w:val="143" w:hRule="atLeast"/>
        </w:trPr>
        <w:tc>
          <w:tcPr>
            <w:tcW w:w="95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overflowPunct w:val="true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Класс герметичности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класс А по ГОСТ 9544</w:t>
            </w:r>
          </w:p>
        </w:tc>
      </w:tr>
      <w:tr>
        <w:trPr>
          <w:trHeight w:val="143" w:hRule="atLeast"/>
        </w:trPr>
        <w:tc>
          <w:tcPr>
            <w:tcW w:w="9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85" w:type="dxa"/>
            <w:gridSpan w:val="2"/>
            <w:vMerge w:val="continue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overflowPunct w:val="true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Климатическое исполнение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ХЛ1 по ГОСТ 15150 (не ниже -60°С)</w:t>
            </w:r>
          </w:p>
        </w:tc>
      </w:tr>
      <w:tr>
        <w:trPr>
          <w:trHeight w:val="89" w:hRule="atLeast"/>
        </w:trPr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1.2</w:t>
            </w:r>
          </w:p>
        </w:tc>
        <w:tc>
          <w:tcPr>
            <w:tcW w:w="4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Cs w:val="20"/>
              </w:rPr>
              <w:t>Комплект ответных фланцев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Номинальный диаметр (DN)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40 мм</w:t>
            </w:r>
          </w:p>
        </w:tc>
      </w:tr>
      <w:tr>
        <w:trPr>
          <w:trHeight w:val="85" w:hRule="atLeast"/>
        </w:trPr>
        <w:tc>
          <w:tcPr>
            <w:tcW w:w="9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Номинальное давление (PN)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16 бар</w:t>
            </w:r>
          </w:p>
        </w:tc>
      </w:tr>
      <w:tr>
        <w:trPr>
          <w:trHeight w:val="85" w:hRule="atLeast"/>
        </w:trPr>
        <w:tc>
          <w:tcPr>
            <w:tcW w:w="9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Исполнение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Cs w:val="20"/>
              </w:rPr>
              <w:t>В</w:t>
            </w:r>
          </w:p>
        </w:tc>
      </w:tr>
      <w:tr>
        <w:trPr>
          <w:trHeight w:val="85" w:hRule="atLeast"/>
        </w:trPr>
        <w:tc>
          <w:tcPr>
            <w:tcW w:w="9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Cs w:val="20"/>
                <w:lang w:val="en-US"/>
              </w:rPr>
              <w:t>Т</w:t>
            </w:r>
            <w:r>
              <w:rPr>
                <w:color w:val="000000"/>
                <w:szCs w:val="20"/>
              </w:rPr>
              <w:t>ип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Cs w:val="20"/>
              </w:rPr>
              <w:t>01</w:t>
            </w:r>
          </w:p>
        </w:tc>
      </w:tr>
      <w:tr>
        <w:trPr>
          <w:trHeight w:val="85" w:hRule="atLeast"/>
        </w:trPr>
        <w:tc>
          <w:tcPr>
            <w:tcW w:w="9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Cs/>
                <w:lang w:val="en-US"/>
              </w:rPr>
              <w:t>Материал корпуса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Сталь 09Г2С</w:t>
            </w:r>
          </w:p>
        </w:tc>
      </w:tr>
      <w:tr>
        <w:trPr>
          <w:trHeight w:val="85" w:hRule="atLeast"/>
        </w:trPr>
        <w:tc>
          <w:tcPr>
            <w:tcW w:w="9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Соответствие нормативу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Cs w:val="20"/>
              </w:rPr>
              <w:t>ГОСТ 33259-15</w:t>
            </w:r>
          </w:p>
        </w:tc>
      </w:tr>
      <w:tr>
        <w:trPr>
          <w:trHeight w:val="85" w:hRule="atLeast"/>
        </w:trPr>
        <w:tc>
          <w:tcPr>
            <w:tcW w:w="9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9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Комплект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Cs w:val="20"/>
                <w:lang w:val="en-US"/>
              </w:rPr>
              <w:t>С</w:t>
            </w:r>
            <w:r>
              <w:rPr>
                <w:color w:val="000000"/>
                <w:szCs w:val="20"/>
              </w:rPr>
              <w:t xml:space="preserve"> крепежом и уплотнениями</w:t>
            </w:r>
          </w:p>
        </w:tc>
      </w:tr>
      <w:tr>
        <w:trPr>
          <w:trHeight w:val="89" w:hRule="atLeast"/>
        </w:trPr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1.3</w:t>
            </w:r>
          </w:p>
        </w:tc>
        <w:tc>
          <w:tcPr>
            <w:tcW w:w="49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Кран шаровой цельносварной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Серия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Cs w:val="20"/>
              </w:rPr>
              <w:t>11с67п ЦФ.01.1</w:t>
            </w:r>
          </w:p>
        </w:tc>
      </w:tr>
      <w:tr>
        <w:trPr>
          <w:trHeight w:val="85" w:hRule="atLeast"/>
        </w:trPr>
        <w:tc>
          <w:tcPr>
            <w:tcW w:w="9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Тип присоединения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Cs w:val="20"/>
                <w:lang w:val="en-US"/>
              </w:rPr>
              <w:t>Ф</w:t>
            </w:r>
            <w:r>
              <w:rPr>
                <w:color w:val="000000"/>
                <w:szCs w:val="20"/>
              </w:rPr>
              <w:t>ланцевый</w:t>
            </w:r>
          </w:p>
        </w:tc>
      </w:tr>
      <w:tr>
        <w:trPr>
          <w:trHeight w:val="85" w:hRule="atLeast"/>
        </w:trPr>
        <w:tc>
          <w:tcPr>
            <w:tcW w:w="9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Тип управления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Ручка (Рычаг)</w:t>
            </w:r>
          </w:p>
        </w:tc>
      </w:tr>
      <w:tr>
        <w:trPr>
          <w:trHeight w:val="85" w:hRule="atLeast"/>
        </w:trPr>
        <w:tc>
          <w:tcPr>
            <w:tcW w:w="95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Cs/>
                <w:lang w:val="en-US"/>
              </w:rPr>
              <w:t>Материал корпуса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Сталь 09Г2С</w:t>
            </w:r>
          </w:p>
        </w:tc>
      </w:tr>
      <w:tr>
        <w:trPr>
          <w:trHeight w:val="85" w:hRule="atLeast"/>
        </w:trPr>
        <w:tc>
          <w:tcPr>
            <w:tcW w:w="95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Номинальный диаметр (DN)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80 мм</w:t>
            </w:r>
          </w:p>
        </w:tc>
      </w:tr>
      <w:tr>
        <w:trPr>
          <w:trHeight w:val="85" w:hRule="atLeast"/>
        </w:trPr>
        <w:tc>
          <w:tcPr>
            <w:tcW w:w="95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Номинальное давление (PN)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80 бар</w:t>
            </w:r>
          </w:p>
        </w:tc>
      </w:tr>
      <w:tr>
        <w:trPr>
          <w:trHeight w:val="85" w:hRule="atLeast"/>
        </w:trPr>
        <w:tc>
          <w:tcPr>
            <w:tcW w:w="95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Температура рабочей среды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от -60°С до +200°С</w:t>
            </w:r>
          </w:p>
        </w:tc>
      </w:tr>
      <w:tr>
        <w:trPr>
          <w:trHeight w:val="85" w:hRule="atLeast"/>
        </w:trPr>
        <w:tc>
          <w:tcPr>
            <w:tcW w:w="957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Класс герметичности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класс А по ГОСТ 9544</w:t>
            </w:r>
          </w:p>
        </w:tc>
      </w:tr>
      <w:tr>
        <w:trPr>
          <w:trHeight w:val="85" w:hRule="atLeast"/>
        </w:trPr>
        <w:tc>
          <w:tcPr>
            <w:tcW w:w="9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/>
              <w:t>Климатическое исполнение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ХЛ1 по ГОСТ 15150 (не ниже -60°С)</w:t>
            </w:r>
          </w:p>
        </w:tc>
      </w:tr>
      <w:tr>
        <w:trPr>
          <w:trHeight w:val="89" w:hRule="atLeast"/>
        </w:trPr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lang w:val="en-US"/>
              </w:rPr>
              <w:t>1.4</w:t>
            </w:r>
          </w:p>
        </w:tc>
        <w:tc>
          <w:tcPr>
            <w:tcW w:w="498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Cs w:val="20"/>
              </w:rPr>
              <w:t>Комплект ответных фланцев</w:t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Номинальный диаметр (DN)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lang w:val="en-US"/>
              </w:rPr>
              <w:t>80 мм</w:t>
            </w:r>
          </w:p>
        </w:tc>
      </w:tr>
      <w:tr>
        <w:trPr>
          <w:trHeight w:val="85" w:hRule="atLeast"/>
        </w:trPr>
        <w:tc>
          <w:tcPr>
            <w:tcW w:w="95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Номинальное давление (PN)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lang w:val="en-US"/>
              </w:rPr>
              <w:t>100 бар</w:t>
            </w:r>
          </w:p>
        </w:tc>
      </w:tr>
      <w:tr>
        <w:trPr>
          <w:trHeight w:val="85" w:hRule="atLeast"/>
        </w:trPr>
        <w:tc>
          <w:tcPr>
            <w:tcW w:w="95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Исполнение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J</w:t>
            </w:r>
          </w:p>
        </w:tc>
      </w:tr>
      <w:tr>
        <w:trPr>
          <w:trHeight w:val="85" w:hRule="atLeast"/>
        </w:trPr>
        <w:tc>
          <w:tcPr>
            <w:tcW w:w="95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Cs w:val="20"/>
                <w:lang w:val="en-US"/>
              </w:rPr>
              <w:t>Т</w:t>
            </w:r>
            <w:r>
              <w:rPr>
                <w:color w:val="000000"/>
                <w:szCs w:val="20"/>
              </w:rPr>
              <w:t>ип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11</w:t>
            </w:r>
          </w:p>
        </w:tc>
      </w:tr>
      <w:tr>
        <w:trPr>
          <w:trHeight w:val="85" w:hRule="atLeast"/>
        </w:trPr>
        <w:tc>
          <w:tcPr>
            <w:tcW w:w="95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Cs/>
                <w:lang w:val="en-US"/>
              </w:rPr>
              <w:t>Материал корпуса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lang w:val="en-US"/>
              </w:rPr>
              <w:t>Сталь 09Г2С</w:t>
            </w:r>
          </w:p>
        </w:tc>
      </w:tr>
      <w:tr>
        <w:trPr>
          <w:trHeight w:val="85" w:hRule="atLeast"/>
        </w:trPr>
        <w:tc>
          <w:tcPr>
            <w:tcW w:w="957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left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Соответствие нормативу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Cs w:val="20"/>
              </w:rPr>
              <w:t>ГОСТ 33259-15</w:t>
            </w:r>
          </w:p>
        </w:tc>
      </w:tr>
      <w:tr>
        <w:trPr>
          <w:trHeight w:val="85" w:hRule="atLeast"/>
        </w:trPr>
        <w:tc>
          <w:tcPr>
            <w:tcW w:w="9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lang w:val="en-US"/>
              </w:rPr>
            </w:pPr>
            <w:r>
              <w:rPr>
                <w:lang w:val="en-US"/>
              </w:rPr>
            </w:r>
          </w:p>
        </w:tc>
        <w:tc>
          <w:tcPr>
            <w:tcW w:w="4985" w:type="dxa"/>
            <w:gridSpan w:val="2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</w:r>
          </w:p>
        </w:tc>
        <w:tc>
          <w:tcPr>
            <w:tcW w:w="2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Комплект</w:t>
            </w:r>
          </w:p>
        </w:tc>
        <w:tc>
          <w:tcPr>
            <w:tcW w:w="6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Cs w:val="20"/>
                <w:lang w:val="en-US"/>
              </w:rPr>
              <w:t>С</w:t>
            </w:r>
            <w:r>
              <w:rPr>
                <w:color w:val="000000"/>
                <w:szCs w:val="20"/>
              </w:rPr>
              <w:t xml:space="preserve"> крепежом и уплотнениями</w:t>
            </w:r>
          </w:p>
        </w:tc>
      </w:tr>
      <w:tr>
        <w:trPr/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4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/>
                <w:bCs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/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2.1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Место поставки</w:t>
            </w:r>
          </w:p>
        </w:tc>
        <w:tc>
          <w:tcPr>
            <w:tcW w:w="1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Производственный участок АО «Гидроремонт-ВКК» в г. Новосибирск, 630056, Новосибирская обл., г. Новосибирск, ул. Новоморская, д. 4/1.</w:t>
            </w:r>
          </w:p>
        </w:tc>
      </w:tr>
      <w:tr>
        <w:trPr/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2.2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Приемка продукции</w:t>
            </w:r>
          </w:p>
        </w:tc>
        <w:tc>
          <w:tcPr>
            <w:tcW w:w="1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Приемка продукции осуществляется только в рабочие дни с 09:00 до 11:00 и с 13:00 до 16:00.</w:t>
            </w:r>
          </w:p>
        </w:tc>
      </w:tr>
      <w:tr>
        <w:trPr/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2.3</w:t>
            </w:r>
          </w:p>
        </w:tc>
        <w:tc>
          <w:tcPr>
            <w:tcW w:w="14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rFonts w:eastAsia="Times New Roman" w:cs="Times New Roman"/>
                <w:i/>
                <w:szCs w:val="24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  по тел. 8 (383) 379-07-74</w:t>
            </w:r>
          </w:p>
        </w:tc>
      </w:tr>
      <w:tr>
        <w:trPr/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4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rPr>
                <w:b/>
                <w:szCs w:val="24"/>
                <w:lang w:eastAsia="ru-RU"/>
              </w:rPr>
            </w:pPr>
            <w:r>
              <w:rPr>
                <w:b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3.1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  <w:t>Сроки гарантии</w:t>
            </w:r>
          </w:p>
        </w:tc>
        <w:tc>
          <w:tcPr>
            <w:tcW w:w="1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  <w:t>Не менее 36 (тридцати шести) месяцев со дня ввода в эксплуатацию</w:t>
            </w:r>
            <w:bookmarkStart w:id="18" w:name="_GoBack"/>
            <w:bookmarkEnd w:id="18"/>
          </w:p>
        </w:tc>
      </w:tr>
      <w:tr>
        <w:trPr/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4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4.1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  <w:t>Документы, передаваемые вместе с продукцией</w:t>
            </w:r>
          </w:p>
        </w:tc>
        <w:tc>
          <w:tcPr>
            <w:tcW w:w="11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i/>
                <w:i/>
                <w:szCs w:val="24"/>
              </w:rPr>
            </w:pPr>
            <w:r>
              <w:rPr>
                <w:i/>
                <w:szCs w:val="24"/>
              </w:rPr>
              <w:t xml:space="preserve"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 </w:t>
            </w:r>
            <w:r>
              <w:rPr>
                <w:i/>
              </w:rPr>
              <w:t>со штампом отдела технического контроля (ОТК) изготовителя.</w:t>
            </w:r>
            <w:r>
              <w:rPr>
                <w:i/>
                <w:szCs w:val="24"/>
              </w:rPr>
              <w:t>; товарную накладную унифицированной формы ТОРГ-12(УПД) в 2 экз.</w:t>
            </w:r>
            <w:r>
              <w:rPr>
                <w:bCs/>
                <w:i/>
                <w:iCs/>
                <w:szCs w:val="24"/>
              </w:rPr>
              <w:t>, транспортную накладную</w:t>
            </w:r>
          </w:p>
        </w:tc>
      </w:tr>
      <w:tr>
        <w:trPr/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4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b/>
                <w:szCs w:val="24"/>
                <w:lang w:eastAsia="ru-RU"/>
              </w:rPr>
              <w:t>Прочие (дополнительные) требования к продукции</w:t>
            </w:r>
          </w:p>
        </w:tc>
      </w:tr>
      <w:tr>
        <w:trPr/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5.1</w:t>
            </w:r>
          </w:p>
        </w:tc>
        <w:tc>
          <w:tcPr>
            <w:tcW w:w="14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</w:rPr>
            </w:pPr>
            <w:r>
              <w:rPr>
                <w:i/>
              </w:rPr>
              <w:t>Продукция должна быть новой, ранее не использовавшейся.</w:t>
            </w:r>
          </w:p>
          <w:p>
            <w:pPr>
              <w:pStyle w:val="Normal"/>
              <w:widowControl w:val="false"/>
              <w:jc w:val="both"/>
              <w:rPr>
                <w:bCs/>
                <w:i/>
                <w:i/>
                <w:szCs w:val="24"/>
                <w:lang w:eastAsia="x-none"/>
              </w:rPr>
            </w:pPr>
            <w:r>
              <w:rPr>
                <w:bCs/>
                <w:i/>
                <w:szCs w:val="24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</w:t>
            </w:r>
          </w:p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bCs/>
                <w:i/>
                <w:szCs w:val="24"/>
                <w:lang w:eastAsia="x-none"/>
              </w:rPr>
              <w:t>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Times New Roman" w:cs="Times New Roman"/>
                <w:bCs/>
                <w:i/>
                <w:szCs w:val="24"/>
                <w:lang w:eastAsia="ru-RU"/>
              </w:rPr>
              <w:t>Продукция поставщика должна быть пригодна для ремонта гидроагрегатов Филиала ПАО «РусГидро» - «Новосибирская ГЭС» и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стандартов, поставщик обязан согласовывать это с Покупателем.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1"/>
        <w:numPr>
          <w:ilvl w:val="0"/>
          <w:numId w:val="0"/>
        </w:numPr>
        <w:ind w:hanging="0" w:left="1080"/>
        <w:rPr/>
      </w:pPr>
      <w:r>
        <w:rPr/>
      </w:r>
    </w:p>
    <w:sectPr>
      <w:footerReference w:type="default" r:id="rId3"/>
      <w:footerReference w:type="first" r:id="rId4"/>
      <w:type w:val="nextPage"/>
      <w:pgSz w:orient="landscape" w:w="16838" w:h="11906"/>
      <w:pgMar w:left="1134" w:right="1134" w:gutter="0" w:header="0" w:top="568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altName w:val="Times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3</w:t>
    </w:r>
    <w:r>
      <w:rPr>
        <w:sz w:val="24"/>
        <w:b/>
        <w:szCs w:val="24"/>
        <w:bCs/>
      </w:rPr>
      <w:fldChar w:fldCharType="end"/>
    </w:r>
    <w:r>
      <w:rPr/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6</w:t>
    </w:r>
    <w:r>
      <w:rPr>
        <w:sz w:val="24"/>
        <w:b/>
        <w:szCs w:val="24"/>
        <w:bCs/>
      </w:rPr>
      <w:fldChar w:fldCharType="end"/>
    </w:r>
  </w:p>
  <w:p>
    <w:pPr>
      <w:pStyle w:val="Footer"/>
      <w:rPr>
        <w:sz w:val="24"/>
        <w:szCs w:val="24"/>
      </w:rPr>
    </w:pPr>
    <w:r>
      <w:rPr>
        <w:sz w:val="24"/>
        <w:szCs w:val="24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6</w:t>
    </w:r>
    <w:r>
      <w:rPr>
        <w:sz w:val="24"/>
        <w:b/>
        <w:szCs w:val="24"/>
        <w:bCs/>
      </w:rPr>
      <w:fldChar w:fldCharType="end"/>
    </w:r>
    <w:r>
      <w:rPr/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6</w:t>
    </w:r>
    <w:r>
      <w:rPr>
        <w:sz w:val="24"/>
        <w:b/>
        <w:szCs w:val="24"/>
        <w:bCs/>
      </w:rPr>
      <w:fldChar w:fldCharType="end"/>
    </w:r>
  </w:p>
  <w:p>
    <w:pPr>
      <w:pStyle w:val="Footer"/>
      <w:rPr>
        <w:sz w:val="24"/>
        <w:szCs w:val="24"/>
      </w:rPr>
    </w:pPr>
    <w:r>
      <w:rPr>
        <w:sz w:val="24"/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1.%1"/>
      <w:lvlJc w:val="left"/>
      <w:pPr>
        <w:tabs>
          <w:tab w:val="num" w:pos="568"/>
        </w:tabs>
        <w:ind w:left="928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ahoma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tabs>
        <w:tab w:val="clear" w:pos="0"/>
        <w:tab w:val="clear" w:pos="709"/>
      </w:tabs>
      <w:ind w:hanging="432" w:left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tabs>
        <w:tab w:val="clear" w:pos="720"/>
        <w:tab w:val="left" w:pos="0" w:leader="none"/>
        <w:tab w:val="left" w:pos="709" w:leader="none"/>
      </w:tabs>
      <w:ind w:firstLine="709"/>
      <w:outlineLvl w:val="2"/>
    </w:pPr>
    <w:rPr>
      <w:rFonts w:cs="Times New Roman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 w:eastAsia="Times New Roman" w:cs="Times New Roman"/>
      <w:sz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" w:customStyle="1">
    <w:name w:val="комментарий"/>
    <w:qFormat/>
    <w:rPr>
      <w:b/>
      <w:i/>
      <w:shd w:fill="FFFF99" w:val="clear"/>
    </w:rPr>
  </w:style>
  <w:style w:type="character" w:styleId="2" w:customStyle="1">
    <w:name w:val="Заголовок 2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qFormat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qFormat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qFormat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qFormat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qFormat/>
    <w:rPr>
      <w:rFonts w:ascii="Arial" w:hAnsi="Arial" w:eastAsia="Times New Roman" w:cs="Times New Roman"/>
      <w:lang w:val="x-none" w:eastAsia="x-none"/>
    </w:rPr>
  </w:style>
  <w:style w:type="character" w:styleId="Style1" w:customStyle="1">
    <w:name w:val="Текст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Style3" w:customStyle="1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Тема примечания Знак"/>
    <w:basedOn w:val="Style8"/>
    <w:link w:val="Annotationsubject"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">
    <w:name w:val="Strong"/>
    <w:uiPriority w:val="22"/>
    <w:qFormat/>
    <w:rPr>
      <w:b/>
      <w:bCs/>
    </w:rPr>
  </w:style>
  <w:style w:type="character" w:styleId="Style10" w:customStyle="1">
    <w:name w:val="Название Знак"/>
    <w:link w:val="15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1" w:customStyle="1">
    <w:name w:val="Подзаголовок Знак"/>
    <w:basedOn w:val="DefaultParagraphFont"/>
    <w:qFormat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3" w:customStyle="1">
    <w:name w:val="Цитата 2 Знак"/>
    <w:basedOn w:val="DefaultParagraphFont"/>
    <w:link w:val="Quote"/>
    <w:qFormat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2" w:customStyle="1">
    <w:name w:val="Выделенная цитата Знак"/>
    <w:basedOn w:val="DefaultParagraphFont"/>
    <w:link w:val="IntenseQuote"/>
    <w:qFormat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13" w:customStyle="1">
    <w:name w:val="Электронная подпись Знак"/>
    <w:basedOn w:val="DefaultParagraphFont"/>
    <w:link w:val="E-mailSignature"/>
    <w:qFormat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5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Pr/>
  </w:style>
  <w:style w:type="character" w:styleId="Style14" w:customStyle="1">
    <w:name w:val="Абзац списка Знак"/>
    <w:link w:val="ListParagraph"/>
    <w:qFormat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5" w:customStyle="1">
    <w:name w:val="Подподпункт Знак"/>
    <w:link w:val="Style32"/>
    <w:qFormat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24" w:customStyle="1">
    <w:name w:val="Пункт2 Знак"/>
    <w:link w:val="26"/>
    <w:qFormat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2" w:customStyle="1">
    <w:name w:val="УРОВЕНЬ_1. Знак"/>
    <w:link w:val="19"/>
    <w:qFormat/>
    <w:rPr>
      <w:rFonts w:ascii="Times New Roman" w:hAnsi="Times New Roman" w:eastAsia="Calibri" w:cs="Times New Roman"/>
      <w:caps/>
      <w:sz w:val="28"/>
      <w:szCs w:val="28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FontStyle16" w:customStyle="1">
    <w:name w:val="Font Style16"/>
    <w:qFormat/>
    <w:rPr>
      <w:rFonts w:ascii="Times New Roman" w:hAnsi="Times New Roman" w:cs="Times New Roman"/>
      <w:sz w:val="22"/>
      <w:szCs w:val="22"/>
    </w:rPr>
  </w:style>
  <w:style w:type="character" w:styleId="Text" w:customStyle="1">
    <w:name w:val="text"/>
    <w:qFormat/>
    <w:rPr/>
  </w:style>
  <w:style w:type="character" w:styleId="Value" w:customStyle="1">
    <w:name w:val="value"/>
    <w:qFormat/>
    <w:rPr/>
  </w:style>
  <w:style w:type="character" w:styleId="C-gruppedpropsprop-value" w:customStyle="1">
    <w:name w:val="c-gruppedprops__prop-value"/>
    <w:basedOn w:val="DefaultParagraphFont"/>
    <w:qFormat/>
    <w:rPr/>
  </w:style>
  <w:style w:type="character" w:styleId="Label" w:customStyle="1">
    <w:name w:val="label"/>
    <w:basedOn w:val="DefaultParagraphFont"/>
    <w:qFormat/>
    <w:rPr/>
  </w:style>
  <w:style w:type="character" w:styleId="Uk-leader-fill" w:customStyle="1">
    <w:name w:val="uk-leader-fill"/>
    <w:basedOn w:val="DefaultParagraphFont"/>
    <w:qFormat/>
    <w:rsid w:val="00b56115"/>
    <w:rPr/>
  </w:style>
  <w:style w:type="character" w:styleId="Character-title" w:customStyle="1">
    <w:name w:val="character-title"/>
    <w:basedOn w:val="DefaultParagraphFont"/>
    <w:qFormat/>
    <w:rsid w:val="00ce3fd4"/>
    <w:rPr/>
  </w:style>
  <w:style w:type="character" w:styleId="Character-value" w:customStyle="1">
    <w:name w:val="character-value"/>
    <w:basedOn w:val="DefaultParagraphFont"/>
    <w:qFormat/>
    <w:rsid w:val="00ce3fd4"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>
      <w:rFonts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Caption111111111" w:customStyle="1">
    <w:name w:val="caption111111111"/>
    <w:basedOn w:val="Normal"/>
    <w:next w:val="Normal"/>
    <w:qFormat/>
    <w:pPr/>
    <w:rPr>
      <w:rFonts w:cs="Times New Roman"/>
      <w:b/>
      <w:bCs/>
      <w:color w:val="4F81BD"/>
      <w:sz w:val="18"/>
      <w:szCs w:val="18"/>
      <w:lang w:eastAsia="ru-RU"/>
    </w:rPr>
  </w:style>
  <w:style w:type="paragraph" w:styleId="Indexheading111111111" w:customStyle="1">
    <w:name w:val="index heading111111111"/>
    <w:basedOn w:val="Title"/>
    <w:qFormat/>
    <w:pPr/>
    <w:rPr/>
  </w:style>
  <w:style w:type="paragraph" w:styleId="Style20" w:customStyle="1">
    <w:name w:val="Раздел положения"/>
    <w:basedOn w:val="Normal"/>
    <w:autoRedefine/>
    <w:qFormat/>
    <w:pPr>
      <w:numPr>
        <w:ilvl w:val="0"/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styleId="Style21" w:customStyle="1">
    <w:name w:val="Подраздел раздела положения"/>
    <w:basedOn w:val="Normal"/>
    <w:autoRedefine/>
    <w:qFormat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Style22" w:customStyle="1">
    <w:name w:val="Таблица шапка"/>
    <w:basedOn w:val="Normal"/>
    <w:qFormat/>
    <w:pPr>
      <w:keepNext w:val="true"/>
      <w:spacing w:before="40" w:after="40"/>
      <w:ind w:left="57" w:right="57"/>
    </w:pPr>
    <w:rPr>
      <w:rFonts w:eastAsia="Times New Roman" w:cs="Times New Roman"/>
      <w:sz w:val="22"/>
      <w:szCs w:val="26"/>
      <w:lang w:eastAsia="ru-RU"/>
    </w:rPr>
  </w:style>
  <w:style w:type="paragraph" w:styleId="Style23" w:customStyle="1">
    <w:name w:val="Название раздела инструкции"/>
    <w:basedOn w:val="Normal"/>
    <w:autoRedefine/>
    <w:qFormat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FootnoteText">
    <w:name w:val="Footnote Text"/>
    <w:basedOn w:val="Normal"/>
    <w:link w:val="Style1"/>
    <w:pPr/>
    <w:rPr>
      <w:rFonts w:eastAsia="Times New Roman" w:cs="Times New Roman"/>
      <w:sz w:val="20"/>
      <w:szCs w:val="20"/>
      <w:lang w:eastAsia="ru-RU"/>
    </w:rPr>
  </w:style>
  <w:style w:type="paragraph" w:styleId="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  <w:lang w:eastAsia="ru-RU"/>
    </w:rPr>
  </w:style>
  <w:style w:type="paragraph" w:styleId="25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  <w:lang w:eastAsia="ru-RU"/>
    </w:rPr>
  </w:style>
  <w:style w:type="paragraph" w:styleId="34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styleId="15" w:customStyle="1">
    <w:name w:val="Название1"/>
    <w:basedOn w:val="Normal"/>
    <w:link w:val="Style10"/>
    <w:qFormat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styleId="Style2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pPr>
      <w:tabs>
        <w:tab w:val="clear" w:pos="720"/>
        <w:tab w:val="center" w:pos="4677" w:leader="none"/>
        <w:tab w:val="right" w:pos="9355" w:leader="none"/>
      </w:tabs>
    </w:pPr>
    <w:rPr>
      <w:rFonts w:eastAsia="Times New Roman" w:cs="Times New Roman"/>
      <w:szCs w:val="24"/>
      <w:lang w:eastAsia="ru-RU"/>
    </w:rPr>
  </w:style>
  <w:style w:type="paragraph" w:styleId="BodyTextIndent">
    <w:name w:val="Body Text Indent"/>
    <w:basedOn w:val="Normal"/>
    <w:link w:val="Style4"/>
    <w:pPr>
      <w:ind w:left="360"/>
    </w:pPr>
    <w:rPr>
      <w:rFonts w:eastAsia="Times New Roman" w:cs="Times New Roman"/>
      <w:szCs w:val="24"/>
      <w:lang w:eastAsia="ru-RU"/>
    </w:rPr>
  </w:style>
  <w:style w:type="paragraph" w:styleId="Footer">
    <w:name w:val="Footer"/>
    <w:basedOn w:val="Normal"/>
    <w:link w:val="Style5"/>
    <w:pPr>
      <w:tabs>
        <w:tab w:val="clear" w:pos="720"/>
        <w:tab w:val="center" w:pos="4677" w:leader="none"/>
        <w:tab w:val="right" w:pos="9355" w:leader="none"/>
      </w:tabs>
    </w:pPr>
    <w:rPr>
      <w:rFonts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pPr>
      <w:spacing w:lineRule="auto" w:line="480" w:before="0" w:after="120"/>
      <w:ind w:left="283"/>
    </w:pPr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pPr>
      <w:spacing w:before="0" w:after="120"/>
    </w:pPr>
    <w:rPr>
      <w:rFonts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/>
    </w:pPr>
    <w:rPr>
      <w:rFonts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pPr>
      <w:spacing w:lineRule="auto" w:line="480" w:before="0" w:after="120"/>
    </w:pPr>
    <w:rPr>
      <w:rFonts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pPr>
      <w:ind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Style25" w:customStyle="1">
    <w:name w:val="Подпункт"/>
    <w:basedOn w:val="Normal"/>
    <w:link w:val="11"/>
    <w:qFormat/>
    <w:pPr>
      <w:tabs>
        <w:tab w:val="clear" w:pos="720"/>
        <w:tab w:val="left" w:pos="1134" w:leader="none"/>
      </w:tabs>
      <w:snapToGrid w:val="false"/>
      <w:spacing w:lineRule="auto" w:line="360"/>
      <w:ind w:hanging="1134" w:left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pPr>
      <w:keepNext w:val="true"/>
      <w:tabs>
        <w:tab w:val="clear" w:pos="720"/>
        <w:tab w:val="left" w:pos="1134" w:leader="none"/>
      </w:tabs>
      <w:snapToGrid w:val="false"/>
      <w:spacing w:before="240" w:after="120"/>
      <w:ind w:hanging="1134" w:left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eastAsia="Times New Roman" w:cs="Calibri Light (Заголовки)"/>
      <w:b/>
      <w:bCs/>
      <w:szCs w:val="24"/>
      <w:lang w:eastAsia="ru-RU"/>
    </w:rPr>
  </w:style>
  <w:style w:type="paragraph" w:styleId="TOC3">
    <w:name w:val="TOC 3"/>
    <w:basedOn w:val="Normal"/>
    <w:next w:val="Normal"/>
    <w:autoRedefine/>
    <w:pPr>
      <w:ind w:left="280"/>
    </w:pPr>
    <w:rPr>
      <w:rFonts w:eastAsia="Times New Roman" w:cs="Calibri"/>
      <w:sz w:val="20"/>
      <w:szCs w:val="20"/>
      <w:lang w:eastAsia="ru-RU"/>
    </w:rPr>
  </w:style>
  <w:style w:type="paragraph" w:styleId="Style26" w:customStyle="1">
    <w:name w:val="Раздел регламента"/>
    <w:basedOn w:val="Normal"/>
    <w:qFormat/>
    <w:pPr/>
    <w:rPr>
      <w:rFonts w:eastAsia="Times New Roman" w:cs="Times New Roman"/>
      <w:sz w:val="28"/>
      <w:szCs w:val="28"/>
      <w:lang w:eastAsia="ru-RU"/>
    </w:rPr>
  </w:style>
  <w:style w:type="paragraph" w:styleId="Style27" w:customStyle="1">
    <w:name w:val="Приложение к регламенту"/>
    <w:basedOn w:val="Normal"/>
    <w:qFormat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pPr>
      <w:spacing w:before="240" w:after="0"/>
    </w:pPr>
    <w:rPr>
      <w:rFonts w:eastAsia="Times New Roman" w:cs="Calibr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7"/>
    <w:qFormat/>
    <w:pPr/>
    <w:rPr>
      <w:rFonts w:ascii="Tahoma" w:hAnsi="Tahoma" w:eastAsia="Times New Roman"/>
      <w:sz w:val="16"/>
      <w:szCs w:val="16"/>
      <w:lang w:eastAsia="ru-RU"/>
    </w:rPr>
  </w:style>
  <w:style w:type="paragraph" w:styleId="Annotationtext">
    <w:name w:val="annotation text"/>
    <w:basedOn w:val="Normal"/>
    <w:link w:val="Style8"/>
    <w:qFormat/>
    <w:pPr/>
    <w:rPr>
      <w:rFonts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9"/>
    <w:qFormat/>
    <w:pPr/>
    <w:rPr>
      <w:b/>
      <w:bCs/>
    </w:rPr>
  </w:style>
  <w:style w:type="paragraph" w:styleId="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Cs w:val="24"/>
      <w:lang w:eastAsia="ru-RU"/>
    </w:rPr>
  </w:style>
  <w:style w:type="paragraph" w:styleId="TOC9">
    <w:name w:val="TOC 9"/>
    <w:basedOn w:val="Normal"/>
    <w:next w:val="Normal"/>
    <w:autoRedefine/>
    <w:pPr>
      <w:ind w:left="196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5">
    <w:name w:val="TOC 5"/>
    <w:basedOn w:val="Normal"/>
    <w:next w:val="Normal"/>
    <w:autoRedefine/>
    <w:pPr>
      <w:ind w:left="84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pPr>
      <w:ind w:left="560"/>
    </w:pPr>
    <w:rPr>
      <w:rFonts w:eastAsia="Times New Roman" w:cs="Calibr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styleId="Style28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NoSpacing">
    <w:name w:val="No Spacing"/>
    <w:basedOn w:val="Normal"/>
    <w:qFormat/>
    <w:pPr>
      <w:spacing w:lineRule="auto" w:line="360"/>
    </w:pPr>
    <w:rPr>
      <w:rFonts w:cs="Times New Roman"/>
      <w:szCs w:val="24"/>
      <w:lang w:eastAsia="ru-RU"/>
    </w:rPr>
  </w:style>
  <w:style w:type="paragraph" w:styleId="Subtitle">
    <w:name w:val="Subtitle"/>
    <w:basedOn w:val="Normal"/>
    <w:next w:val="Normal"/>
    <w:link w:val="Style11"/>
    <w:qFormat/>
    <w:pPr>
      <w:ind w:firstLine="709" w:left="1066"/>
    </w:pPr>
    <w:rPr>
      <w:rFonts w:ascii="Cambria" w:hAnsi="Cambria" w:eastAsia="Times New Roman" w:cs="Times New Roman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14"/>
    <w:qFormat/>
    <w:pPr>
      <w:ind w:left="708"/>
    </w:pPr>
    <w:rPr/>
  </w:style>
  <w:style w:type="paragraph" w:styleId="Quote">
    <w:name w:val="Quote"/>
    <w:basedOn w:val="Normal"/>
    <w:next w:val="Normal"/>
    <w:link w:val="23"/>
    <w:qFormat/>
    <w:pPr/>
    <w:rPr>
      <w:rFonts w:ascii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2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qFormat/>
    <w:pPr>
      <w:keepLines/>
      <w:tabs>
        <w:tab w:val="clear" w:pos="0"/>
        <w:tab w:val="left" w:pos="709" w:leader="none"/>
      </w:tabs>
      <w:spacing w:before="480" w:after="0"/>
      <w:ind w:hanging="360" w:left="3196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3"/>
    <w:qFormat/>
    <w:pPr/>
    <w:rPr>
      <w:rFonts w:cs="Times New Roman"/>
      <w:szCs w:val="24"/>
      <w:lang w:val="x-none" w:eastAsia="x-none"/>
    </w:rPr>
  </w:style>
  <w:style w:type="paragraph" w:styleId="Style29" w:customStyle="1">
    <w:name w:val="Знак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pPr>
      <w:numPr>
        <w:ilvl w:val="2"/>
        <w:numId w:val="3"/>
      </w:numPr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311" w:customStyle="1">
    <w:name w:val="Список 31"/>
    <w:basedOn w:val="Normal"/>
    <w:qFormat/>
    <w:pPr>
      <w:numPr>
        <w:ilvl w:val="0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28" w:customStyle="1">
    <w:name w:val="Нумерованный список ур2"/>
    <w:basedOn w:val="Normal"/>
    <w:qFormat/>
    <w:pPr>
      <w:numPr>
        <w:ilvl w:val="1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Revision">
    <w:name w:val="Revisio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overflowPunct w:val="fals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0" w:customStyle="1">
    <w:name w:val="Пункт"/>
    <w:basedOn w:val="Normal"/>
    <w:qFormat/>
    <w:pPr>
      <w:widowControl w:val="false"/>
      <w:tabs>
        <w:tab w:val="clear" w:pos="720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7" w:customStyle="1">
    <w:name w:val="Абзац списка1"/>
    <w:basedOn w:val="Normal"/>
    <w:qFormat/>
    <w:pPr>
      <w:spacing w:lineRule="auto" w:line="276" w:before="0" w:after="200"/>
      <w:ind w:left="720"/>
      <w:contextualSpacing/>
    </w:pPr>
    <w:rPr>
      <w:rFonts w:ascii="Calibri" w:hAnsi="Calibri" w:eastAsia="Times New Roman" w:cs="Times New Roman"/>
      <w:sz w:val="22"/>
    </w:rPr>
  </w:style>
  <w:style w:type="paragraph" w:styleId="Style31" w:customStyle="1">
    <w:name w:val="Таблица"/>
    <w:basedOn w:val="Normal"/>
    <w:qFormat/>
    <w:pPr>
      <w:keepNext w:val="true"/>
      <w:spacing w:before="60" w:after="60"/>
      <w:jc w:val="center"/>
    </w:pPr>
    <w:rPr>
      <w:rFonts w:cs="Times New Roman"/>
      <w:b/>
      <w:szCs w:val="24"/>
      <w:lang w:val="x-none" w:eastAsia="x-none"/>
    </w:rPr>
  </w:style>
  <w:style w:type="paragraph" w:styleId="Style32" w:customStyle="1">
    <w:name w:val="Подподпункт"/>
    <w:basedOn w:val="Style25"/>
    <w:link w:val="Style15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ind w:hanging="648" w:left="1728"/>
      <w:jc w:val="both"/>
      <w:outlineLvl w:val="3"/>
    </w:pPr>
    <w:rPr>
      <w:sz w:val="26"/>
      <w:szCs w:val="28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ind w:hanging="792" w:left="2232"/>
      <w:jc w:val="both"/>
      <w:outlineLvl w:val="4"/>
    </w:pPr>
    <w:rPr>
      <w:sz w:val="26"/>
      <w:szCs w:val="28"/>
    </w:rPr>
  </w:style>
  <w:style w:type="paragraph" w:styleId="29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ind w:hanging="1080" w:left="3240"/>
      <w:jc w:val="both"/>
    </w:pPr>
    <w:rPr>
      <w:sz w:val="26"/>
      <w:szCs w:val="28"/>
    </w:rPr>
  </w:style>
  <w:style w:type="paragraph" w:styleId="37" w:customStyle="1">
    <w:name w:val="УРОВЕНЬ_Абзац_тип3"/>
    <w:basedOn w:val="ListParagraph"/>
    <w:link w:val="33"/>
    <w:qFormat/>
    <w:pPr>
      <w:numPr>
        <w:ilvl w:val="7"/>
        <w:numId w:val="4"/>
      </w:numPr>
      <w:spacing w:lineRule="exact" w:line="360" w:before="120" w:after="0"/>
      <w:jc w:val="both"/>
    </w:pPr>
    <w:rPr>
      <w:sz w:val="26"/>
      <w:szCs w:val="28"/>
    </w:rPr>
  </w:style>
  <w:style w:type="paragraph" w:styleId="Style34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ind w:hanging="936" w:left="2736"/>
      <w:jc w:val="right"/>
      <w:outlineLvl w:val="3"/>
    </w:pPr>
    <w:rPr>
      <w:sz w:val="26"/>
      <w:szCs w:val="28"/>
    </w:rPr>
  </w:style>
  <w:style w:type="paragraph" w:styleId="18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  <w:tab w:val="left" w:pos="709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pPr/>
    <w:rPr>
      <w:rFonts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styleId="Style35" w:customStyle="1">
    <w:name w:val="Таблица текст"/>
    <w:basedOn w:val="Normal"/>
    <w:qFormat/>
    <w:pPr>
      <w:spacing w:before="40" w:after="40"/>
      <w:ind w:left="57" w:right="57"/>
    </w:pPr>
    <w:rPr>
      <w:rFonts w:eastAsia="Times New Roman" w:cs="Times New Roman"/>
      <w:szCs w:val="26"/>
      <w:lang w:eastAsia="ru-RU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 w:cs="Times New Roman"/>
      <w:szCs w:val="24"/>
      <w:lang w:eastAsia="ru-RU"/>
    </w:rPr>
  </w:style>
  <w:style w:type="paragraph" w:styleId="19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left="0"/>
      <w:jc w:val="both"/>
      <w:outlineLvl w:val="0"/>
    </w:pPr>
    <w:rPr>
      <w:caps/>
      <w:sz w:val="28"/>
      <w:szCs w:val="28"/>
    </w:rPr>
  </w:style>
  <w:style w:type="paragraph" w:styleId="TOC6">
    <w:name w:val="TOC 6"/>
    <w:basedOn w:val="Normal"/>
    <w:next w:val="Normal"/>
    <w:autoRedefine/>
    <w:pPr>
      <w:ind w:left="112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7">
    <w:name w:val="TOC 7"/>
    <w:basedOn w:val="Normal"/>
    <w:next w:val="Normal"/>
    <w:autoRedefine/>
    <w:pPr>
      <w:ind w:left="140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8">
    <w:name w:val="TOC 8"/>
    <w:basedOn w:val="Normal"/>
    <w:next w:val="Normal"/>
    <w:autoRedefine/>
    <w:pPr>
      <w:ind w:left="168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Style36" w:customStyle="1">
    <w:name w:val="Знак Знак Знак Знак"/>
    <w:basedOn w:val="Normal"/>
    <w:qFormat/>
    <w:pPr>
      <w:suppressAutoHyphens w:val="false"/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 w:customStyle="1">
    <w:name w:val="Контракт-раздел"/>
    <w:basedOn w:val="Normal"/>
    <w:qFormat/>
    <w:pPr>
      <w:keepNext w:val="true"/>
      <w:keepLines/>
      <w:tabs>
        <w:tab w:val="clear" w:pos="720"/>
        <w:tab w:val="left" w:pos="0" w:leader="none"/>
        <w:tab w:val="left" w:pos="567" w:leader="none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styleId="-2" w:customStyle="1">
    <w:name w:val="Контракт-пункт"/>
    <w:basedOn w:val="Normal"/>
    <w:qFormat/>
    <w:pPr>
      <w:tabs>
        <w:tab w:val="clear" w:pos="720"/>
        <w:tab w:val="left" w:pos="1391" w:leader="none"/>
      </w:tabs>
      <w:ind w:hanging="851" w:left="1391"/>
    </w:pPr>
    <w:rPr>
      <w:rFonts w:eastAsia="Times New Roman" w:cs="Times New Roman"/>
      <w:szCs w:val="28"/>
      <w:lang w:eastAsia="ru-RU"/>
    </w:rPr>
  </w:style>
  <w:style w:type="paragraph" w:styleId="110" w:customStyle="1">
    <w:name w:val="Обычный1"/>
    <w:qFormat/>
    <w:pPr>
      <w:widowControl w:val="false"/>
      <w:suppressAutoHyphens w:val="true"/>
      <w:overflowPunct w:val="false"/>
      <w:bidi w:val="0"/>
      <w:spacing w:lineRule="auto" w:line="300" w:before="0" w:after="0"/>
      <w:ind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37" w:customStyle="1">
    <w:name w:val="Пункт договора"/>
    <w:basedOn w:val="Normal"/>
    <w:qFormat/>
    <w:pPr>
      <w:widowControl w:val="false"/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Style38" w:customStyle="1">
    <w:name w:val="Подпункт договора"/>
    <w:basedOn w:val="Normal"/>
    <w:qFormat/>
    <w:pPr>
      <w:tabs>
        <w:tab w:val="clear" w:pos="720"/>
        <w:tab w:val="left" w:pos="360" w:leader="none"/>
      </w:tabs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21" w:customStyle="1">
    <w:name w:val="Body Text 21"/>
    <w:basedOn w:val="Normal"/>
    <w:qFormat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Style39" w:customStyle="1">
    <w:name w:val="Обычный+ без отступа"/>
    <w:basedOn w:val="Normal"/>
    <w:qFormat/>
    <w:pPr>
      <w:spacing w:lineRule="auto" w:line="360" w:before="120" w:after="0"/>
      <w:jc w:val="both"/>
    </w:pPr>
    <w:rPr>
      <w:rFonts w:eastAsia="MS Mincho" w:cs="Times New Roman"/>
      <w:sz w:val="28"/>
      <w:szCs w:val="28"/>
      <w:lang w:eastAsia="ru-RU"/>
    </w:rPr>
  </w:style>
  <w:style w:type="paragraph" w:styleId="111" w:customStyle="1">
    <w:name w:val="Знак Знак Знак Знак1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211" w:customStyle="1">
    <w:name w:val="Обычный2"/>
    <w:qFormat/>
    <w:pPr>
      <w:widowControl w:val="false"/>
      <w:suppressAutoHyphens w:val="true"/>
      <w:overflowPunct w:val="false"/>
      <w:bidi w:val="0"/>
      <w:spacing w:lineRule="auto" w:line="300" w:before="0" w:after="0"/>
      <w:ind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Jss308" w:customStyle="1">
    <w:name w:val="jss308"/>
    <w:basedOn w:val="Normal"/>
    <w:qFormat/>
    <w:pPr>
      <w:suppressAutoHyphens w:val="false"/>
      <w:spacing w:before="280" w:after="280"/>
    </w:pPr>
    <w:rPr>
      <w:rFonts w:eastAsia="Times New Roman" w:cs="Times New Roman"/>
      <w:szCs w:val="24"/>
      <w:lang w:eastAsia="ru-RU"/>
    </w:rPr>
  </w:style>
  <w:style w:type="paragraph" w:styleId="Style40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1" w:customStyle="1">
    <w:name w:val="Заголовок таблицы"/>
    <w:basedOn w:val="Style40"/>
    <w:qFormat/>
    <w:pPr>
      <w:jc w:val="center"/>
    </w:pPr>
    <w:rPr>
      <w:b/>
      <w:bCs/>
    </w:rPr>
  </w:style>
  <w:style w:type="paragraph" w:styleId="Style42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paragraph" w:styleId="Standard" w:customStyle="1">
    <w:name w:val="Standard"/>
    <w:qFormat/>
    <w:rsid w:val="00ec3344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qFormat/>
  </w:style>
  <w:style w:type="numbering" w:styleId="212" w:customStyle="1">
    <w:name w:val="Стиль2"/>
    <w:qFormat/>
  </w:style>
  <w:style w:type="numbering" w:styleId="113" w:customStyle="1">
    <w:name w:val="Нет списка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8919</TotalTime>
  <Application>AlterOffice/2026.2.0.0$Linux_X86_64 LibreOffice_project/bc4ef1adf80b36c7a6365f8ed6cbf29021361edd</Application>
  <AppVersion>15.0000</AppVersion>
  <Pages>6</Pages>
  <Words>877</Words>
  <Characters>6067</Characters>
  <CharactersWithSpaces>6759</CharactersWithSpaces>
  <Paragraphs>184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2023-12-07T18:27:00Z</dcterms:created>
  <dc:creator>Вашкевич Ольга Владимировна</dc:creator>
  <dc:description/>
  <dc:language>ru-RU</dc:language>
  <cp:lastModifiedBy/>
  <cp:lastPrinted>2025-01-16T07:07:00Z</cp:lastPrinted>
  <dcterms:modified xsi:type="dcterms:W3CDTF">2026-10-01T11:37:28Z</dcterms:modified>
  <cp:revision>1289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