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header1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header15.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13.xml" ContentType="application/vnd.openxmlformats-officedocument.wordprocessingml.footer+xml"/>
  <Override PartName="/word/footer5.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1"/>
        <w:keepNext w:val="true"/>
        <w:spacing w:before="120" w:after="0"/>
        <w:ind w:hanging="0" w:left="4536"/>
        <w:rPr/>
      </w:pPr>
      <w:r>
        <w:rPr/>
      </w:r>
    </w:p>
    <w:p>
      <w:pPr>
        <w:pStyle w:val="Style31"/>
        <w:rPr/>
      </w:pPr>
      <w:r>
        <w:rPr/>
      </w:r>
    </w:p>
    <w:p>
      <w:pPr>
        <w:pStyle w:val="Style31"/>
        <w:rPr/>
      </w:pPr>
      <w:r>
        <w:rPr/>
      </w:r>
    </w:p>
    <w:p>
      <w:pPr>
        <w:pStyle w:val="Style31"/>
        <w:rPr/>
      </w:pPr>
      <w:r>
        <w:rPr/>
      </w:r>
    </w:p>
    <w:p>
      <w:pPr>
        <w:pStyle w:val="Style31"/>
        <w:rPr/>
      </w:pPr>
      <w:r>
        <w:rPr/>
      </w:r>
    </w:p>
    <w:p>
      <w:pPr>
        <w:pStyle w:val="Style31"/>
        <w:rPr/>
      </w:pPr>
      <w:r>
        <w:rPr/>
      </w:r>
    </w:p>
    <w:p>
      <w:pPr>
        <w:pStyle w:val="Style31"/>
        <w:keepNext w:val="true"/>
        <w:numPr>
          <w:ilvl w:val="0"/>
          <w:numId w:val="0"/>
        </w:numPr>
        <w:ind w:hanging="0" w:left="0"/>
        <w:jc w:val="center"/>
        <w:outlineLvl w:val="2"/>
        <w:rPr>
          <w:b/>
          <w:bCs/>
          <w:caps/>
        </w:rPr>
      </w:pPr>
      <w:r>
        <w:rPr>
          <w:b/>
          <w:bCs/>
          <w:caps/>
        </w:rPr>
        <w:t>Документация о закупке</w:t>
      </w:r>
    </w:p>
    <w:p>
      <w:pPr>
        <w:pStyle w:val="Style31"/>
        <w:keepNext w:val="true"/>
        <w:spacing w:before="240" w:after="0"/>
        <w:jc w:val="center"/>
        <w:rPr>
          <w:rStyle w:val="Style11"/>
        </w:rPr>
      </w:pPr>
      <w:r>
        <w:rPr/>
        <w:t>Состязательный отбор в электронной форме,</w:t>
        <w:br/>
        <w:t>на право заключения договора «</w:t>
      </w:r>
      <w:r>
        <w:rPr>
          <w:rStyle w:val="Style11"/>
          <w:i w:val="false"/>
          <w:iCs w:val="false"/>
          <w:szCs w:val="26"/>
          <w:shd w:fill="auto" w:val="clear"/>
        </w:rPr>
        <w:t>28.13.28_Техническое обслуживание предохранительных клапанов сосудов работающих под давлением и установки компрессорной  ГЭС, ГАЭС  филиала ПАО “РусГидро”-“Каскад Кубанских ГЭС”»</w:t>
      </w:r>
    </w:p>
    <w:p>
      <w:pPr>
        <w:sectPr>
          <w:type w:val="nextPage"/>
          <w:pgSz w:w="11906" w:h="16838"/>
          <w:pgMar w:left="1134" w:right="850" w:gutter="0" w:header="0" w:top="851" w:footer="0" w:bottom="851"/>
          <w:pgNumType w:fmt="decimal"/>
          <w:formProt w:val="false"/>
          <w:textDirection w:val="lrTb"/>
          <w:docGrid w:type="default" w:linePitch="360" w:charSpace="0"/>
        </w:sectPr>
        <w:pStyle w:val="Style31"/>
        <w:keepNext w:val="true"/>
        <w:spacing w:before="240" w:after="0"/>
        <w:jc w:val="center"/>
        <w:rPr/>
      </w:pPr>
      <w:r>
        <w:rPr/>
        <w:t>(Лот №</w:t>
      </w:r>
      <w:r>
        <w:rPr>
          <w:rStyle w:val="Style11"/>
          <w:i w:val="false"/>
          <w:iCs w:val="false"/>
          <w:szCs w:val="26"/>
          <w:shd w:fill="auto" w:val="clear"/>
          <w:lang w:val="en-US"/>
        </w:rPr>
        <w:t>121003-ТО</w:t>
      </w:r>
      <w:r>
        <w:rPr>
          <w:rStyle w:val="Style11"/>
          <w:i w:val="false"/>
          <w:iCs w:val="false"/>
          <w:szCs w:val="26"/>
          <w:shd w:fill="auto" w:val="clear"/>
        </w:rPr>
        <w:t xml:space="preserve"> ПРОД-202</w:t>
      </w:r>
      <w:r>
        <w:rPr>
          <w:rStyle w:val="Style11"/>
          <w:i w:val="false"/>
          <w:iCs w:val="false"/>
          <w:szCs w:val="26"/>
          <w:shd w:fill="auto" w:val="clear"/>
          <w:lang w:val="en-US"/>
        </w:rPr>
        <w:t>7</w:t>
      </w:r>
      <w:r>
        <w:rPr>
          <w:rStyle w:val="Style11"/>
          <w:i w:val="false"/>
          <w:iCs w:val="false"/>
          <w:szCs w:val="26"/>
          <w:shd w:fill="auto" w:val="clear"/>
        </w:rPr>
        <w:t>-ККГЭС</w:t>
      </w:r>
      <w:r>
        <w:rPr/>
        <w:t>)</w:t>
      </w:r>
    </w:p>
    <w:p>
      <w:pPr>
        <w:pStyle w:val="Style30"/>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20"/>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Пункт,3,[РГ] Пункт,3,[РГ] Пункт,3,[РГ] Пункт,3,[РГ] Пункт,3,[РГ] Пункт,3,[РГ] Подпункт,4,[РГ] Подпункт,4,[РГ] Подпункт,4,[РГ] Подпункт,4,[РГ] Подпункт,4,[РГ] Подпункт,4,[РГ] Перечисление,5,[РГ] Перечисление,5,[РГ] Перечисление,5,[РГ] Перечисление,5,[РГ] Перечисление,5,[РГ] Перечисление,5" \h</w:instrText>
          </w:r>
          <w:r>
            <w:rPr>
              <w:webHidden/>
              <w:rStyle w:val="Style20"/>
              <w:vanish w:val="false"/>
            </w:rPr>
            <w:fldChar w:fldCharType="separate"/>
          </w:r>
          <w:hyperlink w:anchor="_Toc228976323">
            <w:r>
              <w:rPr>
                <w:webHidden/>
              </w:rPr>
              <w:fldChar w:fldCharType="begin"/>
            </w:r>
            <w:r>
              <w:rPr>
                <w:webHidden/>
              </w:rPr>
              <w:instrText xml:space="preserve">PAGEREF _Toc228976323 \h</w:instrText>
            </w:r>
            <w:r>
              <w:rPr>
                <w:webHidden/>
              </w:rPr>
              <w:fldChar w:fldCharType="separate"/>
            </w:r>
            <w:r>
              <w:rPr>
                <w:webHidden/>
                <w:rStyle w:val="Style20"/>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24">
            <w:r>
              <w:rPr>
                <w:webHidden/>
              </w:rPr>
              <w:fldChar w:fldCharType="begin"/>
            </w:r>
            <w:r>
              <w:rPr>
                <w:webHidden/>
              </w:rPr>
              <w:instrText xml:space="preserve">PAGEREF _Toc228976324 \h</w:instrText>
            </w:r>
            <w:r>
              <w:rPr>
                <w:webHidden/>
              </w:rPr>
              <w:fldChar w:fldCharType="separate"/>
            </w:r>
            <w:r>
              <w:rPr>
                <w:webHidden/>
                <w:rStyle w:val="Style20"/>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25">
            <w:r>
              <w:rPr>
                <w:webHidden/>
                <w:rStyle w:val="Style20"/>
                <w:vanish w:val="false"/>
              </w:rPr>
              <w:t>1.</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_Toc228976325 \h</w:instrText>
            </w:r>
            <w:r>
              <w:rPr>
                <w:webHidden/>
              </w:rPr>
              <w:fldChar w:fldCharType="separate"/>
            </w:r>
            <w:r>
              <w:rPr>
                <w:rStyle w:val="Style20"/>
              </w:rPr>
              <w:t>Основные сведения о закупке</w:t>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26">
            <w:r>
              <w:rPr>
                <w:webHidden/>
                <w:rStyle w:val="Style20"/>
                <w:vanish w:val="false"/>
              </w:rPr>
              <w:t>1.1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_Toc228976326 \h</w:instrText>
            </w:r>
            <w:r>
              <w:rPr>
                <w:webHidden/>
              </w:rPr>
              <w:fldChar w:fldCharType="separate"/>
            </w:r>
            <w:r>
              <w:rPr>
                <w:rStyle w:val="Style20"/>
              </w:rPr>
              <w:t>Статус настоящего раздела</w:t>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27">
            <w:r>
              <w:rPr>
                <w:webHidden/>
                <w:rStyle w:val="Style20"/>
                <w:vanish w:val="false"/>
              </w:rPr>
              <w:t>1.2</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_Toc228976327 \h</w:instrText>
            </w:r>
            <w:r>
              <w:rPr>
                <w:webHidden/>
              </w:rPr>
              <w:fldChar w:fldCharType="separate"/>
            </w:r>
            <w:r>
              <w:rPr>
                <w:rStyle w:val="Style20"/>
              </w:rPr>
              <w:t>Информация о проводимой закупке</w:t>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28">
            <w:r>
              <w:rPr>
                <w:webHidden/>
                <w:rStyle w:val="Style20"/>
                <w:vanish w:val="false"/>
              </w:rPr>
              <w:t>2.</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_Toc228976328 \h</w:instrText>
            </w:r>
            <w:r>
              <w:rPr>
                <w:webHidden/>
              </w:rPr>
              <w:fldChar w:fldCharType="separate"/>
            </w:r>
            <w:r>
              <w:rPr>
                <w:rStyle w:val="Style20"/>
              </w:rPr>
              <w:t>Общие положения</w:t>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29">
            <w:r>
              <w:rPr>
                <w:webHidden/>
                <w:rStyle w:val="Style20"/>
                <w:vanish w:val="false"/>
              </w:rPr>
              <w:t>2.1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_Toc228976329 \h</w:instrText>
            </w:r>
            <w:r>
              <w:rPr>
                <w:webHidden/>
              </w:rPr>
              <w:fldChar w:fldCharType="separate"/>
            </w:r>
            <w:r>
              <w:rPr>
                <w:rStyle w:val="Style20"/>
              </w:rPr>
              <w:t>Общие сведения о закупке</w:t>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30">
            <w:r>
              <w:rPr>
                <w:webHidden/>
                <w:rStyle w:val="Style20"/>
                <w:vanish w:val="false"/>
              </w:rPr>
              <w:t>2.2</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_Toc228976330 \h</w:instrText>
            </w:r>
            <w:r>
              <w:rPr>
                <w:webHidden/>
              </w:rPr>
              <w:fldChar w:fldCharType="separate"/>
            </w:r>
            <w:r>
              <w:rPr>
                <w:rStyle w:val="Style20"/>
              </w:rPr>
              <w:t>Правовой статус документов</w:t>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31">
            <w:r>
              <w:rPr>
                <w:webHidden/>
                <w:rStyle w:val="Style20"/>
                <w:vanish w:val="false"/>
              </w:rPr>
              <w:t>2.3</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_Toc228976331 \h</w:instrText>
            </w:r>
            <w:r>
              <w:rPr>
                <w:webHidden/>
              </w:rPr>
              <w:fldChar w:fldCharType="separate"/>
            </w:r>
            <w:r>
              <w:rPr>
                <w:rStyle w:val="Style20"/>
              </w:rPr>
              <w:t>Обжалование</w:t>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32">
            <w:r>
              <w:rPr>
                <w:webHidden/>
                <w:rStyle w:val="Style20"/>
                <w:vanish w:val="false"/>
              </w:rPr>
              <w:t>2.4</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_Toc228976332 \h</w:instrText>
            </w:r>
            <w:r>
              <w:rPr>
                <w:webHidden/>
              </w:rPr>
              <w:fldChar w:fldCharType="separate"/>
            </w:r>
            <w:r>
              <w:rPr>
                <w:rStyle w:val="Style20"/>
              </w:rPr>
              <w:t>Особые положения при проведении закупки с использованием ЭП</w:t>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33">
            <w:r>
              <w:rPr>
                <w:webHidden/>
                <w:rStyle w:val="Style20"/>
                <w:vanish w:val="false"/>
              </w:rPr>
              <w:t>2.5</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_Toc228976333 \h</w:instrText>
            </w:r>
            <w:r>
              <w:rPr>
                <w:webHidden/>
              </w:rPr>
              <w:fldChar w:fldCharType="separate"/>
            </w:r>
            <w:r>
              <w:rPr>
                <w:rStyle w:val="Style20"/>
              </w:rPr>
              <w:t>Прочие положения</w:t>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34">
            <w:r>
              <w:rPr>
                <w:webHidden/>
                <w:rStyle w:val="Style20"/>
                <w:vanish w:val="false"/>
              </w:rPr>
              <w:t>3.</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_Toc228976334 \h</w:instrText>
            </w:r>
            <w:r>
              <w:rPr>
                <w:webHidden/>
              </w:rPr>
              <w:fldChar w:fldCharType="separate"/>
            </w:r>
            <w:r>
              <w:rPr>
                <w:rStyle w:val="Style20"/>
              </w:rPr>
              <w:t>Требования к Участникам</w:t>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35">
            <w:r>
              <w:rPr>
                <w:webHidden/>
                <w:rStyle w:val="Style20"/>
                <w:vanish w:val="false"/>
              </w:rPr>
              <w:t>3.1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_Toc228976335 \h</w:instrText>
            </w:r>
            <w:r>
              <w:rPr>
                <w:webHidden/>
              </w:rPr>
              <w:fldChar w:fldCharType="separate"/>
            </w:r>
            <w:r>
              <w:rPr>
                <w:rStyle w:val="Style20"/>
              </w:rPr>
              <w:t>Общие требования к Участникам</w:t>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36">
            <w:r>
              <w:rPr>
                <w:webHidden/>
                <w:rStyle w:val="Style20"/>
                <w:vanish w:val="false"/>
              </w:rPr>
              <w:t>3.2</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_Toc228976336 \h</w:instrText>
            </w:r>
            <w:r>
              <w:rPr>
                <w:webHidden/>
              </w:rPr>
              <w:fldChar w:fldCharType="separate"/>
            </w:r>
            <w:r>
              <w:rPr>
                <w:rStyle w:val="Style20"/>
              </w:rPr>
              <w:t>Коллективные участники</w:t>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37">
            <w:r>
              <w:rPr>
                <w:webHidden/>
                <w:rStyle w:val="Style20"/>
                <w:vanish w:val="false"/>
              </w:rPr>
              <w:t>3.3</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_Toc228976337 \h</w:instrText>
            </w:r>
            <w:r>
              <w:rPr>
                <w:webHidden/>
              </w:rPr>
              <w:fldChar w:fldCharType="separate"/>
            </w:r>
            <w:r>
              <w:rPr>
                <w:rStyle w:val="Style20"/>
              </w:rPr>
              <w:t>Генеральные подрядчики</w:t>
              <w:tab/>
              <w:t>30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38">
            <w:r>
              <w:rPr>
                <w:webHidden/>
                <w:rStyle w:val="Style20"/>
                <w:vanish w:val="false"/>
              </w:rPr>
              <w:t>4.</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_Toc228976338 \h</w:instrText>
            </w:r>
            <w:r>
              <w:rPr>
                <w:webHidden/>
              </w:rPr>
              <w:fldChar w:fldCharType="separate"/>
            </w:r>
            <w:r>
              <w:rPr>
                <w:rStyle w:val="Style20"/>
              </w:rPr>
              <w:t>Порядок проведения закупки</w:t>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39">
            <w:r>
              <w:rPr>
                <w:webHidden/>
                <w:rStyle w:val="Style20"/>
                <w:vanish w:val="false"/>
              </w:rPr>
              <w:t>4.1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_Toc228976339 \h</w:instrText>
            </w:r>
            <w:r>
              <w:rPr>
                <w:webHidden/>
              </w:rPr>
              <w:fldChar w:fldCharType="separate"/>
            </w:r>
            <w:r>
              <w:rPr>
                <w:rStyle w:val="Style20"/>
              </w:rPr>
              <w:t>Общий порядок проведения закупки</w:t>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40">
            <w:r>
              <w:rPr>
                <w:webHidden/>
                <w:rStyle w:val="Style20"/>
                <w:vanish w:val="false"/>
              </w:rPr>
              <w:t>4.2</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_Toc228976340 \h</w:instrText>
            </w:r>
            <w:r>
              <w:rPr>
                <w:webHidden/>
              </w:rPr>
              <w:fldChar w:fldCharType="separate"/>
            </w:r>
            <w:r>
              <w:rPr>
                <w:rStyle w:val="Style20"/>
              </w:rPr>
              <w:t>Официальное размещение Извещения и Документации о закупке</w:t>
              <w:tab/>
              <w:t>34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41">
            <w:r>
              <w:rPr>
                <w:webHidden/>
                <w:rStyle w:val="Style20"/>
                <w:vanish w:val="false"/>
              </w:rPr>
              <w:t>4.3</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_Toc228976341 \h</w:instrText>
            </w:r>
            <w:r>
              <w:rPr>
                <w:webHidden/>
              </w:rPr>
              <w:fldChar w:fldCharType="separate"/>
            </w:r>
            <w:r>
              <w:rPr>
                <w:rStyle w:val="Style20"/>
              </w:rPr>
              <w:t>Подготовка заявки</w:t>
              <w:tab/>
              <w:t>34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42">
            <w:r>
              <w:rPr>
                <w:webHidden/>
                <w:rStyle w:val="Style20"/>
                <w:vanish w:val="false"/>
              </w:rPr>
              <w:t>4.4</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_Toc228976342 \h</w:instrText>
            </w:r>
            <w:r>
              <w:rPr>
                <w:webHidden/>
              </w:rPr>
              <w:fldChar w:fldCharType="separate"/>
            </w:r>
            <w:r>
              <w:rPr>
                <w:rStyle w:val="Style20"/>
              </w:rPr>
              <w:t>Разъяснение Документации о закупке</w:t>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43">
            <w:r>
              <w:rPr>
                <w:webHidden/>
                <w:rStyle w:val="Style20"/>
                <w:vanish w:val="false"/>
              </w:rPr>
              <w:t>4.5</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_Toc228976343 \h</w:instrText>
            </w:r>
            <w:r>
              <w:rPr>
                <w:webHidden/>
              </w:rPr>
              <w:fldChar w:fldCharType="separate"/>
            </w:r>
            <w:r>
              <w:rPr>
                <w:rStyle w:val="Style20"/>
              </w:rPr>
              <w:t>Изменения Извещения и (или) Документации о закупке</w:t>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44">
            <w:r>
              <w:rPr>
                <w:webHidden/>
                <w:rStyle w:val="Style20"/>
                <w:vanish w:val="false"/>
              </w:rPr>
              <w:t>4.6</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_Toc228976344 \h</w:instrText>
            </w:r>
            <w:r>
              <w:rPr>
                <w:webHidden/>
              </w:rPr>
              <w:fldChar w:fldCharType="separate"/>
            </w:r>
            <w:r>
              <w:rPr>
                <w:rStyle w:val="Style20"/>
              </w:rPr>
              <w:t>Подача заявок и их прием</w:t>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45">
            <w:r>
              <w:rPr>
                <w:webHidden/>
                <w:rStyle w:val="Style20"/>
                <w:vanish w:val="false"/>
              </w:rPr>
              <w:t>4.7</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_Toc228976345 \h</w:instrText>
            </w:r>
            <w:r>
              <w:rPr>
                <w:webHidden/>
              </w:rPr>
              <w:fldChar w:fldCharType="separate"/>
            </w:r>
            <w:r>
              <w:rPr>
                <w:rStyle w:val="Style20"/>
              </w:rPr>
              <w:t>Изменение и отзыв заявок</w:t>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46">
            <w:r>
              <w:rPr>
                <w:webHidden/>
                <w:rStyle w:val="Style20"/>
                <w:vanish w:val="false"/>
              </w:rPr>
              <w:t>4.8</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_Toc228976346 \h</w:instrText>
            </w:r>
            <w:r>
              <w:rPr>
                <w:webHidden/>
              </w:rPr>
              <w:fldChar w:fldCharType="separate"/>
            </w:r>
            <w:r>
              <w:rPr>
                <w:rStyle w:val="Style20"/>
              </w:rPr>
              <w:t>Открытие доступа к заявкам</w:t>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47">
            <w:r>
              <w:rPr>
                <w:webHidden/>
                <w:rStyle w:val="Style20"/>
                <w:vanish w:val="false"/>
              </w:rPr>
              <w:t>4.9</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_Toc228976347 \h</w:instrText>
            </w:r>
            <w:r>
              <w:rPr>
                <w:webHidden/>
              </w:rPr>
              <w:fldChar w:fldCharType="separate"/>
            </w:r>
            <w:r>
              <w:rPr>
                <w:rStyle w:val="Style20"/>
              </w:rPr>
              <w:t>Рассмотрение заявок (отборочная стадия), в том числе (при необходимости) проведение аккредитации</w:t>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48">
            <w:r>
              <w:rPr>
                <w:webHidden/>
                <w:rStyle w:val="Style20"/>
                <w:vanish w:val="false"/>
              </w:rPr>
              <w:t>4.10</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_Toc228976348 \h</w:instrText>
            </w:r>
            <w:r>
              <w:rPr>
                <w:webHidden/>
              </w:rPr>
              <w:fldChar w:fldCharType="separate"/>
            </w:r>
            <w:r>
              <w:rPr>
                <w:rStyle w:val="Style20"/>
              </w:rPr>
              <w:t>Дополнительные запросы разъяснений заявок</w:t>
              <w:tab/>
              <w:t>42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49">
            <w:r>
              <w:rPr>
                <w:webHidden/>
                <w:rStyle w:val="Style20"/>
                <w:vanish w:val="false"/>
              </w:rPr>
              <w:t>4.11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_Toc228976349 \h</w:instrText>
            </w:r>
            <w:r>
              <w:rPr>
                <w:webHidden/>
              </w:rPr>
              <w:fldChar w:fldCharType="separate"/>
            </w:r>
            <w:r>
              <w:rPr>
                <w:rStyle w:val="Style20"/>
              </w:rPr>
              <w:t>Переторжка</w:t>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50">
            <w:r>
              <w:rPr>
                <w:webHidden/>
                <w:rStyle w:val="Style20"/>
                <w:vanish w:val="false"/>
              </w:rPr>
              <w:t>4.12</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_Toc228976350 \h</w:instrText>
            </w:r>
            <w:r>
              <w:rPr>
                <w:webHidden/>
              </w:rPr>
              <w:fldChar w:fldCharType="separate"/>
            </w:r>
            <w:r>
              <w:rPr>
                <w:rStyle w:val="Style20"/>
              </w:rPr>
              <w:t>Оценка и сопоставление заявок</w:t>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51">
            <w:r>
              <w:rPr>
                <w:webHidden/>
                <w:rStyle w:val="Style20"/>
                <w:vanish w:val="false"/>
              </w:rPr>
              <w:t>4.13</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_Toc228976351 \h</w:instrText>
            </w:r>
            <w:r>
              <w:rPr>
                <w:webHidden/>
              </w:rPr>
              <w:fldChar w:fldCharType="separate"/>
            </w:r>
            <w:r>
              <w:rPr>
                <w:rStyle w:val="Style20"/>
              </w:rPr>
              <w:t>Применение законодательства о национальном режиме</w:t>
              <w:tab/>
              <w:t>47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52">
            <w:r>
              <w:rPr>
                <w:webHidden/>
                <w:rStyle w:val="Style20"/>
                <w:vanish w:val="false"/>
              </w:rPr>
              <w:t>4.14</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_Toc228976352 \h</w:instrText>
            </w:r>
            <w:r>
              <w:rPr>
                <w:webHidden/>
              </w:rPr>
              <w:fldChar w:fldCharType="separate"/>
            </w:r>
            <w:r>
              <w:rPr>
                <w:rStyle w:val="Style20"/>
              </w:rPr>
              <w:t>Подведение итогов закупки (определение Победителя)</w:t>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53">
            <w:r>
              <w:rPr>
                <w:webHidden/>
                <w:rStyle w:val="Style20"/>
                <w:vanish w:val="false"/>
              </w:rPr>
              <w:t>4.15</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_Toc228976353 \h</w:instrText>
            </w:r>
            <w:r>
              <w:rPr>
                <w:webHidden/>
              </w:rPr>
              <w:fldChar w:fldCharType="separate"/>
            </w:r>
            <w:r>
              <w:rPr>
                <w:rStyle w:val="Style20"/>
              </w:rPr>
              <w:t>Признание закупки несостоявшейся</w:t>
              <w:tab/>
              <w:t>51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54">
            <w:r>
              <w:rPr>
                <w:webHidden/>
                <w:rStyle w:val="Style20"/>
                <w:vanish w:val="false"/>
              </w:rPr>
              <w:t>4.16</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_Toc228976354 \h</w:instrText>
            </w:r>
            <w:r>
              <w:rPr>
                <w:webHidden/>
              </w:rPr>
              <w:fldChar w:fldCharType="separate"/>
            </w:r>
            <w:r>
              <w:rPr>
                <w:rStyle w:val="Style20"/>
              </w:rPr>
              <w:t>Отказ от проведения закупки (отмена закупки)</w:t>
              <w:tab/>
              <w:t>52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55">
            <w:r>
              <w:rPr>
                <w:webHidden/>
                <w:rStyle w:val="Style20"/>
                <w:vanish w:val="false"/>
              </w:rPr>
              <w:t>4.17</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_Toc228976355 \h</w:instrText>
            </w:r>
            <w:r>
              <w:rPr>
                <w:webHidden/>
              </w:rPr>
              <w:fldChar w:fldCharType="separate"/>
            </w:r>
            <w:r>
              <w:rPr>
                <w:rStyle w:val="Style20"/>
              </w:rPr>
              <w:t>Особенности проведения закупки с необходимостью обеспечения заявки</w:t>
              <w:tab/>
              <w:t>52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56">
            <w:r>
              <w:rPr>
                <w:webHidden/>
                <w:rStyle w:val="Style20"/>
                <w:vanish w:val="false"/>
              </w:rPr>
              <w:t>4.18</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_Toc228976356 \h</w:instrText>
            </w:r>
            <w:r>
              <w:rPr>
                <w:webHidden/>
              </w:rPr>
              <w:fldChar w:fldCharType="separate"/>
            </w:r>
            <w:r>
              <w:rPr>
                <w:rStyle w:val="Style20"/>
              </w:rPr>
              <w:t>Особенности проведения многолотовой закупки</w:t>
              <w:tab/>
              <w:t>55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57">
            <w:r>
              <w:rPr>
                <w:webHidden/>
                <w:rStyle w:val="Style20"/>
                <w:vanish w:val="false"/>
              </w:rPr>
              <w:t>4.19</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_Toc228976357 \h</w:instrText>
            </w:r>
            <w:r>
              <w:rPr>
                <w:webHidden/>
              </w:rPr>
              <w:fldChar w:fldCharType="separate"/>
            </w:r>
            <w:r>
              <w:rPr>
                <w:rStyle w:val="Style20"/>
              </w:rPr>
              <w:t>Особенности проведения закупки с возможностью подачи альтернативных предложений</w:t>
              <w:tab/>
              <w:t>56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58">
            <w:r>
              <w:rPr>
                <w:webHidden/>
                <w:rStyle w:val="Style20"/>
                <w:vanish w:val="false"/>
              </w:rPr>
              <w:t>5.</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_Toc228976358 \h</w:instrText>
            </w:r>
            <w:r>
              <w:rPr>
                <w:webHidden/>
              </w:rPr>
              <w:fldChar w:fldCharType="separate"/>
            </w:r>
            <w:r>
              <w:rPr>
                <w:rStyle w:val="Style20"/>
              </w:rPr>
              <w:t>Порядок заключения Договора</w:t>
              <w:tab/>
              <w:t>58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59">
            <w:r>
              <w:rPr>
                <w:webHidden/>
                <w:rStyle w:val="Style20"/>
                <w:vanish w:val="false"/>
              </w:rPr>
              <w:t>5.1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_Toc228976359 \h</w:instrText>
            </w:r>
            <w:r>
              <w:rPr>
                <w:webHidden/>
              </w:rPr>
              <w:fldChar w:fldCharType="separate"/>
            </w:r>
            <w:r>
              <w:rPr>
                <w:rStyle w:val="Style20"/>
              </w:rPr>
              <w:t>Общие положения</w:t>
              <w:tab/>
              <w:t>58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60">
            <w:r>
              <w:rPr>
                <w:webHidden/>
                <w:rStyle w:val="Style20"/>
                <w:vanish w:val="false"/>
              </w:rPr>
              <w:t>5.2</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_Toc228976360 \h</w:instrText>
            </w:r>
            <w:r>
              <w:rPr>
                <w:webHidden/>
              </w:rPr>
              <w:fldChar w:fldCharType="separate"/>
            </w:r>
            <w:r>
              <w:rPr>
                <w:rStyle w:val="Style20"/>
              </w:rPr>
              <w:t>Заключение Договора</w:t>
              <w:tab/>
              <w:t>58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61">
            <w:r>
              <w:rPr>
                <w:webHidden/>
                <w:rStyle w:val="Style20"/>
                <w:vanish w:val="false"/>
              </w:rPr>
              <w:t>5.3</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_Toc228976361 \h</w:instrText>
            </w:r>
            <w:r>
              <w:rPr>
                <w:webHidden/>
              </w:rPr>
              <w:fldChar w:fldCharType="separate"/>
            </w:r>
            <w:r>
              <w:rPr>
                <w:rStyle w:val="Style20"/>
              </w:rPr>
              <w:t>Преддоговорные переговоры</w:t>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62">
            <w:r>
              <w:rPr>
                <w:webHidden/>
                <w:rStyle w:val="Style20"/>
                <w:vanish w:val="false"/>
              </w:rPr>
              <w:t>5.4</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_Toc228976362 \h</w:instrText>
            </w:r>
            <w:r>
              <w:rPr>
                <w:webHidden/>
              </w:rPr>
              <w:fldChar w:fldCharType="separate"/>
            </w:r>
            <w:r>
              <w:rPr>
                <w:rStyle w:val="Style20"/>
              </w:rPr>
              <w:t>Уклонение Победителя от заключения Договора</w:t>
              <w:tab/>
              <w:t>62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63">
            <w:r>
              <w:rPr>
                <w:webHidden/>
                <w:rStyle w:val="Style20"/>
                <w:vanish w:val="false"/>
              </w:rPr>
              <w:t>6.</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_Toc228976363 \h</w:instrText>
            </w:r>
            <w:r>
              <w:rPr>
                <w:webHidden/>
              </w:rPr>
              <w:fldChar w:fldCharType="separate"/>
            </w:r>
            <w:r>
              <w:rPr>
                <w:rStyle w:val="Style20"/>
              </w:rPr>
              <w:t>Приложение № 1 – Технические требования</w:t>
              <w:tab/>
              <w:t>63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64">
            <w:r>
              <w:rPr>
                <w:webHidden/>
                <w:rStyle w:val="Style20"/>
                <w:vanish w:val="false"/>
              </w:rPr>
              <w:t>6.1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_Toc228976364 \h</w:instrText>
            </w:r>
            <w:r>
              <w:rPr>
                <w:webHidden/>
              </w:rPr>
              <w:fldChar w:fldCharType="separate"/>
            </w:r>
            <w:r>
              <w:rPr>
                <w:rStyle w:val="Style20"/>
              </w:rPr>
              <w:t>Пояснения к Техническим требованиям</w:t>
              <w:tab/>
              <w:t>63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65">
            <w:r>
              <w:rPr>
                <w:webHidden/>
                <w:rStyle w:val="Style20"/>
                <w:vanish w:val="false"/>
              </w:rPr>
              <w:t>7.</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_Toc228976365 \h</w:instrText>
            </w:r>
            <w:r>
              <w:rPr>
                <w:webHidden/>
              </w:rPr>
              <w:fldChar w:fldCharType="separate"/>
            </w:r>
            <w:r>
              <w:rPr>
                <w:rStyle w:val="Style20"/>
              </w:rPr>
              <w:t>Приложение № 2 – Проект договора</w:t>
              <w:tab/>
              <w:t>64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66">
            <w:r>
              <w:rPr>
                <w:webHidden/>
                <w:rStyle w:val="Style20"/>
                <w:vanish w:val="false"/>
              </w:rPr>
              <w:t>7.1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_Toc228976366 \h</w:instrText>
            </w:r>
            <w:r>
              <w:rPr>
                <w:webHidden/>
              </w:rPr>
              <w:fldChar w:fldCharType="separate"/>
            </w:r>
            <w:r>
              <w:rPr>
                <w:rStyle w:val="Style20"/>
              </w:rPr>
              <w:t>Пояснения к Проекту договора</w:t>
              <w:tab/>
              <w:t>64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67">
            <w:r>
              <w:rPr>
                <w:webHidden/>
                <w:rStyle w:val="Style20"/>
                <w:vanish w:val="false"/>
              </w:rPr>
              <w:t>8.</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_Toc228976367 \h</w:instrText>
            </w:r>
            <w:r>
              <w:rPr>
                <w:webHidden/>
              </w:rPr>
              <w:fldChar w:fldCharType="separate"/>
            </w:r>
            <w:r>
              <w:rPr>
                <w:rStyle w:val="Style20"/>
              </w:rPr>
              <w:t>Приложение № 3 – Требования к Участникам</w:t>
              <w:tab/>
              <w:t>65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68">
            <w:r>
              <w:rPr>
                <w:webHidden/>
                <w:rStyle w:val="Style20"/>
                <w:vanish w:val="false"/>
              </w:rPr>
              <w:t>8.1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_Toc228976368 \h</w:instrText>
            </w:r>
            <w:r>
              <w:rPr>
                <w:webHidden/>
              </w:rPr>
              <w:fldChar w:fldCharType="separate"/>
            </w:r>
            <w:r>
              <w:rPr>
                <w:rStyle w:val="Style20"/>
              </w:rPr>
              <w:t>Пояснения к требованиям к Участникам</w:t>
              <w:tab/>
              <w:t>65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69">
            <w:r>
              <w:rPr>
                <w:webHidden/>
                <w:rStyle w:val="Style20"/>
                <w:vanish w:val="false"/>
              </w:rPr>
              <w:t>8.2</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_Toc228976369 \h</w:instrText>
            </w:r>
            <w:r>
              <w:rPr>
                <w:webHidden/>
              </w:rPr>
              <w:fldChar w:fldCharType="separate"/>
            </w:r>
            <w:r>
              <w:rPr>
                <w:rStyle w:val="Style20"/>
              </w:rPr>
              <w:t>Обязательные требования</w:t>
              <w:tab/>
              <w:t>65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70">
            <w:r>
              <w:rPr>
                <w:webHidden/>
                <w:rStyle w:val="Style20"/>
                <w:vanish w:val="false"/>
              </w:rPr>
              <w:t>8.3</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_Toc228976370 \h</w:instrText>
            </w:r>
            <w:r>
              <w:rPr>
                <w:webHidden/>
              </w:rPr>
              <w:fldChar w:fldCharType="separate"/>
            </w:r>
            <w:r>
              <w:rPr>
                <w:rStyle w:val="Style20"/>
              </w:rPr>
              <w:t>Специальные требования</w:t>
              <w:tab/>
              <w:t>68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71">
            <w:r>
              <w:rPr>
                <w:webHidden/>
                <w:rStyle w:val="Style20"/>
                <w:vanish w:val="false"/>
              </w:rPr>
              <w:t>8.4</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_Toc228976371 \h</w:instrText>
            </w:r>
            <w:r>
              <w:rPr>
                <w:webHidden/>
              </w:rPr>
              <w:fldChar w:fldCharType="separate"/>
            </w:r>
            <w:r>
              <w:rPr>
                <w:rStyle w:val="Style20"/>
              </w:rPr>
              <w:t>Квалификационные требования</w:t>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72">
            <w:r>
              <w:rPr>
                <w:webHidden/>
                <w:rStyle w:val="Style20"/>
                <w:vanish w:val="false"/>
              </w:rPr>
              <w:t>8.5</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_Toc228976372 \h</w:instrText>
            </w:r>
            <w:r>
              <w:rPr>
                <w:webHidden/>
              </w:rPr>
              <w:fldChar w:fldCharType="separate"/>
            </w:r>
            <w:r>
              <w:rPr>
                <w:rStyle w:val="Style20"/>
              </w:rPr>
              <w:t>Дополнительные требования к Коллективным участникам</w:t>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73">
            <w:r>
              <w:rPr>
                <w:webHidden/>
                <w:rStyle w:val="Style20"/>
                <w:vanish w:val="false"/>
              </w:rPr>
              <w:t>8.6</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_Toc228976373 \h</w:instrText>
            </w:r>
            <w:r>
              <w:rPr>
                <w:webHidden/>
              </w:rPr>
              <w:fldChar w:fldCharType="separate"/>
            </w:r>
            <w:r>
              <w:rPr>
                <w:rStyle w:val="Style20"/>
              </w:rPr>
              <w:t>Дополнительные требования к Генеральным подрядчикам</w:t>
              <w:tab/>
              <w:t>71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74">
            <w:r>
              <w:rPr>
                <w:webHidden/>
                <w:rStyle w:val="Style20"/>
                <w:vanish w:val="false"/>
              </w:rPr>
              <w:t>9.</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_Toc228976374 \h</w:instrText>
            </w:r>
            <w:r>
              <w:rPr>
                <w:webHidden/>
              </w:rPr>
              <w:fldChar w:fldCharType="separate"/>
            </w:r>
            <w:r>
              <w:rPr>
                <w:rStyle w:val="Style20"/>
              </w:rPr>
              <w:t>Приложение № 4 – Образцы форм документов, включаемых в состав заявки</w:t>
              <w:tab/>
              <w:t>73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75">
            <w:r>
              <w:rPr>
                <w:webHidden/>
                <w:rStyle w:val="Style20"/>
                <w:vanish w:val="false"/>
              </w:rPr>
              <w:t>9.1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_Toc228976375 \h</w:instrText>
            </w:r>
            <w:r>
              <w:rPr>
                <w:webHidden/>
              </w:rPr>
              <w:fldChar w:fldCharType="separate"/>
            </w:r>
            <w:r>
              <w:rPr>
                <w:rStyle w:val="Style20"/>
              </w:rPr>
              <w:t>Пояснения к Образцам форм документов, включаемых в состав заявки</w:t>
              <w:tab/>
              <w:t>73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76">
            <w:r>
              <w:rPr>
                <w:webHidden/>
                <w:rStyle w:val="Style20"/>
                <w:vanish w:val="false"/>
              </w:rPr>
              <w:t>10.</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_Toc228976376 \h</w:instrText>
            </w:r>
            <w:r>
              <w:rPr>
                <w:webHidden/>
              </w:rPr>
              <w:fldChar w:fldCharType="separate"/>
            </w:r>
            <w:r>
              <w:rPr>
                <w:rStyle w:val="Style20"/>
              </w:rPr>
              <w:t>Приложение № 5 – Образцы форм документов, предоставляемых Победителем</w:t>
              <w:tab/>
              <w:t>74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77">
            <w:r>
              <w:rPr>
                <w:webHidden/>
                <w:rStyle w:val="Style20"/>
                <w:vanish w:val="false"/>
              </w:rPr>
              <w:t>10.1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_Toc228976377 \h</w:instrText>
            </w:r>
            <w:r>
              <w:rPr>
                <w:webHidden/>
              </w:rPr>
              <w:fldChar w:fldCharType="separate"/>
            </w:r>
            <w:r>
              <w:rPr>
                <w:rStyle w:val="Style20"/>
              </w:rPr>
              <w:t>Пояснения к Образцам форм документов, предоставляемых Победителем</w:t>
              <w:tab/>
              <w:t>74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78">
            <w:r>
              <w:rPr>
                <w:webHidden/>
                <w:rStyle w:val="Style20"/>
                <w:vanish w:val="false"/>
              </w:rPr>
              <w:t>10.2</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_Toc228976378 \h</w:instrText>
            </w:r>
            <w:r>
              <w:rPr>
                <w:webHidden/>
              </w:rPr>
              <w:fldChar w:fldCharType="separate"/>
            </w:r>
            <w:r>
              <w:rPr>
                <w:rStyle w:val="Style20"/>
              </w:rPr>
              <w:t>Форма справки «Сведения о цепочке собственников, включая бенефициаров (в том числе конечных)»</w:t>
              <w:tab/>
              <w:t>74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79">
            <w:r>
              <w:rPr>
                <w:webHidden/>
                <w:rStyle w:val="Style20"/>
                <w:vanish w:val="false"/>
              </w:rPr>
              <w:t>10.3</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_Toc228976379 \h</w:instrText>
            </w:r>
            <w:r>
              <w:rPr>
                <w:webHidden/>
              </w:rPr>
              <w:fldChar w:fldCharType="separate"/>
            </w:r>
            <w:r>
              <w:rPr>
                <w:rStyle w:val="Style20"/>
              </w:rPr>
              <w:t>Форма «Заверение об обстоятельствах»</w:t>
              <w:tab/>
              <w:t>74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80">
            <w:r>
              <w:rPr>
                <w:webHidden/>
                <w:rStyle w:val="Style20"/>
                <w:vanish w:val="false"/>
              </w:rPr>
              <w:t>11.</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_Toc228976380 \h</w:instrText>
            </w:r>
            <w:r>
              <w:rPr>
                <w:webHidden/>
              </w:rPr>
              <w:fldChar w:fldCharType="separate"/>
            </w:r>
            <w:r>
              <w:rPr>
                <w:rStyle w:val="Style20"/>
              </w:rPr>
              <w:t>Приложение № 6 – Состав заявки</w:t>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81">
            <w:r>
              <w:rPr>
                <w:webHidden/>
                <w:rStyle w:val="Style20"/>
                <w:vanish w:val="false"/>
              </w:rPr>
              <w:t>11.1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_Toc228976381 \h</w:instrText>
            </w:r>
            <w:r>
              <w:rPr>
                <w:webHidden/>
              </w:rPr>
              <w:fldChar w:fldCharType="separate"/>
            </w:r>
            <w:r>
              <w:rPr>
                <w:rStyle w:val="Style20"/>
              </w:rPr>
              <w:t>Состав заявки</w:t>
              <w:tab/>
              <w:t>76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82">
            <w:r>
              <w:rPr>
                <w:webHidden/>
                <w:rStyle w:val="Style20"/>
                <w:vanish w:val="false"/>
              </w:rPr>
              <w:t>12.</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_Toc228976382 \h</w:instrText>
            </w:r>
            <w:r>
              <w:rPr>
                <w:webHidden/>
              </w:rPr>
              <w:fldChar w:fldCharType="separate"/>
            </w:r>
            <w:r>
              <w:rPr>
                <w:rStyle w:val="Style20"/>
              </w:rPr>
              <w:t>Приложение № 7 – Отборочные критерии рассмотрения заявок</w:t>
              <w:tab/>
              <w:t>79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83">
            <w:r>
              <w:rPr>
                <w:webHidden/>
                <w:rStyle w:val="Style20"/>
                <w:vanish w:val="false"/>
              </w:rPr>
              <w:t>12.1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_Toc228976383 \h</w:instrText>
            </w:r>
            <w:r>
              <w:rPr>
                <w:webHidden/>
              </w:rPr>
              <w:fldChar w:fldCharType="separate"/>
            </w:r>
            <w:r>
              <w:rPr>
                <w:rStyle w:val="Style20"/>
              </w:rPr>
              <w:t>Отборочные критерии рассмотрения заявок</w:t>
              <w:tab/>
              <w:t>79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84">
            <w:r>
              <w:rPr>
                <w:webHidden/>
                <w:rStyle w:val="Style20"/>
                <w:vanish w:val="false"/>
              </w:rPr>
              <w:t>12.2</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_Toc228976384 \h</w:instrText>
            </w:r>
            <w:r>
              <w:rPr>
                <w:webHidden/>
              </w:rPr>
              <w:fldChar w:fldCharType="separate"/>
            </w:r>
            <w:r>
              <w:rPr>
                <w:rStyle w:val="Style20"/>
              </w:rPr>
              <w:t>Дополнительные критерии проверки заявок на соответствие условиям Документации о закупке</w:t>
              <w:tab/>
              <w:t>84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85">
            <w:r>
              <w:rPr>
                <w:webHidden/>
                <w:rStyle w:val="Style20"/>
                <w:vanish w:val="false"/>
              </w:rPr>
              <w:t>13.</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_Toc228976385 \h</w:instrText>
            </w:r>
            <w:r>
              <w:rPr>
                <w:webHidden/>
              </w:rPr>
              <w:fldChar w:fldCharType="separate"/>
            </w:r>
            <w:r>
              <w:rPr>
                <w:rStyle w:val="Style20"/>
              </w:rPr>
              <w:t>Приложение № 8 – Порядок и критерии оценки и сопоставления заявок</w:t>
              <w:tab/>
              <w:t>86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86">
            <w:r>
              <w:rPr>
                <w:webHidden/>
                <w:rStyle w:val="Style20"/>
                <w:vanish w:val="false"/>
              </w:rPr>
              <w:t>13.1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_Toc228976386 \h</w:instrText>
            </w:r>
            <w:r>
              <w:rPr>
                <w:webHidden/>
              </w:rPr>
              <w:fldChar w:fldCharType="separate"/>
            </w:r>
            <w:r>
              <w:rPr>
                <w:rStyle w:val="Style20"/>
              </w:rPr>
              <w:t>Порядок и критерии оценки и сопоставления заявок</w:t>
              <w:tab/>
              <w:t>86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87">
            <w:r>
              <w:rPr>
                <w:webHidden/>
                <w:rStyle w:val="Style20"/>
                <w:vanish w:val="false"/>
              </w:rPr>
              <w:t>13.2</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_Toc228976387 \h</w:instrText>
            </w:r>
            <w:r>
              <w:rPr>
                <w:webHidden/>
              </w:rPr>
              <w:fldChar w:fldCharType="separate"/>
            </w:r>
            <w:r>
              <w:rPr>
                <w:rStyle w:val="Style20"/>
              </w:rPr>
              <w:t>Порядок и критерии оценки и сопоставления заявок</w:t>
              <w:tab/>
              <w:t>91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88">
            <w:r>
              <w:rPr>
                <w:webHidden/>
                <w:rStyle w:val="Style20"/>
                <w:vanish w:val="false"/>
              </w:rPr>
              <w:t>14.</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_Toc228976388 \h</w:instrText>
            </w:r>
            <w:r>
              <w:rPr>
                <w:webHidden/>
              </w:rPr>
              <w:fldChar w:fldCharType="separate"/>
            </w:r>
            <w:r>
              <w:rPr>
                <w:rStyle w:val="Style20"/>
              </w:rPr>
              <w:t>Приложение № 9 – Обоснование НМЦ</w:t>
              <w:tab/>
              <w:t>92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89">
            <w:r>
              <w:rPr>
                <w:webHidden/>
                <w:rStyle w:val="Style20"/>
                <w:vanish w:val="false"/>
              </w:rPr>
              <w:t>14.1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_Toc228976389 \h</w:instrText>
            </w:r>
            <w:r>
              <w:rPr>
                <w:webHidden/>
              </w:rPr>
              <w:fldChar w:fldCharType="separate"/>
            </w:r>
            <w:r>
              <w:rPr>
                <w:rStyle w:val="Style20"/>
              </w:rPr>
              <w:t>Пояснения к Обоснованию НМЦ</w:t>
              <w:tab/>
              <w:t>92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90">
            <w:r>
              <w:rPr>
                <w:webHidden/>
                <w:rStyle w:val="Style20"/>
                <w:vanish w:val="false"/>
              </w:rPr>
              <w:t>15.</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_Toc228976390 \h</w:instrText>
            </w:r>
            <w:r>
              <w:rPr>
                <w:webHidden/>
              </w:rPr>
              <w:fldChar w:fldCharType="separate"/>
            </w:r>
            <w:r>
              <w:rPr>
                <w:rStyle w:val="Style20"/>
              </w:rPr>
              <w:t>Приложение № 10 – Форма Заявки на аккредитацию</w:t>
              <w:tab/>
              <w:t>93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91">
            <w:r>
              <w:rPr>
                <w:webHidden/>
                <w:rStyle w:val="Style20"/>
                <w:vanish w:val="false"/>
              </w:rPr>
              <w:t>15.1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_Toc228976391 \h</w:instrText>
            </w:r>
            <w:r>
              <w:rPr>
                <w:webHidden/>
              </w:rPr>
              <w:fldChar w:fldCharType="separate"/>
            </w:r>
            <w:r>
              <w:rPr>
                <w:rStyle w:val="Style20"/>
              </w:rPr>
              <w:t>Пояснения к форме Заявки на аккредитацию</w:t>
              <w:tab/>
              <w:t>93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976392">
            <w:r>
              <w:rPr>
                <w:webHidden/>
                <w:rStyle w:val="Style20"/>
                <w:vanish w:val="false"/>
              </w:rPr>
              <w:t>16.</w:t>
            </w:r>
            <w:r>
              <w:rPr>
                <w:rStyle w:val="Style20"/>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webHidden/>
              </w:rPr>
              <w:fldChar w:fldCharType="begin"/>
            </w:r>
            <w:r>
              <w:rPr>
                <w:webHidden/>
              </w:rPr>
              <w:instrText xml:space="preserve">PAGEREF _Toc228976392 \h</w:instrText>
            </w:r>
            <w:r>
              <w:rPr>
                <w:webHidden/>
              </w:rPr>
              <w:fldChar w:fldCharType="separate"/>
            </w:r>
            <w:r>
              <w:rPr>
                <w:rStyle w:val="Style20"/>
              </w:rPr>
              <w:t>Приложение № 11 – форма Данных бухгалтерской (финансовой) отчетности</w:t>
              <w:tab/>
              <w:t>94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976393">
            <w:r>
              <w:rPr>
                <w:webHidden/>
                <w:rStyle w:val="Style20"/>
                <w:vanish w:val="false"/>
              </w:rPr>
              <w:t>16.1</w:t>
            </w:r>
            <w:r>
              <w:rPr>
                <w:rStyle w:val="Style20"/>
                <w:rFonts w:eastAsia="" w:ascii="Calibri" w:hAnsi="Calibri" w:asciiTheme="minorHAnsi" w:eastAsiaTheme="minorEastAsia" w:hAnsiTheme="minorHAnsi"/>
                <w:kern w:val="2"/>
                <w:sz w:val="24"/>
                <w:szCs w:val="24"/>
                <w:lang w:eastAsia="ru-RU"/>
                <w14:ligatures w14:val="standardContextual"/>
              </w:rPr>
              <w:tab/>
            </w:r>
            <w:r>
              <w:rPr>
                <w:webHidden/>
              </w:rPr>
              <w:fldChar w:fldCharType="begin"/>
            </w:r>
            <w:r>
              <w:rPr>
                <w:webHidden/>
              </w:rPr>
              <w:instrText xml:space="preserve">PAGEREF _Toc228976393 \h</w:instrText>
            </w:r>
            <w:r>
              <w:rPr>
                <w:webHidden/>
              </w:rPr>
              <w:fldChar w:fldCharType="separate"/>
            </w:r>
            <w:r>
              <w:rPr>
                <w:rStyle w:val="Style20"/>
              </w:rPr>
              <w:t>Пояснения к форме Данных бухгалтерской (финансовой) отчетности</w:t>
              <w:tab/>
              <w:t>94</w:t>
            </w:r>
            <w:r>
              <w:rPr>
                <w:webHidden/>
              </w:rPr>
              <w:fldChar w:fldCharType="end"/>
            </w:r>
          </w:hyperlink>
          <w:r>
            <w:rPr>
              <w:rStyle w:val="Style20"/>
            </w:rPr>
            <w:fldChar w:fldCharType="end"/>
          </w:r>
        </w:p>
      </w:sdtContent>
    </w:sdt>
    <w:p>
      <w:pPr>
        <w:pStyle w:val="Style31"/>
        <w:rPr/>
      </w:pPr>
      <w:r>
        <w:rPr/>
      </w:r>
    </w:p>
    <w:p>
      <w:pPr>
        <w:pStyle w:val="Style31"/>
        <w:keepNext w:val="true"/>
        <w:spacing w:before="60" w:after="0"/>
        <w:rPr>
          <w:rStyle w:val="Style17"/>
        </w:rPr>
      </w:pPr>
      <w:r>
        <w:rPr>
          <w:rStyle w:val="Style17"/>
        </w:rPr>
        <w:t xml:space="preserve">[Примечание (дополнительные удобства работы с Документацией о закупке; Microsoft Word | </w:t>
      </w:r>
      <w:r>
        <w:rPr>
          <w:rStyle w:val="Style17"/>
          <w:color w:val="4472C4" w:themeColor="accent1"/>
        </w:rPr>
        <w:t>AlterOffice AText – отмечены отличая для данного текстового редактора</w:t>
      </w:r>
      <w:r>
        <w:rPr>
          <w:rStyle w:val="Style17"/>
        </w:rPr>
        <w:t>):</w:t>
      </w:r>
    </w:p>
    <w:p>
      <w:pPr>
        <w:pStyle w:val="Style31"/>
        <w:numPr>
          <w:ilvl w:val="0"/>
          <w:numId w:val="11"/>
        </w:numPr>
        <w:spacing w:before="60" w:after="0"/>
        <w:ind w:hanging="284" w:left="284"/>
        <w:rPr>
          <w:rStyle w:val="Style17"/>
        </w:rPr>
      </w:pPr>
      <w:r>
        <w:rPr>
          <w:rStyle w:val="Style17"/>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7"/>
          <w:color w:val="4472C4" w:themeColor="accent1"/>
        </w:rPr>
        <w:t>включается на вкладке «Вид» опцией «Навигатор»</w:t>
      </w:r>
      <w:r>
        <w:rPr>
          <w:rStyle w:val="Style17"/>
        </w:rPr>
        <w:t>;</w:t>
      </w:r>
    </w:p>
    <w:p>
      <w:pPr>
        <w:pStyle w:val="Style31"/>
        <w:numPr>
          <w:ilvl w:val="0"/>
          <w:numId w:val="11"/>
        </w:numPr>
        <w:spacing w:before="60" w:after="0"/>
        <w:ind w:hanging="284" w:left="284"/>
        <w:rPr>
          <w:rStyle w:val="Style17"/>
        </w:rPr>
      </w:pPr>
      <w:r>
        <w:rPr>
          <w:rStyle w:val="Style17"/>
        </w:rPr>
        <w:t>переход по перекрестным и другим ссылкам осуществляется левым кликом мыши с</w:t>
      </w:r>
      <w:r>
        <w:rPr>
          <w:rStyle w:val="Style17"/>
          <w:lang w:val="en-US"/>
        </w:rPr>
        <w:t> </w:t>
      </w:r>
      <w:r>
        <w:rPr>
          <w:rStyle w:val="Style17"/>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7"/>
          <w:color w:val="4472C4" w:themeColor="accent1"/>
        </w:rPr>
        <w:t>(обратный переход функционально не реализован в AlterOffice AText, пользуйтесь функциональностью «Навигатор»)</w:t>
      </w:r>
      <w:r>
        <w:rPr>
          <w:rStyle w:val="Style17"/>
        </w:rPr>
        <w:t>;</w:t>
      </w:r>
    </w:p>
    <w:p>
      <w:pPr>
        <w:pStyle w:val="Style31"/>
        <w:numPr>
          <w:ilvl w:val="0"/>
          <w:numId w:val="11"/>
        </w:numPr>
        <w:spacing w:before="60" w:after="0"/>
        <w:ind w:hanging="284" w:left="284"/>
        <w:rPr>
          <w:rStyle w:val="Style17"/>
        </w:rPr>
      </w:pPr>
      <w:r>
        <w:rPr>
          <w:rStyle w:val="Style17"/>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7"/>
          <w:lang w:val="en-US"/>
        </w:rPr>
        <w:t> </w:t>
      </w:r>
      <w:r>
        <w:rPr>
          <w:rStyle w:val="Style17"/>
        </w:rPr>
        <w:t>тексте</w:t>
      </w:r>
    </w:p>
    <w:p>
      <w:pPr>
        <w:pStyle w:val="Style31"/>
        <w:numPr>
          <w:ilvl w:val="0"/>
          <w:numId w:val="11"/>
        </w:numPr>
        <w:spacing w:before="60" w:after="0"/>
        <w:ind w:hanging="284" w:left="284"/>
        <w:rPr>
          <w:rStyle w:val="Style17"/>
        </w:rPr>
      </w:pPr>
      <w:r>
        <w:rPr>
          <w:rStyle w:val="Style17"/>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7"/>
        </w:rPr>
        <w:t>.]</w:t>
      </w:r>
    </w:p>
    <w:p>
      <w:pPr>
        <w:pStyle w:val="Style30"/>
        <w:numPr>
          <w:ilvl w:val="0"/>
          <w:numId w:val="0"/>
        </w:numPr>
        <w:ind w:hanging="0" w:left="0"/>
        <w:outlineLvl w:val="0"/>
        <w:rPr/>
      </w:pPr>
      <w:bookmarkStart w:id="0" w:name="_Toc228976323"/>
      <w:r>
        <w:rPr/>
        <w:t>Сокращения</w:t>
      </w:r>
      <w:bookmarkEnd w:id="0"/>
    </w:p>
    <w:p>
      <w:pPr>
        <w:pStyle w:val="Style31"/>
        <w:ind w:firstLine="567"/>
        <w:rPr/>
      </w:pPr>
      <w:r>
        <w:rPr>
          <w:b/>
          <w:bCs/>
        </w:rPr>
        <w:t>ГК РФ</w:t>
      </w:r>
      <w:r>
        <w:rPr/>
        <w:t xml:space="preserve"> – Гражданской кодекс Российской Федерации.</w:t>
      </w:r>
    </w:p>
    <w:p>
      <w:pPr>
        <w:pStyle w:val="Style31"/>
        <w:ind w:firstLine="567"/>
        <w:rPr/>
      </w:pPr>
      <w:r>
        <w:rPr>
          <w:b/>
          <w:bCs/>
        </w:rPr>
        <w:t>ЕАЭС</w:t>
      </w:r>
      <w:r>
        <w:rPr/>
        <w:t xml:space="preserve"> – Евразийский экономический союз.</w:t>
      </w:r>
    </w:p>
    <w:p>
      <w:pPr>
        <w:pStyle w:val="Style31"/>
        <w:ind w:firstLine="567"/>
        <w:rPr/>
      </w:pPr>
      <w:r>
        <w:rPr>
          <w:b/>
          <w:bCs/>
        </w:rPr>
        <w:t>ЕГРИП</w:t>
      </w:r>
      <w:r>
        <w:rPr/>
        <w:t xml:space="preserve"> – Единый государственный реестр индивидуальных предпринимателей.</w:t>
      </w:r>
    </w:p>
    <w:p>
      <w:pPr>
        <w:pStyle w:val="Style31"/>
        <w:ind w:firstLine="567"/>
        <w:rPr/>
      </w:pPr>
      <w:r>
        <w:rPr>
          <w:b/>
          <w:bCs/>
        </w:rPr>
        <w:t>ЕГРЮЛ</w:t>
      </w:r>
      <w:r>
        <w:rPr/>
        <w:t xml:space="preserve"> – Единый государственный реестр юридических лиц.</w:t>
      </w:r>
    </w:p>
    <w:p>
      <w:pPr>
        <w:pStyle w:val="Style31"/>
        <w:ind w:firstLine="567"/>
        <w:rPr/>
      </w:pPr>
      <w:r>
        <w:rPr>
          <w:b/>
          <w:bCs/>
        </w:rPr>
        <w:t>ЕИС</w:t>
      </w:r>
      <w:r>
        <w:rPr/>
        <w:t xml:space="preserve"> – Единая информационная система в сфере закупок.</w:t>
      </w:r>
    </w:p>
    <w:p>
      <w:pPr>
        <w:pStyle w:val="Style31"/>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1"/>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1"/>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1"/>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1"/>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1"/>
        <w:ind w:firstLine="567"/>
        <w:rPr/>
      </w:pPr>
      <w:r>
        <w:rPr>
          <w:b/>
          <w:bCs/>
        </w:rPr>
        <w:t>Извещение</w:t>
      </w:r>
      <w:r>
        <w:rPr/>
        <w:t xml:space="preserve"> – извещение о проведении настоящей закупки.</w:t>
      </w:r>
    </w:p>
    <w:p>
      <w:pPr>
        <w:pStyle w:val="Style31"/>
        <w:ind w:firstLine="567"/>
        <w:rPr/>
      </w:pPr>
      <w:r>
        <w:rPr>
          <w:b/>
          <w:bCs/>
        </w:rPr>
        <w:t>ИНН</w:t>
      </w:r>
      <w:r>
        <w:rPr/>
        <w:t xml:space="preserve"> – идентификационный номер налогоплательщика.</w:t>
      </w:r>
    </w:p>
    <w:p>
      <w:pPr>
        <w:pStyle w:val="Style31"/>
        <w:ind w:firstLine="567"/>
        <w:rPr/>
      </w:pPr>
      <w:r>
        <w:rPr>
          <w:b/>
          <w:bCs/>
        </w:rPr>
        <w:t>ИФНС</w:t>
      </w:r>
      <w:r>
        <w:rPr/>
        <w:t xml:space="preserve"> – инспекция Федеральной налоговой службы Российской Федерации.</w:t>
      </w:r>
    </w:p>
    <w:p>
      <w:pPr>
        <w:pStyle w:val="Style31"/>
        <w:ind w:firstLine="567"/>
        <w:rPr/>
      </w:pPr>
      <w:r>
        <w:rPr>
          <w:b/>
          <w:bCs/>
        </w:rPr>
        <w:t>МТР</w:t>
      </w:r>
      <w:r>
        <w:rPr/>
        <w:t xml:space="preserve"> – материально-технические ресурсы.</w:t>
      </w:r>
    </w:p>
    <w:p>
      <w:pPr>
        <w:pStyle w:val="Style31"/>
        <w:ind w:firstLine="567"/>
        <w:rPr/>
      </w:pPr>
      <w:r>
        <w:rPr>
          <w:b/>
          <w:bCs/>
        </w:rPr>
        <w:t>НДС</w:t>
      </w:r>
      <w:r>
        <w:rPr/>
        <w:t xml:space="preserve"> – налог на добавленную стоимость.</w:t>
      </w:r>
    </w:p>
    <w:p>
      <w:pPr>
        <w:pStyle w:val="Style31"/>
        <w:ind w:firstLine="567"/>
        <w:rPr/>
      </w:pPr>
      <w:r>
        <w:rPr>
          <w:b/>
          <w:bCs/>
        </w:rPr>
        <w:t>НМЦ</w:t>
      </w:r>
      <w:r>
        <w:rPr/>
        <w:t xml:space="preserve"> – начальная (максимальная) цена договора.</w:t>
      </w:r>
    </w:p>
    <w:p>
      <w:pPr>
        <w:pStyle w:val="Style31"/>
        <w:ind w:firstLine="567"/>
        <w:rPr/>
      </w:pPr>
      <w:r>
        <w:rPr>
          <w:b/>
          <w:bCs/>
        </w:rPr>
        <w:t>Оператор ЭП</w:t>
      </w:r>
      <w:r>
        <w:rPr/>
        <w:t xml:space="preserve"> – оператор электронной площадки.</w:t>
      </w:r>
    </w:p>
    <w:p>
      <w:pPr>
        <w:pStyle w:val="Style31"/>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1"/>
        <w:ind w:firstLine="567"/>
        <w:rPr/>
      </w:pPr>
      <w:r>
        <w:rPr>
          <w:b/>
          <w:bCs/>
        </w:rPr>
        <w:t>Положение о закупке</w:t>
      </w:r>
      <w:r>
        <w:rPr/>
        <w:t xml:space="preserve"> – Единое Положение о закупке продукции для нужд Группы РусГидро.</w:t>
      </w:r>
    </w:p>
    <w:p>
      <w:pPr>
        <w:pStyle w:val="Style31"/>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1"/>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1"/>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1"/>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1"/>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1"/>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1"/>
        <w:ind w:firstLine="567"/>
        <w:rPr/>
      </w:pPr>
      <w:r>
        <w:rPr>
          <w:b/>
          <w:bCs/>
        </w:rPr>
        <w:t>Система ЭДО</w:t>
      </w:r>
      <w:r>
        <w:rPr>
          <w:rStyle w:val="FootnoteReference"/>
          <w:b/>
          <w:bCs/>
        </w:rPr>
        <w:footnoteReference w:id="2"/>
      </w:r>
      <w:r>
        <w:rPr/>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pPr>
        <w:pStyle w:val="Style31"/>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1"/>
        <w:ind w:firstLine="567"/>
        <w:rPr/>
      </w:pPr>
      <w:r>
        <w:rPr>
          <w:b/>
          <w:bCs/>
        </w:rPr>
        <w:t>Субъект МСП</w:t>
      </w:r>
      <w:r>
        <w:rPr/>
        <w:t xml:space="preserve"> – субъект малого и среднего предпринимательства.</w:t>
      </w:r>
    </w:p>
    <w:p>
      <w:pPr>
        <w:pStyle w:val="Style31"/>
        <w:ind w:firstLine="567"/>
        <w:rPr/>
      </w:pPr>
      <w:r>
        <w:rPr>
          <w:b/>
          <w:bCs/>
        </w:rPr>
        <w:t>ЭП</w:t>
      </w:r>
      <w:r>
        <w:rPr/>
        <w:t xml:space="preserve"> – электронная площадка.</w:t>
      </w:r>
    </w:p>
    <w:p>
      <w:pPr>
        <w:pStyle w:val="Style30"/>
        <w:numPr>
          <w:ilvl w:val="0"/>
          <w:numId w:val="0"/>
        </w:numPr>
        <w:ind w:hanging="0" w:left="0"/>
        <w:outlineLvl w:val="0"/>
        <w:rPr/>
      </w:pPr>
      <w:bookmarkStart w:id="1" w:name="_Toc228976324"/>
      <w:r>
        <w:rPr/>
        <w:t>Термины и определения</w:t>
      </w:r>
      <w:bookmarkEnd w:id="1"/>
    </w:p>
    <w:p>
      <w:pPr>
        <w:pStyle w:val="Style31"/>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1"/>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1"/>
        <w:ind w:firstLine="567"/>
        <w:rPr/>
      </w:pPr>
      <w:r>
        <w:rPr>
          <w:b/>
          <w:bCs/>
        </w:rPr>
        <w:t>Альтернативное предложение</w:t>
      </w:r>
      <w:r>
        <w:rPr/>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pPr>
        <w:pStyle w:val="Style31"/>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1"/>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1"/>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1"/>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1"/>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1"/>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1"/>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1"/>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1"/>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1"/>
        <w:ind w:firstLine="567"/>
        <w:rPr>
          <w:szCs w:val="26"/>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1"/>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1"/>
        <w:ind w:firstLine="567"/>
        <w:rPr/>
      </w:pPr>
      <w:r>
        <w:rPr>
          <w:b/>
          <w:bCs/>
        </w:rPr>
        <w:t>Коллективный участник</w:t>
      </w:r>
      <w:r>
        <w:rPr/>
        <w:t xml:space="preserve"> – объединение юридических и (или) физических лиц, в том числе индивидуальных предпринимателей, выступающих на стороне одного Участника и несущих солидарную ответственность по обязательствам, вытекающим из участия в закупке и дальнейшего заключения и исполнения договора.</w:t>
      </w:r>
    </w:p>
    <w:p>
      <w:pPr>
        <w:pStyle w:val="Style31"/>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1"/>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1"/>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1"/>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1"/>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1"/>
        <w:ind w:firstLine="567"/>
        <w:rPr/>
      </w:pPr>
      <w:r>
        <w:rPr>
          <w:b/>
          <w:bCs/>
        </w:rPr>
        <w:t>Официальное размещение</w:t>
      </w:r>
      <w:r>
        <w:rPr/>
        <w:t xml:space="preserve"> – размещение информации о закупке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1"/>
        <w:ind w:firstLine="567"/>
        <w:rPr/>
      </w:pPr>
      <w:r>
        <w:rPr>
          <w:b/>
          <w:bCs/>
        </w:rPr>
        <w:t>Переторжка</w:t>
      </w:r>
      <w:r>
        <w:rPr/>
        <w:t xml:space="preserve"> – опциональный этап закупки, представляющий собой процедуру подачи Участниками дополнительных предложений с целью повысить их предпочтительность для Заказчика.</w:t>
      </w:r>
    </w:p>
    <w:p>
      <w:pPr>
        <w:pStyle w:val="Style31"/>
        <w:ind w:firstLine="567"/>
        <w:rPr>
          <w:szCs w:val="26"/>
        </w:rPr>
      </w:pPr>
      <w:r>
        <w:rPr>
          <w:b/>
          <w:bCs/>
          <w:szCs w:val="26"/>
        </w:rPr>
        <w:t>Победитель</w:t>
      </w:r>
      <w:r>
        <w:rPr>
          <w:szCs w:val="26"/>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(или единственного критерия оценки, если условия закупки не предполагают два и более критерия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1"/>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1"/>
        <w:ind w:firstLine="567"/>
        <w:rPr/>
      </w:pPr>
      <w:r>
        <w:rPr>
          <w:b/>
          <w:bCs/>
        </w:rPr>
        <w:t>Постквалификация</w:t>
      </w:r>
      <w:r>
        <w:rPr/>
        <w:t xml:space="preserve"> – процедура дополнительной проверки Участника перед выбором его Победителем на подтверждения его соответствия квалификационным требованиям, установленным в Документации о закупке.</w:t>
      </w:r>
    </w:p>
    <w:p>
      <w:pPr>
        <w:pStyle w:val="Style31"/>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1"/>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1"/>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1"/>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1"/>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1"/>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3"/>
      </w:r>
      <w:r>
        <w:rPr/>
        <w:t>, если иное не установлено в Документации о закупке.</w:t>
      </w:r>
    </w:p>
    <w:p>
      <w:pPr>
        <w:pStyle w:val="Style31"/>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от имени организации, полномочия которых подтверждены соответствующими документами.</w:t>
      </w:r>
    </w:p>
    <w:p>
      <w:pPr>
        <w:pStyle w:val="Style31"/>
        <w:ind w:firstLine="567"/>
        <w:rPr/>
      </w:pPr>
      <w:r>
        <w:rPr>
          <w:b/>
          <w:bCs/>
        </w:rPr>
        <w:t>Участник</w:t>
      </w:r>
      <w:r>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5"/>
        <w:rPr/>
      </w:pPr>
      <w:bookmarkStart w:id="2" w:name="_Ref125359988"/>
      <w:bookmarkStart w:id="3" w:name="_Toc228976325"/>
      <w:r>
        <w:rPr/>
        <w:t>Основные сведения о закупке</w:t>
      </w:r>
      <w:bookmarkEnd w:id="2"/>
      <w:bookmarkEnd w:id="3"/>
    </w:p>
    <w:p>
      <w:pPr>
        <w:pStyle w:val="Style26"/>
        <w:rPr/>
      </w:pPr>
      <w:bookmarkStart w:id="4" w:name="_Toc228976326"/>
      <w:r>
        <w:rPr/>
        <w:t>Статус настоящего раздела</w:t>
      </w:r>
      <w:bookmarkEnd w:id="4"/>
    </w:p>
    <w:p>
      <w:pPr>
        <w:pStyle w:val="Style27"/>
        <w:rPr/>
      </w:pPr>
      <w:r>
        <w:rPr/>
        <w:t>В настоящем разделе содержатся основные сведения о предмете, способе и иных ключевых условиях проводимой закупки.</w:t>
      </w:r>
    </w:p>
    <w:p>
      <w:pPr>
        <w:pStyle w:val="Style27"/>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4"/>
          </w:rPr>
          <w:t>Технических требованиях (Приложение № 1)</w:t>
        </w:r>
      </w:hyperlink>
      <w:r>
        <w:rPr>
          <w:rStyle w:val="Style14"/>
        </w:rPr>
        <w:t>,</w:t>
      </w:r>
      <w:r>
        <w:rPr/>
        <w:t xml:space="preserve"> в </w:t>
      </w:r>
      <w:hyperlink w:anchor="Прил02_ПроектДоговора">
        <w:r>
          <w:rPr>
            <w:rStyle w:val="Style14"/>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7"/>
        <w:rPr/>
      </w:pPr>
      <w:bookmarkStart w:id="5" w:name="_Ref136768031"/>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bookmarkEnd w:id="5"/>
    </w:p>
    <w:p>
      <w:pPr>
        <w:pStyle w:val="Style26"/>
        <w:spacing w:before="360" w:after="120"/>
        <w:rPr/>
      </w:pPr>
      <w:bookmarkStart w:id="6" w:name="_Ref125359973"/>
      <w:bookmarkStart w:id="7" w:name="_Ref127270076"/>
      <w:bookmarkStart w:id="8" w:name="_Toc228976327"/>
      <w:r>
        <w:rPr/>
        <w:t>Информация о проводимой закупке</w:t>
      </w:r>
      <w:bookmarkEnd w:id="6"/>
      <w:bookmarkEnd w:id="7"/>
      <w:bookmarkEnd w:id="8"/>
    </w:p>
    <w:tbl>
      <w:tblPr>
        <w:tblStyle w:val="affe"/>
        <w:tblW w:w="9754"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38"/>
        <w:gridCol w:w="3295"/>
        <w:gridCol w:w="5621"/>
      </w:tblGrid>
      <w:tr>
        <w:trPr>
          <w:cnfStyle w:val="100000000000" w:firstRow="1" w:lastRow="0" w:firstColumn="0" w:lastColumn="0" w:oddVBand="0" w:evenVBand="0" w:oddHBand="0" w:evenHBand="0" w:firstRowFirstColumn="0" w:firstRowLastColumn="0" w:lastRowFirstColumn="0" w:lastRowLastColumn="0"/>
        </w:trPr>
        <w:tc>
          <w:tcPr>
            <w:tcW w:w="838" w:type="dxa"/>
            <w:tcBorders/>
          </w:tcPr>
          <w:p>
            <w:pPr>
              <w:pStyle w:val="Style31"/>
              <w:keepNext w:val="true"/>
              <w:widowControl w:val="false"/>
              <w:suppressAutoHyphens w:val="true"/>
              <w:spacing w:before="60" w:after="60"/>
              <w:jc w:val="center"/>
              <w:rPr>
                <w:rFonts w:eastAsia="Calibri"/>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3295" w:type="dxa"/>
            <w:tcBorders/>
          </w:tcPr>
          <w:p>
            <w:pPr>
              <w:pStyle w:val="Style31"/>
              <w:keepNext w:val="true"/>
              <w:widowControl w:val="false"/>
              <w:suppressAutoHyphens w:val="true"/>
              <w:spacing w:before="60" w:after="60"/>
              <w:jc w:val="center"/>
              <w:rPr>
                <w:rFonts w:eastAsia="Calibri"/>
              </w:rPr>
            </w:pPr>
            <w:r>
              <w:rPr>
                <w:rFonts w:eastAsia="Calibri" w:cs=""/>
                <w:b/>
                <w:kern w:val="0"/>
                <w:sz w:val="26"/>
                <w:szCs w:val="22"/>
                <w:lang w:val="ru-RU" w:eastAsia="en-US" w:bidi="ar-SA"/>
              </w:rPr>
              <w:t>Наименование пункта</w:t>
            </w:r>
          </w:p>
        </w:tc>
        <w:tc>
          <w:tcPr>
            <w:tcW w:w="5621" w:type="dxa"/>
            <w:tcBorders/>
          </w:tcPr>
          <w:p>
            <w:pPr>
              <w:pStyle w:val="Style31"/>
              <w:keepNext w:val="true"/>
              <w:widowControl w:val="false"/>
              <w:suppressAutoHyphens w:val="true"/>
              <w:spacing w:before="60" w:after="60"/>
              <w:jc w:val="center"/>
              <w:rPr>
                <w:rFonts w:eastAsia="Calibri"/>
              </w:rPr>
            </w:pPr>
            <w:r>
              <w:rPr>
                <w:rFonts w:eastAsia="Calibri" w:cs=""/>
                <w:b/>
                <w:kern w:val="0"/>
                <w:sz w:val="26"/>
                <w:szCs w:val="22"/>
                <w:lang w:val="ru-RU" w:eastAsia="en-US" w:bidi="ar-SA"/>
              </w:rPr>
              <w:t>Содержание пункта</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9" w:name="_Ref125360980"/>
            <w:bookmarkStart w:id="10" w:name="_Ref125360980"/>
            <w:bookmarkEnd w:id="10"/>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Способ закупки:</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Состязательный отбор в электронной форме.</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11" w:name="_Ref125360996"/>
            <w:bookmarkStart w:id="12" w:name="_Ref125360996"/>
            <w:bookmarkEnd w:id="12"/>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Предмет Договора</w:t>
              <w:br/>
              <w:t>(в том числе номер лота):</w:t>
            </w:r>
          </w:p>
        </w:tc>
        <w:tc>
          <w:tcPr>
            <w:tcW w:w="5621" w:type="dxa"/>
            <w:tcBorders/>
          </w:tcPr>
          <w:p>
            <w:pPr>
              <w:pStyle w:val="Style31"/>
              <w:widowControl w:val="false"/>
              <w:suppressAutoHyphens w:val="false"/>
              <w:spacing w:before="60" w:after="60"/>
              <w:rPr>
                <w:szCs w:val="26"/>
              </w:rPr>
            </w:pPr>
            <w:r>
              <w:rPr>
                <w:rFonts w:eastAsia="Calibri" w:cs=""/>
                <w:kern w:val="0"/>
                <w:sz w:val="26"/>
                <w:szCs w:val="26"/>
                <w:lang w:val="ru-RU" w:eastAsia="en-US" w:bidi="ar-SA"/>
              </w:rPr>
              <w:t>Лот № </w:t>
            </w:r>
            <w:r>
              <w:rPr>
                <w:rFonts w:eastAsia="Calibri" w:cs=""/>
                <w:kern w:val="0"/>
                <w:sz w:val="26"/>
                <w:szCs w:val="26"/>
                <w:lang w:val="en-US" w:eastAsia="en-US" w:bidi="ar-SA"/>
              </w:rPr>
              <w:t>121003-ТО</w:t>
            </w:r>
            <w:r>
              <w:rPr>
                <w:rFonts w:eastAsia="Calibri" w:cs=""/>
                <w:kern w:val="0"/>
                <w:sz w:val="26"/>
                <w:szCs w:val="26"/>
                <w:lang w:val="ru-RU" w:eastAsia="en-US" w:bidi="ar-SA"/>
              </w:rPr>
              <w:t xml:space="preserve"> ПРОД-202</w:t>
            </w:r>
            <w:r>
              <w:rPr>
                <w:rFonts w:eastAsia="Calibri" w:cs=""/>
                <w:kern w:val="0"/>
                <w:sz w:val="26"/>
                <w:szCs w:val="26"/>
                <w:lang w:val="en-US" w:eastAsia="en-US" w:bidi="ar-SA"/>
              </w:rPr>
              <w:t>7</w:t>
            </w:r>
            <w:r>
              <w:rPr>
                <w:rFonts w:eastAsia="Calibri" w:cs=""/>
                <w:kern w:val="0"/>
                <w:sz w:val="26"/>
                <w:szCs w:val="26"/>
                <w:lang w:val="ru-RU" w:eastAsia="en-US" w:bidi="ar-SA"/>
              </w:rPr>
              <w:t>-ККГЭС «28.13.28_Техническое обслуживание предохранительных клапанов сосудов работающих под давлением и установки компрессорной  ГЭС, ГАЭС  филиала ПАО “РусГидро”-“Каскад Кубанских ГЭС”»</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13" w:name="_Ref135729276"/>
            <w:bookmarkStart w:id="14" w:name="_Ref135729276"/>
            <w:bookmarkEnd w:id="14"/>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Описание</w:t>
              <w:br/>
              <w:t>предмета закупки:</w:t>
            </w:r>
          </w:p>
        </w:tc>
        <w:tc>
          <w:tcPr>
            <w:tcW w:w="5621" w:type="dxa"/>
            <w:tcBorders/>
          </w:tcPr>
          <w:p>
            <w:pPr>
              <w:pStyle w:val="Style31"/>
              <w:widowControl w:val="false"/>
              <w:suppressAutoHyphens w:val="true"/>
              <w:spacing w:before="60" w:after="60"/>
              <w:rPr/>
            </w:pPr>
            <w:r>
              <w:rPr>
                <w:rFonts w:eastAsia="Calibri" w:c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4"/>
                  <w:rFonts w:eastAsia="Calibri" w:cs=""/>
                  <w:kern w:val="0"/>
                  <w:sz w:val="26"/>
                  <w:szCs w:val="22"/>
                  <w:lang w:val="ru-RU" w:eastAsia="en-US" w:bidi="ar-SA"/>
                </w:rPr>
                <w:t>Технических требованиях (Приложении № 1)</w:t>
              </w:r>
            </w:hyperlink>
            <w:r>
              <w:rPr>
                <w:rFonts w:eastAsia="Calibri" w:c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15" w:name="_Ref125367124"/>
            <w:bookmarkStart w:id="16" w:name="_Ref125367124"/>
            <w:bookmarkEnd w:id="16"/>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Многолотовая закупка:</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Нет.</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17" w:name="_Ref125360764"/>
            <w:bookmarkStart w:id="18" w:name="_Ref125360764"/>
            <w:bookmarkEnd w:id="18"/>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Наименование и адрес ЭП, на которой проводится закупка:</w:t>
            </w:r>
          </w:p>
        </w:tc>
        <w:tc>
          <w:tcPr>
            <w:tcW w:w="5621"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Электронная (торговая) площадка: Акционерного общества «Российский Аукционный Дом» </w:t>
            </w:r>
            <w:hyperlink r:id="rId2">
              <w:r>
                <w:rPr>
                  <w:rStyle w:val="Hyperlink"/>
                  <w:rFonts w:eastAsia="Calibri" w:cs=""/>
                  <w:kern w:val="0"/>
                  <w:sz w:val="26"/>
                  <w:szCs w:val="22"/>
                  <w:lang w:val="ru-RU" w:eastAsia="en-US" w:bidi="ar-SA"/>
                </w:rPr>
                <w:t>https://tender.lot-online.ru/</w:t>
              </w:r>
            </w:hyperlink>
          </w:p>
          <w:p>
            <w:pPr>
              <w:pStyle w:val="Style31"/>
              <w:widowControl w:val="false"/>
              <w:suppressAutoHyphens w:val="true"/>
              <w:spacing w:before="60" w:after="60"/>
              <w:rPr/>
            </w:pPr>
            <w:r>
              <w:rPr>
                <w:rFonts w:eastAsia="Calibri" w:cs=""/>
                <w:kern w:val="0"/>
                <w:sz w:val="26"/>
                <w:szCs w:val="22"/>
                <w:lang w:val="ru-RU" w:eastAsia="en-US" w:bidi="ar-SA"/>
              </w:rPr>
              <w:t xml:space="preserve">Регламент ЭТП, в соответствии с которым проводится закупка, размещен по адресу: </w:t>
            </w:r>
            <w:hyperlink r:id="rId3">
              <w:r>
                <w:rPr>
                  <w:rStyle w:val="Hyperlink"/>
                  <w:rFonts w:eastAsia="Calibri" w:cs=""/>
                  <w:kern w:val="0"/>
                  <w:sz w:val="26"/>
                  <w:szCs w:val="22"/>
                  <w:lang w:val="ru-RU" w:eastAsia="en-US" w:bidi="ar-SA"/>
                </w:rPr>
                <w:t>https://tender.lot-online.ru/etp/reglament_223.pdf</w:t>
              </w:r>
            </w:hyperlink>
          </w:p>
        </w:tc>
      </w:tr>
      <w:tr>
        <w:trPr/>
        <w:tc>
          <w:tcPr>
            <w:tcW w:w="838" w:type="dxa"/>
            <w:tcBorders/>
          </w:tcPr>
          <w:p>
            <w:pPr>
              <w:pStyle w:val="Style27"/>
              <w:widowControl w:val="false"/>
              <w:suppressAutoHyphens w:val="true"/>
              <w:spacing w:before="60" w:after="60"/>
              <w:rPr>
                <w:rFonts w:eastAsia="Calibri"/>
              </w:rPr>
            </w:pPr>
            <w:r>
              <w:rPr>
                <w:rFonts w:eastAsia="Calibri"/>
              </w:rPr>
            </w:r>
            <w:bookmarkStart w:id="19" w:name="_Ref125360970"/>
            <w:bookmarkStart w:id="20" w:name="_Ref125360970"/>
            <w:bookmarkEnd w:id="20"/>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Участники:</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Участвовать в закупке могут любые лица, заинтересованные в предмете закупки.</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21" w:name="_Ref125360988"/>
            <w:bookmarkStart w:id="22" w:name="_Ref125360988"/>
            <w:bookmarkEnd w:id="22"/>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Заказчик:</w:t>
            </w:r>
          </w:p>
        </w:tc>
        <w:tc>
          <w:tcPr>
            <w:tcW w:w="5621" w:type="dxa"/>
            <w:tcBorders/>
          </w:tcPr>
          <w:p>
            <w:pPr>
              <w:pStyle w:val="Style31"/>
              <w:widowControl w:val="false"/>
              <w:suppressAutoHyphens w:val="true"/>
              <w:spacing w:before="60" w:after="60"/>
              <w:rPr/>
            </w:pPr>
            <w:r>
              <w:rPr>
                <w:rStyle w:val="Style11"/>
                <w:rFonts w:eastAsia="Calibri" w:cs=""/>
                <w:i w:val="false"/>
                <w:iCs w:val="false"/>
                <w:kern w:val="0"/>
                <w:sz w:val="26"/>
                <w:szCs w:val="22"/>
                <w:shd w:fill="auto" w:val="clear"/>
                <w:lang w:val="ru-RU" w:eastAsia="en-US" w:bidi="ar-SA"/>
              </w:rPr>
              <w:t xml:space="preserve">Наименование (полное): Филиал Публичного акционерного общества «Федеральная гидрогенерирующая компания – РусГидро» - «Каскад Кубанских ГЭС» </w:t>
            </w:r>
          </w:p>
          <w:p>
            <w:pPr>
              <w:pStyle w:val="Style31"/>
              <w:widowControl w:val="false"/>
              <w:suppressAutoHyphens w:val="true"/>
              <w:spacing w:before="60" w:after="60"/>
              <w:rPr/>
            </w:pPr>
            <w:r>
              <w:rPr>
                <w:rStyle w:val="Style11"/>
                <w:rFonts w:eastAsia="Calibri" w:cs=""/>
                <w:i w:val="false"/>
                <w:iCs w:val="false"/>
                <w:kern w:val="0"/>
                <w:sz w:val="26"/>
                <w:szCs w:val="22"/>
                <w:shd w:fill="auto" w:val="clear"/>
                <w:lang w:val="ru-RU" w:eastAsia="en-US" w:bidi="ar-SA"/>
              </w:rPr>
              <w:t>Наименование (сокращенное): Филиал ПАО «РусГидро» - «Каскад Кубанских ГЭС»</w:t>
            </w:r>
          </w:p>
          <w:p>
            <w:pPr>
              <w:pStyle w:val="Style31"/>
              <w:widowControl w:val="false"/>
              <w:suppressAutoHyphens w:val="true"/>
              <w:spacing w:before="120" w:after="60"/>
              <w:rPr>
                <w:rFonts w:ascii="Times New Roman" w:hAnsi="Times New Roman" w:cs=""/>
                <w:kern w:val="0"/>
                <w:sz w:val="26"/>
                <w:szCs w:val="22"/>
                <w:lang w:val="ru-RU" w:eastAsia="en-US" w:bidi="ar-SA"/>
              </w:rPr>
            </w:pPr>
            <w:r>
              <w:rPr>
                <w:rFonts w:eastAsia="Calibri" w:cs=""/>
                <w:kern w:val="0"/>
                <w:sz w:val="26"/>
                <w:szCs w:val="22"/>
                <w:lang w:val="ru-RU" w:eastAsia="en-US" w:bidi="ar-SA"/>
              </w:rPr>
              <w:t>Место нахождения: 357115, Ставропольский край, г. Невинномысск, ул. Водопроводная, д. 360а</w:t>
            </w:r>
          </w:p>
          <w:p>
            <w:pPr>
              <w:pStyle w:val="Style31"/>
              <w:widowControl w:val="false"/>
              <w:suppressAutoHyphens w:val="true"/>
              <w:spacing w:before="120" w:after="60"/>
              <w:rPr>
                <w:rFonts w:ascii="Times New Roman" w:hAnsi="Times New Roman" w:cs=""/>
                <w:kern w:val="0"/>
                <w:sz w:val="26"/>
                <w:szCs w:val="22"/>
                <w:lang w:val="ru-RU" w:eastAsia="en-US" w:bidi="ar-SA"/>
              </w:rPr>
            </w:pPr>
            <w:r>
              <w:rPr>
                <w:rFonts w:eastAsia="Calibri" w:cs=""/>
                <w:kern w:val="0"/>
                <w:sz w:val="26"/>
                <w:szCs w:val="22"/>
                <w:lang w:val="ru-RU" w:eastAsia="en-US" w:bidi="ar-SA"/>
              </w:rPr>
              <w:t>Почтовый адрес: 357115, Ставропольский край, г. Невинномысск, ул. Водопроводная, д. 360а</w:t>
            </w:r>
          </w:p>
          <w:p>
            <w:pPr>
              <w:pStyle w:val="Style31"/>
              <w:widowControl w:val="false"/>
              <w:suppressAutoHyphens w:val="true"/>
              <w:spacing w:before="120" w:after="60"/>
              <w:rPr/>
            </w:pPr>
            <w:r>
              <w:rPr>
                <w:rFonts w:eastAsia="Calibri" w:cs=""/>
                <w:kern w:val="0"/>
                <w:sz w:val="26"/>
                <w:szCs w:val="22"/>
                <w:lang w:val="ru-RU" w:eastAsia="en-US" w:bidi="ar-SA"/>
              </w:rPr>
              <w:t xml:space="preserve">Адрес электронной почты: </w:t>
            </w:r>
            <w:hyperlink r:id="rId4">
              <w:r>
                <w:rPr>
                  <w:rStyle w:val="Hyperlink"/>
                  <w:rFonts w:eastAsia="Calibri" w:cs=""/>
                  <w:kern w:val="0"/>
                  <w:sz w:val="26"/>
                  <w:szCs w:val="22"/>
                  <w:lang w:val="ru-RU" w:eastAsia="en-US" w:bidi="ar-SA"/>
                </w:rPr>
                <w:t>kkges@rushydro.ru</w:t>
              </w:r>
            </w:hyperlink>
          </w:p>
          <w:p>
            <w:pPr>
              <w:pStyle w:val="Style31"/>
              <w:widowControl w:val="false"/>
              <w:suppressAutoHyphens w:val="true"/>
              <w:spacing w:before="60" w:after="60"/>
              <w:rPr/>
            </w:pPr>
            <w:r>
              <w:rPr>
                <w:rStyle w:val="Style11"/>
                <w:rFonts w:eastAsia="Calibri" w:cs=""/>
                <w:i w:val="false"/>
                <w:iCs w:val="false"/>
                <w:kern w:val="0"/>
                <w:sz w:val="26"/>
                <w:szCs w:val="22"/>
                <w:shd w:fill="auto" w:val="clear"/>
                <w:lang w:val="ru-RU" w:eastAsia="en-US" w:bidi="ar-SA"/>
              </w:rPr>
              <w:t>Контактный телефон: +78655468901</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23" w:name="_Ref125360954"/>
            <w:bookmarkStart w:id="24" w:name="_Ref125360954"/>
            <w:bookmarkEnd w:id="24"/>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Организатор:</w:t>
            </w:r>
          </w:p>
        </w:tc>
        <w:tc>
          <w:tcPr>
            <w:tcW w:w="5621" w:type="dxa"/>
            <w:tcBorders/>
          </w:tcPr>
          <w:p>
            <w:pPr>
              <w:pStyle w:val="Style31"/>
              <w:keepNext w:val="true"/>
              <w:widowControl w:val="false"/>
              <w:suppressAutoHyphens w:val="true"/>
              <w:spacing w:before="60" w:after="60"/>
              <w:rPr>
                <w:rFonts w:ascii="Times New Roman" w:hAnsi="Times New Roman" w:cs=""/>
                <w:kern w:val="0"/>
                <w:sz w:val="26"/>
                <w:szCs w:val="22"/>
                <w:lang w:val="ru-RU" w:eastAsia="en-US" w:bidi="ar-SA"/>
              </w:rPr>
            </w:pPr>
            <w:r>
              <w:rPr>
                <w:rFonts w:eastAsia="Calibri" w:cs=""/>
                <w:kern w:val="0"/>
                <w:sz w:val="26"/>
                <w:szCs w:val="22"/>
                <w:lang w:val="ru-RU" w:eastAsia="en-US" w:bidi="ar-SA"/>
              </w:rPr>
              <w:t>Наименование (полное):</w:t>
            </w:r>
          </w:p>
          <w:p>
            <w:pPr>
              <w:pStyle w:val="Style31"/>
              <w:widowControl w:val="false"/>
              <w:suppressAutoHyphens w:val="true"/>
              <w:spacing w:before="60" w:after="60"/>
              <w:rPr/>
            </w:pPr>
            <w:r>
              <w:rPr>
                <w:rStyle w:val="Style11"/>
                <w:rFonts w:eastAsia="Calibri" w:cs=""/>
                <w:i w:val="false"/>
                <w:iCs w:val="false"/>
                <w:kern w:val="0"/>
                <w:sz w:val="26"/>
                <w:szCs w:val="22"/>
                <w:shd w:fill="auto" w:val="clear"/>
                <w:lang w:val="ru-RU" w:eastAsia="en-US" w:bidi="ar-SA"/>
              </w:rPr>
              <w:t>Филиал Публичного акционерного общества «Федеральная гидрогенерирующая компания – РусГидро» - «Каскад Кубанских ГЭС»</w:t>
            </w:r>
          </w:p>
          <w:p>
            <w:pPr>
              <w:pStyle w:val="Style31"/>
              <w:keepNext w:val="true"/>
              <w:widowControl w:val="false"/>
              <w:suppressAutoHyphens w:val="true"/>
              <w:spacing w:before="60" w:after="60"/>
              <w:rPr>
                <w:rFonts w:eastAsia="Calibri"/>
              </w:rPr>
            </w:pPr>
            <w:r>
              <w:rPr>
                <w:rFonts w:eastAsia="Calibri" w:cs=""/>
                <w:kern w:val="0"/>
                <w:sz w:val="26"/>
                <w:szCs w:val="22"/>
                <w:lang w:val="ru-RU" w:eastAsia="en-US" w:bidi="ar-SA"/>
              </w:rPr>
              <w:t>Наименование (сокращенное):</w:t>
            </w:r>
          </w:p>
          <w:p>
            <w:pPr>
              <w:pStyle w:val="Style31"/>
              <w:widowControl w:val="false"/>
              <w:suppressAutoHyphens w:val="true"/>
              <w:spacing w:before="60" w:after="60"/>
              <w:rPr/>
            </w:pPr>
            <w:r>
              <w:rPr>
                <w:rStyle w:val="Style11"/>
                <w:rFonts w:eastAsia="Calibri" w:cs=""/>
                <w:i w:val="false"/>
                <w:iCs w:val="false"/>
                <w:kern w:val="0"/>
                <w:sz w:val="26"/>
                <w:szCs w:val="22"/>
                <w:shd w:fill="auto" w:val="clear"/>
                <w:lang w:val="ru-RU" w:eastAsia="en-US" w:bidi="ar-SA"/>
              </w:rPr>
              <w:t>Филиал ПАО «РусГидро» - «Каскад Кубанских ГЭС»</w:t>
            </w:r>
          </w:p>
          <w:p>
            <w:pPr>
              <w:pStyle w:val="Style31"/>
              <w:widowControl w:val="false"/>
              <w:suppressAutoHyphens w:val="true"/>
              <w:spacing w:before="120" w:after="60"/>
              <w:rPr>
                <w:rFonts w:ascii="Times New Roman" w:hAnsi="Times New Roman" w:cs=""/>
                <w:kern w:val="0"/>
                <w:sz w:val="26"/>
                <w:szCs w:val="22"/>
                <w:lang w:val="ru-RU" w:eastAsia="en-US" w:bidi="ar-SA"/>
              </w:rPr>
            </w:pPr>
            <w:r>
              <w:rPr>
                <w:rFonts w:eastAsia="Calibri" w:cs=""/>
                <w:kern w:val="0"/>
                <w:sz w:val="26"/>
                <w:szCs w:val="22"/>
                <w:lang w:val="ru-RU" w:eastAsia="en-US" w:bidi="ar-SA"/>
              </w:rPr>
              <w:t>Место нахождения: 357115, Ставропольский край, г. Невинномысск, ул. Водопроводная, д. 360а</w:t>
            </w:r>
          </w:p>
          <w:p>
            <w:pPr>
              <w:pStyle w:val="Style31"/>
              <w:widowControl w:val="false"/>
              <w:suppressAutoHyphens w:val="true"/>
              <w:spacing w:before="120" w:after="60"/>
              <w:rPr>
                <w:rFonts w:ascii="Times New Roman" w:hAnsi="Times New Roman" w:cs=""/>
                <w:kern w:val="0"/>
                <w:sz w:val="26"/>
                <w:szCs w:val="22"/>
                <w:lang w:val="ru-RU" w:eastAsia="en-US" w:bidi="ar-SA"/>
              </w:rPr>
            </w:pPr>
            <w:r>
              <w:rPr>
                <w:rFonts w:eastAsia="Calibri" w:cs=""/>
                <w:kern w:val="0"/>
                <w:sz w:val="26"/>
                <w:szCs w:val="22"/>
                <w:lang w:val="ru-RU" w:eastAsia="en-US" w:bidi="ar-SA"/>
              </w:rPr>
              <w:t>Почтовый адрес: 357115, Ставропольский край, г. Невинномысск, ул. Водопроводная, д. 360а</w:t>
            </w:r>
          </w:p>
          <w:p>
            <w:pPr>
              <w:pStyle w:val="Style31"/>
              <w:widowControl w:val="false"/>
              <w:suppressAutoHyphens w:val="true"/>
              <w:spacing w:before="120" w:after="60"/>
              <w:rPr/>
            </w:pPr>
            <w:r>
              <w:rPr>
                <w:rFonts w:eastAsia="Calibri" w:cs=""/>
                <w:kern w:val="0"/>
                <w:sz w:val="26"/>
                <w:szCs w:val="22"/>
                <w:lang w:val="ru-RU" w:eastAsia="en-US" w:bidi="ar-SA"/>
              </w:rPr>
              <w:t xml:space="preserve">Адрес электронной почты: </w:t>
            </w:r>
            <w:hyperlink r:id="rId5">
              <w:r>
                <w:rPr>
                  <w:rStyle w:val="Hyperlink"/>
                  <w:rFonts w:eastAsia="Calibri" w:cs=""/>
                  <w:kern w:val="0"/>
                  <w:sz w:val="26"/>
                  <w:szCs w:val="22"/>
                  <w:lang w:val="ru-RU" w:eastAsia="en-US" w:bidi="ar-SA"/>
                </w:rPr>
                <w:t>kkges@rushydro.ru</w:t>
              </w:r>
            </w:hyperlink>
          </w:p>
          <w:p>
            <w:pPr>
              <w:pStyle w:val="Style31"/>
              <w:widowControl w:val="false"/>
              <w:suppressAutoHyphens w:val="true"/>
              <w:spacing w:before="60" w:after="60"/>
              <w:rPr/>
            </w:pPr>
            <w:r>
              <w:rPr>
                <w:rStyle w:val="Style11"/>
                <w:rFonts w:eastAsia="Calibri" w:cs=""/>
                <w:i w:val="false"/>
                <w:iCs w:val="false"/>
                <w:kern w:val="0"/>
                <w:sz w:val="26"/>
                <w:szCs w:val="22"/>
                <w:shd w:fill="auto" w:val="clear"/>
                <w:lang w:val="ru-RU" w:eastAsia="en-US" w:bidi="ar-SA"/>
              </w:rPr>
              <w:t>Контактный телефон: +78655468901</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25" w:name="_Ref125361238"/>
            <w:bookmarkStart w:id="26" w:name="_Ref125361238"/>
            <w:bookmarkEnd w:id="26"/>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Представитель Организатора:</w:t>
            </w:r>
          </w:p>
        </w:tc>
        <w:tc>
          <w:tcPr>
            <w:tcW w:w="5621" w:type="dxa"/>
            <w:tcBorders/>
          </w:tcPr>
          <w:p>
            <w:pPr>
              <w:pStyle w:val="Style31"/>
              <w:widowControl w:val="false"/>
              <w:suppressAutoHyphens w:val="true"/>
              <w:spacing w:before="60" w:after="60"/>
              <w:rPr>
                <w:rFonts w:ascii="Times New Roman" w:hAnsi="Times New Roman" w:cs=""/>
                <w:kern w:val="0"/>
                <w:sz w:val="26"/>
                <w:szCs w:val="22"/>
                <w:lang w:val="ru-RU" w:eastAsia="en-US" w:bidi="ar-SA"/>
              </w:rPr>
            </w:pPr>
            <w:r>
              <w:rPr>
                <w:rFonts w:eastAsia="Calibri" w:cs=""/>
                <w:kern w:val="0"/>
                <w:sz w:val="26"/>
                <w:szCs w:val="22"/>
                <w:lang w:val="ru-RU" w:eastAsia="en-US" w:bidi="ar-SA"/>
              </w:rPr>
              <w:t>Контактное лицо (Ф.И.О.): Дудкина Наталья Владимировна</w:t>
            </w:r>
          </w:p>
          <w:p>
            <w:pPr>
              <w:pStyle w:val="Style31"/>
              <w:widowControl w:val="false"/>
              <w:suppressAutoHyphens w:val="true"/>
              <w:spacing w:before="60" w:after="60"/>
              <w:rPr>
                <w:rFonts w:ascii="Times New Roman" w:hAnsi="Times New Roman" w:cs=""/>
                <w:kern w:val="0"/>
                <w:sz w:val="26"/>
                <w:szCs w:val="22"/>
                <w:lang w:val="ru-RU" w:eastAsia="en-US" w:bidi="ar-SA"/>
              </w:rPr>
            </w:pPr>
            <w:r>
              <w:rPr>
                <w:rFonts w:eastAsia="Calibri" w:cs=""/>
                <w:kern w:val="0"/>
                <w:sz w:val="26"/>
                <w:szCs w:val="22"/>
                <w:lang w:val="ru-RU" w:eastAsia="en-US" w:bidi="ar-SA"/>
              </w:rPr>
              <w:t>Контактный телефон: +7(865)544-15-30</w:t>
            </w:r>
          </w:p>
          <w:p>
            <w:pPr>
              <w:pStyle w:val="Style31"/>
              <w:widowControl w:val="false"/>
              <w:suppressAutoHyphens w:val="true"/>
              <w:spacing w:before="60" w:after="60"/>
              <w:rPr>
                <w:rFonts w:ascii="Times New Roman" w:hAnsi="Times New Roman" w:cs=""/>
                <w:kern w:val="0"/>
                <w:sz w:val="26"/>
                <w:szCs w:val="22"/>
                <w:lang w:val="ru-RU" w:eastAsia="en-US" w:bidi="ar-SA"/>
              </w:rPr>
            </w:pPr>
            <w:r>
              <w:rPr>
                <w:rFonts w:eastAsia="Calibri" w:cs=""/>
                <w:kern w:val="0"/>
                <w:sz w:val="26"/>
                <w:szCs w:val="22"/>
                <w:lang w:val="ru-RU" w:eastAsia="en-US" w:bidi="ar-SA"/>
              </w:rPr>
              <w:t>Адрес электронной почты:</w:t>
            </w:r>
          </w:p>
          <w:p>
            <w:pPr>
              <w:pStyle w:val="Style31"/>
              <w:widowControl w:val="false"/>
              <w:suppressAutoHyphens w:val="true"/>
              <w:spacing w:before="60" w:after="60"/>
              <w:rPr/>
            </w:pPr>
            <w:r>
              <w:rPr>
                <w:rStyle w:val="Hyperlink"/>
                <w:rFonts w:eastAsia="Calibri" w:cs=""/>
                <w:kern w:val="0"/>
                <w:sz w:val="26"/>
                <w:szCs w:val="22"/>
                <w:lang w:val="ru-RU" w:eastAsia="en-US" w:bidi="ar-SA"/>
              </w:rPr>
              <w:t>DudkinaNV</w:t>
            </w:r>
            <w:hyperlink r:id="rId6">
              <w:r>
                <w:rPr>
                  <w:rStyle w:val="Hyperlink"/>
                  <w:rFonts w:eastAsia="Calibri" w:cs=""/>
                  <w:kern w:val="0"/>
                  <w:sz w:val="26"/>
                  <w:szCs w:val="22"/>
                  <w:lang w:val="ru-RU" w:eastAsia="en-US" w:bidi="ar-SA"/>
                </w:rPr>
                <w:t>@rushydro.ru</w:t>
              </w:r>
            </w:hyperlink>
          </w:p>
        </w:tc>
      </w:tr>
      <w:tr>
        <w:trPr/>
        <w:tc>
          <w:tcPr>
            <w:tcW w:w="838" w:type="dxa"/>
            <w:tcBorders/>
          </w:tcPr>
          <w:p>
            <w:pPr>
              <w:pStyle w:val="Style27"/>
              <w:widowControl w:val="false"/>
              <w:suppressAutoHyphens w:val="true"/>
              <w:spacing w:before="60" w:after="60"/>
              <w:rPr>
                <w:rFonts w:eastAsia="Calibri"/>
              </w:rPr>
            </w:pPr>
            <w:r>
              <w:rPr>
                <w:rFonts w:eastAsia="Calibri"/>
              </w:rPr>
            </w:r>
            <w:bookmarkStart w:id="27" w:name="_Ref125362694"/>
            <w:bookmarkStart w:id="28" w:name="_Ref125362694"/>
            <w:bookmarkEnd w:id="28"/>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Документация о закупке официально размещена на ЭП и доступна для ознакомления любым заинтересованным лицам. Официальным источником информации о ходе проведения закупки является ЭП, указанная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1"/>
              <w:widowControl w:val="false"/>
              <w:suppressAutoHyphens w:val="true"/>
              <w:spacing w:before="60" w:after="60"/>
              <w:rPr>
                <w:rFonts w:eastAsia="Calibri"/>
              </w:rPr>
            </w:pPr>
            <w:r>
              <w:rPr>
                <w:rFonts w:eastAsia="Calibri" w:c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29" w:name="_Ref125360963"/>
            <w:bookmarkStart w:id="30" w:name="_Ref125360963"/>
            <w:bookmarkEnd w:id="30"/>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Дата размещения Извещения о проведении закупки:</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«01» октября 2026г.</w:t>
            </w:r>
          </w:p>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31" w:name="_Ref125362837"/>
            <w:bookmarkStart w:id="32" w:name="_Ref125362837"/>
            <w:bookmarkEnd w:id="32"/>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Начальная (максимальная) цена договора (цена лота):</w:t>
            </w:r>
          </w:p>
        </w:tc>
        <w:tc>
          <w:tcPr>
            <w:tcW w:w="5621" w:type="dxa"/>
            <w:tcBorders/>
          </w:tcPr>
          <w:p>
            <w:pPr>
              <w:pStyle w:val="Style31"/>
              <w:widowControl w:val="false"/>
              <w:suppressAutoHyphens w:val="true"/>
              <w:spacing w:before="60" w:after="60"/>
              <w:rPr>
                <w:sz w:val="26"/>
                <w:szCs w:val="26"/>
              </w:rPr>
            </w:pPr>
            <w:r>
              <w:rPr>
                <w:rFonts w:eastAsia="Calibri" w:cs=""/>
                <w:kern w:val="0"/>
                <w:sz w:val="26"/>
                <w:szCs w:val="26"/>
                <w:lang w:val="ru-RU" w:eastAsia="en-US" w:bidi="ar-SA"/>
              </w:rPr>
              <w:t>НМЦ составляет 2 644 351,45 руб., без учета НДС.</w:t>
            </w:r>
          </w:p>
          <w:p>
            <w:pPr>
              <w:pStyle w:val="Style31"/>
              <w:widowControl w:val="false"/>
              <w:suppressAutoHyphens w:val="true"/>
              <w:spacing w:before="60" w:after="60"/>
              <w:rPr/>
            </w:pPr>
            <w:r>
              <w:rPr>
                <w:rFonts w:eastAsia="Calibri" w:cs=""/>
                <w:kern w:val="0"/>
                <w:sz w:val="26"/>
                <w:szCs w:val="26"/>
                <w:lang w:val="ru-RU" w:eastAsia="en-US" w:bidi="ar-SA"/>
              </w:rPr>
              <w:t xml:space="preserve">Обоснование НМЦ представлено в </w:t>
            </w:r>
            <w:hyperlink w:anchor="Прил09_ОбоснованиеНМЦ">
              <w:r>
                <w:rPr>
                  <w:rStyle w:val="Style14"/>
                  <w:rFonts w:eastAsia="Calibri" w:cs=""/>
                  <w:kern w:val="0"/>
                  <w:sz w:val="26"/>
                  <w:szCs w:val="26"/>
                  <w:lang w:val="ru-RU" w:eastAsia="en-US" w:bidi="ar-SA"/>
                </w:rPr>
                <w:t>Приложении № 9</w:t>
              </w:r>
            </w:hyperlink>
            <w:r>
              <w:rPr>
                <w:rFonts w:eastAsia="Calibri" w:cs=""/>
                <w:kern w:val="0"/>
                <w:sz w:val="26"/>
                <w:szCs w:val="26"/>
                <w:lang w:val="ru-RU" w:eastAsia="en-US" w:bidi="ar-SA"/>
              </w:rPr>
              <w:t>.</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33" w:name="_Ref125363076"/>
            <w:bookmarkStart w:id="34" w:name="_Ref125363076"/>
            <w:bookmarkEnd w:id="34"/>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Обеспечение заявки на участие в закупке:</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Не требуется.</w:t>
            </w:r>
          </w:p>
          <w:p>
            <w:pPr>
              <w:pStyle w:val="Style34"/>
              <w:widowControl w:val="false"/>
              <w:suppressAutoHyphens w:val="true"/>
              <w:spacing w:before="60" w:after="60"/>
              <w:rPr>
                <w:rFonts w:eastAsia="Calibri"/>
              </w:rPr>
            </w:pPr>
            <w:r>
              <w:rPr>
                <w:rFonts w:eastAsia="Calibri"/>
              </w:rPr>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35" w:name="_Ref125362995"/>
            <w:bookmarkStart w:id="36" w:name="_Ref125362995"/>
            <w:bookmarkEnd w:id="36"/>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Требования</w:t>
              <w:br/>
              <w:t>к описанию продукции:</w:t>
            </w:r>
          </w:p>
        </w:tc>
        <w:tc>
          <w:tcPr>
            <w:tcW w:w="5621" w:type="dxa"/>
            <w:tcBorders/>
          </w:tcPr>
          <w:p>
            <w:pPr>
              <w:pStyle w:val="Style31"/>
              <w:widowControl w:val="false"/>
              <w:suppressAutoHyphens w:val="true"/>
              <w:spacing w:before="60" w:after="60"/>
              <w:rPr/>
            </w:pPr>
            <w:r>
              <w:rPr>
                <w:rFonts w:eastAsia="Calibri" w:cs=""/>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838" w:type="dxa"/>
            <w:tcBorders/>
          </w:tcPr>
          <w:p>
            <w:pPr>
              <w:pStyle w:val="Style27"/>
              <w:widowControl w:val="false"/>
              <w:suppressAutoHyphens w:val="true"/>
              <w:spacing w:before="60" w:after="60"/>
              <w:rPr>
                <w:rFonts w:eastAsia="Calibri"/>
              </w:rPr>
            </w:pPr>
            <w:r>
              <w:rPr>
                <w:rFonts w:eastAsia="Calibri"/>
              </w:rPr>
            </w:r>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Применение законодательства о национальном режиме:</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Национальный режим предоставляется.</w:t>
            </w:r>
          </w:p>
          <w:p>
            <w:pPr>
              <w:pStyle w:val="Style31"/>
              <w:widowControl w:val="false"/>
              <w:suppressAutoHyphens w:val="true"/>
              <w:spacing w:before="60" w:after="60"/>
              <w:rPr>
                <w:rFonts w:eastAsia="Calibri"/>
              </w:rPr>
            </w:pPr>
            <w:r>
              <w:rPr>
                <w:rFonts w:eastAsia="Calibri"/>
              </w:rPr>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37" w:name="_Ref125533737"/>
            <w:bookmarkStart w:id="38" w:name="_Ref125533737"/>
            <w:bookmarkEnd w:id="38"/>
          </w:p>
        </w:tc>
        <w:tc>
          <w:tcPr>
            <w:tcW w:w="3295" w:type="dxa"/>
            <w:tcBorders/>
          </w:tcPr>
          <w:p>
            <w:pPr>
              <w:pStyle w:val="Normal"/>
              <w:widowControl w:val="false"/>
              <w:suppressAutoHyphens w:val="true"/>
              <w:spacing w:before="60" w:after="60"/>
              <w:jc w:val="left"/>
              <w:rPr>
                <w:rFonts w:eastAsia="Calibri"/>
              </w:rPr>
            </w:pPr>
            <w:r>
              <w:rPr>
                <w:rFonts w:eastAsia="Calibri" w:cs=""/>
                <w:kern w:val="0"/>
                <w:sz w:val="26"/>
                <w:szCs w:val="22"/>
                <w:lang w:val="ru-RU" w:eastAsia="en-US" w:bidi="ar-SA"/>
              </w:rPr>
              <w:t>Возможность подачи альтернативных предложений:</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Не предусмотрена.</w:t>
            </w:r>
          </w:p>
          <w:p>
            <w:pPr>
              <w:pStyle w:val="Style31"/>
              <w:widowControl w:val="false"/>
              <w:suppressAutoHyphens w:val="true"/>
              <w:spacing w:before="60" w:after="60"/>
              <w:ind w:hanging="0" w:left="284"/>
              <w:rPr>
                <w:rStyle w:val="Style14"/>
                <w:rFonts w:eastAsia="Calibri"/>
              </w:rPr>
            </w:pPr>
            <w:r>
              <w:rPr>
                <w:rFonts w:eastAsia="Calibri"/>
              </w:rPr>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39" w:name="_Ref125475086"/>
            <w:bookmarkStart w:id="40" w:name="_Ref125475086"/>
            <w:bookmarkEnd w:id="40"/>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Место и порядок подачи заявок:</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Заявки подаются посредством функционала ЭП, по адресу ЭП, указанному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41" w:name="_Ref125360779"/>
            <w:bookmarkStart w:id="42" w:name="_Ref125360779"/>
            <w:bookmarkEnd w:id="42"/>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Дата начала; дата и время окончания срока подачи заявок:</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Дата начала подачи заявок:</w:t>
            </w:r>
          </w:p>
          <w:p>
            <w:pPr>
              <w:pStyle w:val="Style31"/>
              <w:widowControl w:val="false"/>
              <w:suppressAutoHyphens w:val="true"/>
              <w:spacing w:before="60" w:after="60"/>
              <w:rPr>
                <w:rFonts w:eastAsia="Calibri"/>
              </w:rPr>
            </w:pPr>
            <w:r>
              <w:rPr>
                <w:rFonts w:eastAsia="Calibri" w:cs=""/>
                <w:kern w:val="0"/>
                <w:sz w:val="26"/>
                <w:szCs w:val="22"/>
                <w:lang w:val="ru-RU" w:eastAsia="en-US" w:bidi="ar-SA"/>
              </w:rPr>
              <w:t>«01» октября 2026г.</w:t>
            </w:r>
          </w:p>
          <w:p>
            <w:pPr>
              <w:pStyle w:val="Style31"/>
              <w:widowControl w:val="false"/>
              <w:suppressAutoHyphens w:val="true"/>
              <w:spacing w:before="60" w:after="60"/>
              <w:rPr>
                <w:rFonts w:ascii="Times New Roman" w:hAnsi="Times New Roman" w:cs=""/>
                <w:kern w:val="0"/>
                <w:sz w:val="26"/>
                <w:szCs w:val="22"/>
                <w:lang w:val="ru-RU" w:eastAsia="en-US" w:bidi="ar-SA"/>
              </w:rPr>
            </w:pPr>
            <w:r>
              <w:rPr>
                <w:rFonts w:eastAsia="Calibri" w:cs=""/>
                <w:kern w:val="0"/>
                <w:sz w:val="26"/>
                <w:szCs w:val="22"/>
                <w:lang w:val="ru-RU" w:eastAsia="en-US" w:bidi="ar-SA"/>
              </w:rPr>
              <w:t>Дата и время окончания срока подачи заявок:</w:t>
            </w:r>
          </w:p>
          <w:p>
            <w:pPr>
              <w:pStyle w:val="Style31"/>
              <w:widowControl w:val="false"/>
              <w:suppressAutoHyphens w:val="true"/>
              <w:spacing w:before="60" w:after="60"/>
              <w:rPr/>
            </w:pPr>
            <w:r>
              <w:rPr>
                <w:rFonts w:eastAsia="Calibri" w:cs=""/>
                <w:kern w:val="0"/>
                <w:sz w:val="26"/>
                <w:szCs w:val="22"/>
                <w:lang w:val="ru-RU" w:eastAsia="en-US" w:bidi="ar-SA"/>
              </w:rPr>
              <w:t>«14» октября 2026г. в 11 ч. 00 мин.</w:t>
            </w:r>
            <w:r>
              <w:rPr>
                <w:rStyle w:val="Style11"/>
                <w:rFonts w:eastAsia="Calibri" w:cs=""/>
                <w:kern w:val="0"/>
                <w:sz w:val="26"/>
                <w:szCs w:val="22"/>
                <w:shd w:fill="auto" w:val="clear"/>
                <w:lang w:val="ru-RU" w:eastAsia="en-US" w:bidi="ar-SA"/>
              </w:rPr>
              <w:t xml:space="preserve"> </w:t>
            </w:r>
            <w:r>
              <w:rPr>
                <w:rFonts w:eastAsia="Calibri" w:cs=""/>
                <w:kern w:val="0"/>
                <w:sz w:val="26"/>
                <w:szCs w:val="22"/>
                <w:lang w:val="ru-RU" w:eastAsia="en-US" w:bidi="ar-SA"/>
              </w:rPr>
              <w:t>(по московскому времени).</w:t>
            </w:r>
          </w:p>
        </w:tc>
      </w:tr>
      <w:tr>
        <w:trPr/>
        <w:tc>
          <w:tcPr>
            <w:tcW w:w="838" w:type="dxa"/>
            <w:tcBorders/>
          </w:tcPr>
          <w:p>
            <w:pPr>
              <w:pStyle w:val="Style27"/>
              <w:widowControl w:val="false"/>
              <w:suppressAutoHyphens w:val="true"/>
              <w:spacing w:before="60" w:after="60"/>
              <w:rPr>
                <w:rFonts w:eastAsia="Calibri"/>
              </w:rPr>
            </w:pPr>
            <w:r>
              <w:rPr>
                <w:rFonts w:eastAsia="Calibri"/>
              </w:rPr>
            </w:r>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Срок предоставления Участникам разъяснений Документации о закупке:</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Дата и время окончания срока предоставления разъяснений:</w:t>
            </w:r>
          </w:p>
          <w:p>
            <w:pPr>
              <w:pStyle w:val="Style31"/>
              <w:widowControl w:val="false"/>
              <w:suppressAutoHyphens w:val="true"/>
              <w:spacing w:before="60" w:after="60"/>
              <w:rPr>
                <w:rFonts w:eastAsia="Calibri"/>
              </w:rPr>
            </w:pPr>
            <w:r>
              <w:rPr>
                <w:rFonts w:eastAsia="Calibri" w:cs=""/>
                <w:kern w:val="0"/>
                <w:sz w:val="26"/>
                <w:szCs w:val="22"/>
                <w:lang w:val="ru-RU" w:eastAsia="en-US" w:bidi="ar-SA"/>
              </w:rPr>
              <w:t>«14» октября 2026г. в 11 ч. 00 мин.</w:t>
            </w:r>
            <w:r>
              <w:rPr>
                <w:rStyle w:val="Style11"/>
                <w:rFonts w:eastAsia="Calibri" w:cs=""/>
                <w:kern w:val="0"/>
                <w:sz w:val="26"/>
                <w:szCs w:val="22"/>
                <w:shd w:fill="auto" w:val="clear"/>
                <w:lang w:val="ru-RU" w:eastAsia="en-US" w:bidi="ar-SA"/>
              </w:rPr>
              <w:t xml:space="preserve"> </w:t>
            </w:r>
            <w:r>
              <w:rPr>
                <w:rFonts w:eastAsia="Calibri" w:cs=""/>
                <w:kern w:val="0"/>
                <w:sz w:val="26"/>
                <w:szCs w:val="22"/>
                <w:lang w:val="ru-RU" w:eastAsia="en-US" w:bidi="ar-SA"/>
              </w:rPr>
              <w:t>(по московскому времени).</w:t>
            </w:r>
          </w:p>
          <w:p>
            <w:pPr>
              <w:pStyle w:val="Style31"/>
              <w:widowControl w:val="false"/>
              <w:suppressAutoHyphens w:val="true"/>
              <w:spacing w:before="60" w:after="60"/>
              <w:rPr>
                <w:rFonts w:eastAsia="Calibri"/>
              </w:rPr>
            </w:pPr>
            <w:r>
              <w:rPr>
                <w:rFonts w:eastAsia="Calibri" w:c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_Ref125360779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1.2.18</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43" w:name="_Ref125476197"/>
            <w:bookmarkStart w:id="44" w:name="_Ref125476197"/>
            <w:bookmarkEnd w:id="44"/>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Место открытия</w:t>
              <w:br/>
              <w:t>доступа к заявкам:</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45" w:name="_Ref125362733"/>
            <w:bookmarkStart w:id="46" w:name="_Ref125362733"/>
            <w:bookmarkEnd w:id="46"/>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Дата окончания рассмотрения заявок:</w:t>
            </w:r>
          </w:p>
        </w:tc>
        <w:tc>
          <w:tcPr>
            <w:tcW w:w="5621" w:type="dxa"/>
            <w:tcBorders/>
          </w:tcPr>
          <w:p>
            <w:pPr>
              <w:pStyle w:val="Style31"/>
              <w:widowControl w:val="false"/>
              <w:suppressAutoHyphens w:val="true"/>
              <w:spacing w:before="60" w:after="60"/>
              <w:rPr>
                <w:rFonts w:ascii="Times New Roman" w:hAnsi="Times New Roman" w:cs=""/>
                <w:kern w:val="0"/>
                <w:sz w:val="26"/>
                <w:szCs w:val="22"/>
                <w:lang w:val="ru-RU" w:eastAsia="en-US" w:bidi="ar-SA"/>
              </w:rPr>
            </w:pPr>
            <w:r>
              <w:rPr>
                <w:rFonts w:eastAsia="Calibri" w:cs=""/>
                <w:kern w:val="0"/>
                <w:sz w:val="26"/>
                <w:szCs w:val="22"/>
                <w:lang w:val="ru-RU" w:eastAsia="en-US" w:bidi="ar-SA"/>
              </w:rPr>
              <w:t>«16» ноября 2026г.</w:t>
            </w:r>
          </w:p>
        </w:tc>
      </w:tr>
      <w:tr>
        <w:trPr/>
        <w:tc>
          <w:tcPr>
            <w:tcW w:w="838" w:type="dxa"/>
            <w:tcBorders/>
          </w:tcPr>
          <w:p>
            <w:pPr>
              <w:pStyle w:val="Style27"/>
              <w:widowControl w:val="false"/>
              <w:suppressAutoHyphens w:val="true"/>
              <w:spacing w:before="60" w:after="60"/>
              <w:rPr>
                <w:rFonts w:eastAsia="Calibri"/>
              </w:rPr>
            </w:pPr>
            <w:r>
              <w:rPr>
                <w:rFonts w:eastAsia="Calibri"/>
              </w:rPr>
            </w:r>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Возможность проведения процедуры переторжки:</w:t>
            </w:r>
          </w:p>
        </w:tc>
        <w:tc>
          <w:tcPr>
            <w:tcW w:w="5621" w:type="dxa"/>
            <w:tcBorders/>
          </w:tcPr>
          <w:p>
            <w:pPr>
              <w:pStyle w:val="Style31"/>
              <w:widowControl w:val="false"/>
              <w:suppressAutoHyphens w:val="true"/>
              <w:spacing w:before="60" w:after="60"/>
              <w:rPr>
                <w:rFonts w:eastAsia="Calibri"/>
              </w:rPr>
            </w:pPr>
            <w:r>
              <w:rPr>
                <w:rFonts w:eastAsia="Calibri" w:cs=""/>
                <w:b/>
                <w:bCs/>
                <w:kern w:val="0"/>
                <w:sz w:val="26"/>
                <w:szCs w:val="22"/>
                <w:lang w:val="ru-RU" w:eastAsia="en-US" w:bidi="ar-SA"/>
              </w:rPr>
              <w:t>Не предусмотрено</w:t>
            </w:r>
            <w:r>
              <w:rPr>
                <w:rFonts w:eastAsia="Calibri" w:cs=""/>
                <w:kern w:val="0"/>
                <w:sz w:val="26"/>
                <w:szCs w:val="22"/>
                <w:lang w:val="ru-RU" w:eastAsia="en-US" w:bidi="ar-SA"/>
              </w:rPr>
              <w:t>.</w:t>
            </w:r>
          </w:p>
          <w:p>
            <w:pPr>
              <w:pStyle w:val="Style34"/>
              <w:widowControl w:val="false"/>
              <w:suppressAutoHyphens w:val="true"/>
              <w:spacing w:before="60" w:after="60"/>
              <w:rPr>
                <w:rFonts w:eastAsia="Calibri"/>
              </w:rPr>
            </w:pPr>
            <w:r>
              <w:rPr>
                <w:rFonts w:eastAsia="Calibri"/>
              </w:rPr>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47" w:name="_Ref125362757"/>
            <w:bookmarkStart w:id="48" w:name="_Ref125362757"/>
            <w:bookmarkEnd w:id="48"/>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Дата подведения</w:t>
              <w:br/>
              <w:t>итогов закупки:</w:t>
            </w:r>
          </w:p>
        </w:tc>
        <w:tc>
          <w:tcPr>
            <w:tcW w:w="5621" w:type="dxa"/>
            <w:tcBorders/>
          </w:tcPr>
          <w:p>
            <w:pPr>
              <w:pStyle w:val="Style31"/>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«16» ноября 2026г.</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49" w:name="_Ref125361769"/>
            <w:bookmarkStart w:id="50" w:name="_Ref125361769"/>
            <w:bookmarkEnd w:id="50"/>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Не предусмотрено.</w:t>
            </w:r>
          </w:p>
          <w:p>
            <w:pPr>
              <w:pStyle w:val="Style34"/>
              <w:widowControl w:val="false"/>
              <w:suppressAutoHyphens w:val="true"/>
              <w:spacing w:before="60" w:after="60"/>
              <w:rPr>
                <w:rFonts w:eastAsia="Calibri"/>
              </w:rPr>
            </w:pPr>
            <w:r>
              <w:rPr>
                <w:rFonts w:eastAsia="Calibri"/>
              </w:rPr>
            </w:r>
          </w:p>
        </w:tc>
      </w:tr>
      <w:tr>
        <w:trPr/>
        <w:tc>
          <w:tcPr>
            <w:tcW w:w="838" w:type="dxa"/>
            <w:tcBorders/>
          </w:tcPr>
          <w:p>
            <w:pPr>
              <w:pStyle w:val="Style27"/>
              <w:widowControl w:val="false"/>
              <w:suppressAutoHyphens w:val="true"/>
              <w:spacing w:before="60" w:after="60"/>
              <w:rPr>
                <w:rFonts w:eastAsia="Calibri"/>
              </w:rPr>
            </w:pPr>
            <w:r>
              <w:rPr>
                <w:rFonts w:eastAsia="Calibri"/>
              </w:rPr>
            </w:r>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Порядок подведения</w:t>
              <w:br/>
              <w:t>итогов закупки:</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51" w:name="_Ref125366606"/>
            <w:bookmarkStart w:id="52" w:name="_Ref125366606"/>
            <w:bookmarkEnd w:id="52"/>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Количество победителей закупки (в рамках одного лота):</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Один победитель.</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53" w:name="_Ref125533374"/>
            <w:bookmarkStart w:id="54" w:name="_Ref125533374"/>
            <w:bookmarkEnd w:id="54"/>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Форма заключения Договора:</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В бумажной или электронной форме (подробный порядок заключения Договора содержится в 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_Ref126142429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1"/>
              <w:widowControl w:val="false"/>
              <w:suppressAutoHyphens w:val="true"/>
              <w:spacing w:before="60" w:after="60"/>
              <w:rPr/>
            </w:pPr>
            <w:r>
              <w:rPr>
                <w:rFonts w:eastAsia="Calibri" w:cs=""/>
                <w:kern w:val="0"/>
                <w:sz w:val="26"/>
                <w:szCs w:val="22"/>
                <w:lang w:val="ru-RU" w:eastAsia="en-US" w:bidi="ar-SA"/>
              </w:rPr>
              <w:t xml:space="preserve">Если договор будет заключаться в электронной форме посредством информационной системы электронного документооборота </w:t>
            </w:r>
            <w:r>
              <w:rPr>
                <w:rStyle w:val="Style11"/>
                <w:rFonts w:eastAsia="Calibri" w:cs=""/>
                <w:i w:val="false"/>
                <w:iCs w:val="false"/>
                <w:kern w:val="0"/>
                <w:sz w:val="26"/>
                <w:szCs w:val="22"/>
                <w:shd w:fill="auto" w:val="clear"/>
                <w:lang w:val="ru-RU" w:eastAsia="en-US" w:bidi="ar-SA"/>
              </w:rPr>
              <w:t>ЭДО «Контур. Диадок»</w:t>
            </w:r>
            <w:r>
              <w:rPr>
                <w:rFonts w:eastAsia="Calibri" w:cs=""/>
                <w:kern w:val="0"/>
                <w:sz w:val="26"/>
                <w:szCs w:val="22"/>
                <w:lang w:val="ru-RU" w:eastAsia="en-US" w:bidi="ar-SA"/>
              </w:rP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55" w:name="_Ref125366813"/>
            <w:bookmarkStart w:id="56" w:name="_Ref125366813"/>
            <w:bookmarkEnd w:id="56"/>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621" w:type="dxa"/>
            <w:tcBorders/>
          </w:tcPr>
          <w:p>
            <w:pPr>
              <w:pStyle w:val="Style31"/>
              <w:keepNext w:val="true"/>
              <w:widowControl w:val="false"/>
              <w:suppressAutoHyphens w:val="true"/>
              <w:spacing w:lineRule="auto" w:line="240" w:before="60" w:after="60"/>
              <w:rPr/>
            </w:pPr>
            <w:r>
              <w:rPr>
                <w:rFonts w:eastAsia="Calibri" w:cs=""/>
                <w:kern w:val="0"/>
                <w:sz w:val="26"/>
                <w:szCs w:val="22"/>
                <w:lang w:val="ru-RU" w:eastAsia="en-US" w:bidi="ar-SA"/>
              </w:rPr>
              <w:t>Для подачи документов в бумажной форме:</w:t>
            </w:r>
          </w:p>
          <w:p>
            <w:pPr>
              <w:pStyle w:val="Style31"/>
              <w:keepNext w:val="true"/>
              <w:widowControl w:val="false"/>
              <w:suppressAutoHyphens w:val="true"/>
              <w:spacing w:lineRule="auto" w:line="240" w:before="60" w:after="60"/>
              <w:rPr/>
            </w:pPr>
            <w:r>
              <w:rPr>
                <w:rFonts w:eastAsia="Calibri" w:cs=""/>
                <w:kern w:val="0"/>
                <w:sz w:val="26"/>
                <w:szCs w:val="22"/>
                <w:lang w:val="ru-RU" w:eastAsia="en-US" w:bidi="ar-SA"/>
              </w:rPr>
              <w:t>Контактное лицо (Ф.И.О.):</w:t>
            </w:r>
          </w:p>
          <w:p>
            <w:pPr>
              <w:pStyle w:val="Style31"/>
              <w:widowControl w:val="false"/>
              <w:suppressAutoHyphens w:val="true"/>
              <w:spacing w:lineRule="auto" w:line="240" w:before="60" w:after="60"/>
              <w:rPr/>
            </w:pPr>
            <w:r>
              <w:rPr>
                <w:rFonts w:eastAsia="Calibri" w:cs=""/>
                <w:kern w:val="0"/>
                <w:sz w:val="26"/>
                <w:szCs w:val="22"/>
                <w:lang w:val="ru-RU" w:eastAsia="en-US" w:bidi="ar-SA"/>
              </w:rPr>
              <w:t>Бондаренко Игорь Владимирович</w:t>
            </w:r>
          </w:p>
          <w:p>
            <w:pPr>
              <w:pStyle w:val="Style31"/>
              <w:keepNext w:val="true"/>
              <w:widowControl w:val="false"/>
              <w:suppressAutoHyphens w:val="true"/>
              <w:spacing w:lineRule="auto" w:line="240" w:before="60" w:after="60"/>
              <w:rPr/>
            </w:pPr>
            <w:r>
              <w:rPr>
                <w:rFonts w:eastAsia="Calibri" w:cs=""/>
                <w:kern w:val="0"/>
                <w:sz w:val="26"/>
                <w:szCs w:val="22"/>
                <w:lang w:val="ru-RU" w:eastAsia="en-US" w:bidi="ar-SA"/>
              </w:rPr>
              <w:t>Почтовый адрес:</w:t>
            </w:r>
          </w:p>
          <w:p>
            <w:pPr>
              <w:pStyle w:val="Style31"/>
              <w:widowControl w:val="false"/>
              <w:suppressAutoHyphens w:val="true"/>
              <w:spacing w:lineRule="auto" w:line="240" w:before="60" w:after="60"/>
              <w:rPr/>
            </w:pPr>
            <w:r>
              <w:rPr>
                <w:rFonts w:eastAsia="Calibri" w:cs=""/>
                <w:kern w:val="0"/>
                <w:sz w:val="26"/>
                <w:szCs w:val="22"/>
                <w:lang w:val="ru-RU" w:eastAsia="en-US" w:bidi="ar-SA"/>
              </w:rPr>
              <w:t>357115, Ставропольский край, г. Невинномысск, ул. Водопроводная, д. 360а</w:t>
            </w:r>
          </w:p>
          <w:p>
            <w:pPr>
              <w:pStyle w:val="Style31"/>
              <w:widowControl w:val="false"/>
              <w:suppressAutoHyphens w:val="true"/>
              <w:spacing w:lineRule="auto" w:line="240" w:before="120" w:after="60"/>
              <w:rPr/>
            </w:pPr>
            <w:r>
              <w:rPr>
                <w:rFonts w:eastAsia="Calibri" w:cs=""/>
                <w:kern w:val="0"/>
                <w:sz w:val="26"/>
                <w:szCs w:val="22"/>
                <w:lang w:val="ru-RU" w:eastAsia="en-US" w:bidi="ar-SA"/>
              </w:rPr>
              <w:t>Для подачи документов в электронной форме:</w:t>
            </w:r>
          </w:p>
          <w:p>
            <w:pPr>
              <w:pStyle w:val="Style31"/>
              <w:widowControl w:val="false"/>
              <w:suppressAutoHyphens w:val="true"/>
              <w:spacing w:lineRule="auto" w:line="240" w:before="60" w:after="60"/>
              <w:rPr/>
            </w:pPr>
            <w:bookmarkStart w:id="57" w:name="_Hlk193278855"/>
            <w:r>
              <w:rPr>
                <w:rFonts w:eastAsia="Calibri" w:cs=""/>
                <w:kern w:val="0"/>
                <w:sz w:val="26"/>
                <w:szCs w:val="22"/>
                <w:lang w:val="ru-RU" w:eastAsia="en-US" w:bidi="ar-SA"/>
              </w:rPr>
              <w:t>Корпоративный сайт ПАО «РусГидро»</w:t>
            </w:r>
            <w:bookmarkEnd w:id="57"/>
            <w:r>
              <w:rPr>
                <w:rFonts w:eastAsia="Calibri" w:cs=""/>
                <w:kern w:val="0"/>
                <w:sz w:val="26"/>
                <w:szCs w:val="22"/>
                <w:lang w:val="ru-RU" w:eastAsia="en-US" w:bidi="ar-SA"/>
              </w:rPr>
              <w:t>, через специально созданную учетную запись (подробный порядок содержится в 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_Ref126142429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838" w:type="dxa"/>
            <w:tcBorders/>
          </w:tcPr>
          <w:p>
            <w:pPr>
              <w:pStyle w:val="Style27"/>
              <w:widowControl w:val="false"/>
              <w:suppressAutoHyphens w:val="true"/>
              <w:spacing w:before="60" w:after="60"/>
              <w:rPr>
                <w:rFonts w:eastAsia="Calibri"/>
              </w:rPr>
            </w:pPr>
            <w:r>
              <w:rPr>
                <w:rFonts w:eastAsia="Calibri"/>
              </w:rPr>
            </w:r>
            <w:bookmarkStart w:id="58" w:name="_Ref125368490"/>
            <w:bookmarkStart w:id="59" w:name="_Ref125368490"/>
            <w:bookmarkEnd w:id="59"/>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Некритичные пункты Проекта договора:</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Отсутствуют.</w:t>
            </w:r>
          </w:p>
        </w:tc>
      </w:tr>
      <w:tr>
        <w:trPr/>
        <w:tc>
          <w:tcPr>
            <w:tcW w:w="838" w:type="dxa"/>
            <w:tcBorders/>
          </w:tcPr>
          <w:p>
            <w:pPr>
              <w:pStyle w:val="Style27"/>
              <w:widowControl w:val="false"/>
              <w:suppressAutoHyphens w:val="true"/>
              <w:spacing w:before="60" w:after="60"/>
              <w:rPr>
                <w:rFonts w:eastAsia="Calibri"/>
              </w:rPr>
            </w:pPr>
            <w:r>
              <w:rPr>
                <w:rFonts w:eastAsia="Calibri"/>
              </w:rPr>
            </w:r>
          </w:p>
        </w:tc>
        <w:tc>
          <w:tcPr>
            <w:tcW w:w="3295" w:type="dxa"/>
            <w:tcBorders/>
          </w:tcPr>
          <w:p>
            <w:pPr>
              <w:pStyle w:val="Style31"/>
              <w:widowControl w:val="false"/>
              <w:suppressAutoHyphens w:val="true"/>
              <w:spacing w:before="60" w:after="60"/>
              <w:jc w:val="left"/>
              <w:rPr>
                <w:rFonts w:eastAsia="Calibri"/>
              </w:rPr>
            </w:pPr>
            <w:r>
              <w:rPr>
                <w:rFonts w:eastAsia="Calibri" w:cs=""/>
                <w:kern w:val="0"/>
                <w:sz w:val="26"/>
                <w:szCs w:val="22"/>
                <w:lang w:val="ru-RU" w:eastAsia="en-US" w:bidi="ar-SA"/>
              </w:rPr>
              <w:t>Обеспечение</w:t>
              <w:br/>
              <w:t>исполнения Договора:</w:t>
            </w:r>
          </w:p>
        </w:tc>
        <w:tc>
          <w:tcPr>
            <w:tcW w:w="562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Не требуется.</w:t>
            </w:r>
          </w:p>
        </w:tc>
      </w:tr>
    </w:tbl>
    <w:p>
      <w:pPr>
        <w:pStyle w:val="Style25"/>
        <w:rPr/>
      </w:pPr>
      <w:bookmarkStart w:id="60" w:name="_Ref125360073"/>
      <w:bookmarkStart w:id="61" w:name="_Ref125360337"/>
      <w:bookmarkStart w:id="62" w:name="_Toc228976328"/>
      <w:r>
        <w:rPr/>
        <w:t>Общие положения</w:t>
      </w:r>
      <w:bookmarkEnd w:id="60"/>
      <w:bookmarkEnd w:id="61"/>
      <w:bookmarkEnd w:id="62"/>
    </w:p>
    <w:p>
      <w:pPr>
        <w:pStyle w:val="Style26"/>
        <w:rPr/>
      </w:pPr>
      <w:bookmarkStart w:id="63" w:name="_Toc228976329"/>
      <w:r>
        <w:rPr/>
        <w:t>Общие сведения о закупке</w:t>
      </w:r>
      <w:bookmarkEnd w:id="63"/>
    </w:p>
    <w:p>
      <w:pPr>
        <w:pStyle w:val="Style27"/>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7"/>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7"/>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4"/>
          </w:rPr>
          <w:t>Технических требованиях (Приложение № 1)</w:t>
        </w:r>
      </w:hyperlink>
      <w:r>
        <w:rPr/>
        <w:t xml:space="preserve">. </w:t>
      </w:r>
      <w:hyperlink w:anchor="Прил02_ПроектДоговора">
        <w:r>
          <w:rPr>
            <w:rStyle w:val="Style14"/>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4"/>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4"/>
          </w:rPr>
          <w:t>Приложение № 4</w:t>
        </w:r>
      </w:hyperlink>
      <w:r>
        <w:rPr/>
        <w:t>)).</w:t>
      </w:r>
    </w:p>
    <w:p>
      <w:pPr>
        <w:pStyle w:val="Style27"/>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4"/>
          </w:rPr>
          <w:t>№ 4</w:t>
        </w:r>
      </w:hyperlink>
      <w:r>
        <w:rPr/>
        <w:t xml:space="preserve">, </w:t>
      </w:r>
      <w:hyperlink w:anchor="Прил05_ФормыПобедителя">
        <w:r>
          <w:rPr>
            <w:rStyle w:val="Style14"/>
          </w:rPr>
          <w:t>№ 5</w:t>
        </w:r>
      </w:hyperlink>
      <w:r>
        <w:rPr/>
        <w:t>.</w:t>
      </w:r>
    </w:p>
    <w:p>
      <w:pPr>
        <w:pStyle w:val="Style26"/>
        <w:rPr/>
      </w:pPr>
      <w:bookmarkStart w:id="64" w:name="_Toc228976330"/>
      <w:r>
        <w:rPr/>
        <w:t>Правовой статус документов</w:t>
      </w:r>
      <w:bookmarkEnd w:id="64"/>
    </w:p>
    <w:p>
      <w:pPr>
        <w:pStyle w:val="Style27"/>
        <w:rPr/>
      </w:pPr>
      <w:r>
        <w:rPr/>
        <w:t>Состязательный отбор не является конкурентной процедурой в соответствии с действующим законодательством.</w:t>
      </w:r>
    </w:p>
    <w:p>
      <w:pPr>
        <w:pStyle w:val="Style27"/>
        <w:rPr/>
      </w:pPr>
      <w:r>
        <w:rPr/>
        <w:t>Документация о закупке вместе с Извещением, являющимся ее неотъемлемой частью, являются приглашением Организатора делать оферты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pPr>
        <w:pStyle w:val="Style27"/>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7"/>
        <w:keepNext w:val="true"/>
        <w:rPr/>
      </w:pPr>
      <w:bookmarkStart w:id="65"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5"/>
      <w:r>
        <w:rPr/>
        <w:t>.</w:t>
      </w:r>
    </w:p>
    <w:p>
      <w:pPr>
        <w:pStyle w:val="Style27"/>
        <w:rPr/>
      </w:pPr>
      <w:r>
        <w:rPr/>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pPr>
        <w:pStyle w:val="Style27"/>
        <w:rPr/>
      </w:pPr>
      <w:r>
        <w:rPr/>
        <w:t>Во всем, что не урегулировано Извещением и Документацией о закупке, стороны руководствуются Положением о закупке (в редакции, действующей на дату официального размещения Извещения).</w:t>
      </w:r>
    </w:p>
    <w:p>
      <w:pPr>
        <w:pStyle w:val="Style27"/>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7"/>
        <w:rPr/>
      </w:pPr>
      <w:r>
        <w:rPr/>
        <w:t>Иные документы Организатора и Участников не определяют права и обязанности сторон в связи с данной закупкой.</w:t>
      </w:r>
    </w:p>
    <w:p>
      <w:pPr>
        <w:pStyle w:val="Style27"/>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6"/>
        <w:rPr/>
      </w:pPr>
      <w:bookmarkStart w:id="66" w:name="_Ref125363536"/>
      <w:bookmarkStart w:id="67" w:name="_Toc228976331"/>
      <w:r>
        <w:rPr/>
        <w:t>Обжалование</w:t>
      </w:r>
      <w:bookmarkEnd w:id="66"/>
      <w:bookmarkEnd w:id="67"/>
    </w:p>
    <w:p>
      <w:pPr>
        <w:pStyle w:val="Style27"/>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7"/>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7"/>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8"/>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8"/>
        <w:rPr/>
      </w:pPr>
      <w:r>
        <w:rPr/>
        <w:t>признать заявление Участника необоснованным.</w:t>
      </w:r>
    </w:p>
    <w:p>
      <w:pPr>
        <w:pStyle w:val="Style27"/>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с учетом того, что настоящая закупка не является торгами.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7"/>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8"/>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8"/>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8" w:name="_Hlk219296876"/>
      <w:r>
        <w:rPr/>
        <w:t>Красноярского края</w:t>
      </w:r>
      <w:bookmarkEnd w:id="68"/>
      <w:r>
        <w:rPr/>
        <w:t>.</w:t>
      </w:r>
    </w:p>
    <w:p>
      <w:pPr>
        <w:pStyle w:val="Style31"/>
        <w:ind w:hanging="0" w:left="1134"/>
        <w:rPr/>
      </w:pPr>
      <w:r>
        <w:rPr/>
        <w:t>Закупочная комиссия определяется в соответствии с Положением о закупке.</w:t>
      </w:r>
    </w:p>
    <w:p>
      <w:pPr>
        <w:pStyle w:val="Style26"/>
        <w:rPr/>
      </w:pPr>
      <w:bookmarkStart w:id="69" w:name="_Ref125472658"/>
      <w:bookmarkStart w:id="70" w:name="_Toc228976332"/>
      <w:r>
        <w:rPr/>
        <w:t>Особые положения при проведении закупки с использованием ЭП</w:t>
      </w:r>
      <w:bookmarkEnd w:id="69"/>
      <w:bookmarkEnd w:id="70"/>
    </w:p>
    <w:p>
      <w:pPr>
        <w:pStyle w:val="Style27"/>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7"/>
        <w:rPr/>
      </w:pPr>
      <w:r>
        <w:rPr/>
        <w:t>Для участия в закупке Участник должен пройти процедуру регистрации на ЭП. Регистрация осуществляется Оператором ЭП, и Организатор (Заказчик) не несет ответственности за результат ее прохождения Участником, в том числе понесенные им затраты.</w:t>
      </w:r>
    </w:p>
    <w:p>
      <w:pPr>
        <w:pStyle w:val="Style27"/>
        <w:rPr/>
      </w:pPr>
      <w:bookmarkStart w:id="71" w:name="_Ref135748672"/>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71"/>
    </w:p>
    <w:p>
      <w:pPr>
        <w:pStyle w:val="Style27"/>
        <w:rPr/>
      </w:pPr>
      <w:bookmarkStart w:id="72" w:name="_Ref135748741"/>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72"/>
    </w:p>
    <w:p>
      <w:pPr>
        <w:pStyle w:val="Style26"/>
        <w:rPr/>
      </w:pPr>
      <w:bookmarkStart w:id="73" w:name="_Toc228976333"/>
      <w:r>
        <w:rPr/>
        <w:t>Прочие положения</w:t>
      </w:r>
      <w:bookmarkEnd w:id="73"/>
    </w:p>
    <w:p>
      <w:pPr>
        <w:pStyle w:val="Style27"/>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7"/>
        <w:rPr/>
      </w:pPr>
      <w:bookmarkStart w:id="74" w:name="_Ref136257236"/>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74"/>
    </w:p>
    <w:p>
      <w:pPr>
        <w:pStyle w:val="Style27"/>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5"/>
        <w:rPr/>
      </w:pPr>
      <w:bookmarkStart w:id="75" w:name="_Ref125361210"/>
      <w:bookmarkStart w:id="76" w:name="_Toc228976334"/>
      <w:r>
        <w:rPr/>
        <w:t>Требования к Участникам</w:t>
      </w:r>
      <w:bookmarkEnd w:id="75"/>
      <w:bookmarkEnd w:id="76"/>
    </w:p>
    <w:p>
      <w:pPr>
        <w:pStyle w:val="Style26"/>
        <w:rPr/>
      </w:pPr>
      <w:bookmarkStart w:id="77" w:name="_Ref127524530"/>
      <w:bookmarkStart w:id="78" w:name="_Toc228976335"/>
      <w:r>
        <w:rPr/>
        <w:t>Общие требования к Участникам</w:t>
      </w:r>
      <w:bookmarkEnd w:id="77"/>
      <w:bookmarkEnd w:id="78"/>
    </w:p>
    <w:p>
      <w:pPr>
        <w:pStyle w:val="Style27"/>
        <w:rPr/>
      </w:pPr>
      <w:bookmarkStart w:id="79"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 в том числе в составе группы лиц.</w:t>
      </w:r>
      <w:bookmarkEnd w:id="79"/>
    </w:p>
    <w:p>
      <w:pPr>
        <w:pStyle w:val="Style27"/>
        <w:rPr/>
      </w:pPr>
      <w:r>
        <w:rPr/>
        <w:t>Однако, чтобы претендовать на победу в закупке Участник самостоятельно или Коллективный участник (подраздел </w:t>
      </w:r>
      <w:r>
        <w:rPr/>
        <w:fldChar w:fldCharType="begin"/>
      </w:r>
      <w:r>
        <w:rPr/>
        <w:instrText xml:space="preserve"> REF _Ref130308062 \r \h </w:instrText>
      </w:r>
      <w:r>
        <w:rPr/>
        <w:fldChar w:fldCharType="separate"/>
      </w:r>
      <w:r>
        <w:rPr/>
        <w:t>3.2</w:t>
      </w:r>
      <w:r>
        <w:rPr/>
        <w:fldChar w:fldCharType="end"/>
      </w:r>
      <w:r>
        <w:rPr/>
        <w:t>) в целом должен отвечать требованиям, установленным в Документации о закупке.</w:t>
      </w:r>
    </w:p>
    <w:p>
      <w:pPr>
        <w:pStyle w:val="Style27"/>
        <w:rPr/>
      </w:pPr>
      <w:r>
        <w:rPr/>
        <w:t xml:space="preserve">Требования к Участникам установлены с учетом предмета договора, </w:t>
      </w:r>
      <w:hyperlink w:anchor="Прил01_ТехТребования">
        <w:r>
          <w:rPr>
            <w:rStyle w:val="Style14"/>
          </w:rPr>
          <w:t>Технических требований (Приложение № 1)</w:t>
        </w:r>
      </w:hyperlink>
      <w:r>
        <w:rPr/>
        <w:t xml:space="preserve"> и </w:t>
      </w:r>
      <w:hyperlink w:anchor="Прил02_ПроектДоговора">
        <w:r>
          <w:rPr>
            <w:rStyle w:val="Style14"/>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4"/>
          </w:rPr>
          <w:t>Приложение № 4</w:t>
        </w:r>
      </w:hyperlink>
      <w:r>
        <w:rPr/>
        <w:t>)).</w:t>
      </w:r>
    </w:p>
    <w:p>
      <w:pPr>
        <w:pStyle w:val="Style27"/>
        <w:keepNext w:val="true"/>
        <w:rPr/>
      </w:pPr>
      <w:r>
        <w:rPr/>
        <w:t>Установлены следующие требования к Участникам, которые приведены в </w:t>
      </w:r>
      <w:hyperlink w:anchor="Прил03_ТребованияУчастникам">
        <w:r>
          <w:rPr>
            <w:rStyle w:val="Style14"/>
          </w:rPr>
          <w:t>Приложении № 3</w:t>
        </w:r>
      </w:hyperlink>
      <w:r>
        <w:rPr/>
        <w:t>:</w:t>
      </w:r>
    </w:p>
    <w:p>
      <w:pPr>
        <w:pStyle w:val="Style28"/>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 должны им соответствовать;</w:t>
      </w:r>
    </w:p>
    <w:p>
      <w:pPr>
        <w:pStyle w:val="Style28"/>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8"/>
        <w:rPr/>
      </w:pPr>
      <w:r>
        <w:rPr/>
        <w:t>квалификационные требования – Участники должны им соответствовать, если они установлены (подраздел </w:t>
      </w:r>
      <w:r>
        <w:rPr/>
        <w:fldChar w:fldCharType="begin"/>
      </w:r>
      <w:r>
        <w:rPr/>
        <w:instrText xml:space="preserve"> REF _Ref125709154 \r \h </w:instrText>
      </w:r>
      <w:r>
        <w:rPr/>
        <w:fldChar w:fldCharType="separate"/>
      </w:r>
      <w:r>
        <w:rPr/>
        <w:t>8.4</w:t>
      </w:r>
      <w:r>
        <w:rPr/>
        <w:fldChar w:fldCharType="end"/>
      </w:r>
      <w:r>
        <w:rPr/>
        <w:t>).</w:t>
      </w:r>
    </w:p>
    <w:p>
      <w:pPr>
        <w:pStyle w:val="Style27"/>
        <w:keepNext w:val="true"/>
        <w:rPr/>
      </w:pPr>
      <w:r>
        <w:rPr/>
        <w:t>В рамках требований к Участникам могут быть установлены дополнительные требования:</w:t>
      </w:r>
    </w:p>
    <w:p>
      <w:pPr>
        <w:pStyle w:val="Style28"/>
        <w:rPr/>
      </w:pPr>
      <w:r>
        <w:rPr/>
        <w:t>к Коллективным участникам (подраздел </w:t>
      </w:r>
      <w:r>
        <w:rPr/>
        <w:fldChar w:fldCharType="begin"/>
      </w:r>
      <w:r>
        <w:rPr/>
        <w:instrText xml:space="preserve"> REF _Ref130308111 \r \h </w:instrText>
      </w:r>
      <w:r>
        <w:rPr/>
        <w:fldChar w:fldCharType="separate"/>
      </w:r>
      <w:r>
        <w:rPr/>
        <w:t>3.2</w:t>
      </w:r>
      <w:r>
        <w:rPr/>
        <w:fldChar w:fldCharType="end"/>
      </w:r>
      <w:r>
        <w:rPr/>
        <w:t>);</w:t>
      </w:r>
    </w:p>
    <w:p>
      <w:pPr>
        <w:pStyle w:val="Style28"/>
        <w:rPr/>
      </w:pPr>
      <w:r>
        <w:rPr/>
        <w:t>к Генеральным подрядчикам (подраздел </w:t>
      </w:r>
      <w:r>
        <w:rPr/>
        <w:fldChar w:fldCharType="begin"/>
      </w:r>
      <w:r>
        <w:rPr/>
        <w:instrText xml:space="preserve"> REF _Ref125361702 \r \h </w:instrText>
      </w:r>
      <w:r>
        <w:rPr/>
        <w:fldChar w:fldCharType="separate"/>
      </w:r>
      <w:r>
        <w:rPr/>
        <w:t>3.3</w:t>
      </w:r>
      <w:r>
        <w:rPr/>
        <w:fldChar w:fldCharType="end"/>
      </w:r>
      <w:r>
        <w:rPr/>
        <w:t>).</w:t>
      </w:r>
    </w:p>
    <w:p>
      <w:pPr>
        <w:pStyle w:val="Style27"/>
        <w:rPr/>
      </w:pPr>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4"/>
          </w:rPr>
          <w:t>Требованиях к Участникам (Приложение № 3)</w:t>
        </w:r>
      </w:hyperlink>
      <w:r>
        <w:rPr/>
        <w:t>, если иное не установлено в Документации о закупке.</w:t>
      </w:r>
    </w:p>
    <w:p>
      <w:pPr>
        <w:pStyle w:val="Style26"/>
        <w:rPr/>
      </w:pPr>
      <w:bookmarkStart w:id="80" w:name="_Ref130305355"/>
      <w:bookmarkStart w:id="81" w:name="_Ref130308062"/>
      <w:bookmarkStart w:id="82" w:name="_Ref130308111"/>
      <w:bookmarkStart w:id="83" w:name="_Ref130308203"/>
      <w:bookmarkStart w:id="84" w:name="_Ref130308255"/>
      <w:bookmarkStart w:id="85" w:name="_Toc228976336"/>
      <w:bookmarkStart w:id="86" w:name="_Ref125361969"/>
      <w:bookmarkStart w:id="87" w:name="_Ref125361976"/>
      <w:r>
        <w:rPr/>
        <w:t>Коллективные участники</w:t>
      </w:r>
      <w:bookmarkEnd w:id="80"/>
      <w:bookmarkEnd w:id="81"/>
      <w:bookmarkEnd w:id="82"/>
      <w:bookmarkEnd w:id="83"/>
      <w:bookmarkEnd w:id="84"/>
      <w:bookmarkEnd w:id="85"/>
      <w:bookmarkEnd w:id="86"/>
      <w:bookmarkEnd w:id="87"/>
    </w:p>
    <w:p>
      <w:pPr>
        <w:pStyle w:val="Style27"/>
        <w:rPr/>
      </w:pPr>
      <w:r>
        <w:rPr/>
        <w:t>В закупке могут участвовать объединения юридических и (или) физических лиц (в том числе индивидуальные предприниматели), способные на законных основаниях выполнить требуемую поставку продукции – Коллективный участник.</w:t>
      </w:r>
    </w:p>
    <w:p>
      <w:pPr>
        <w:pStyle w:val="Style27"/>
        <w:rPr/>
      </w:pPr>
      <w:r>
        <w:rPr/>
        <w:t>Если заявка подается Коллективным участником, дополнительно должны быть выполнены требования настоящего подраздела, а также требования к дополнительным документам, предоставляемым Коллективными участниками в составе заявки, установленные в подразделе </w:t>
      </w:r>
      <w:r>
        <w:rPr/>
        <w:fldChar w:fldCharType="begin"/>
      </w:r>
      <w:r>
        <w:rPr/>
        <w:instrText xml:space="preserve"> REF _Ref125552455 \r \h </w:instrText>
      </w:r>
      <w:r>
        <w:rPr/>
        <w:fldChar w:fldCharType="separate"/>
      </w:r>
      <w:r>
        <w:rPr/>
        <w:t>8.5</w:t>
      </w:r>
      <w:r>
        <w:rPr/>
        <w:fldChar w:fldCharType="end"/>
      </w:r>
      <w:r>
        <w:rPr/>
        <w:t xml:space="preserve"> </w:t>
      </w:r>
      <w:hyperlink w:anchor="Прил03_ТребованияУчастникам">
        <w:r>
          <w:rPr>
            <w:rStyle w:val="Style14"/>
          </w:rPr>
          <w:t>Требований к Участникам (Приложение № 3)</w:t>
        </w:r>
      </w:hyperlink>
      <w:r>
        <w:rPr/>
        <w:t>.</w:t>
      </w:r>
    </w:p>
    <w:p>
      <w:pPr>
        <w:pStyle w:val="Style27"/>
        <w:keepNext w:val="true"/>
        <w:rPr/>
      </w:pPr>
      <w:bookmarkStart w:id="88" w:name="_Ref125366972"/>
      <w:r>
        <w:rPr/>
        <w:t>Члены Коллективного участника заключают между собой соглашение, соответствующее нормам ГК РФ, и отвечающее следующим требованиям:</w:t>
      </w:r>
      <w:bookmarkEnd w:id="88"/>
    </w:p>
    <w:p>
      <w:pPr>
        <w:pStyle w:val="Style28"/>
        <w:rPr/>
      </w:pPr>
      <w:r>
        <w:rPr/>
        <w:t>в соглашении должны быть определены права и обязанности сторон как в рамках участия в закупке, так и в рамках исполнения Договора;</w:t>
      </w:r>
    </w:p>
    <w:p>
      <w:pPr>
        <w:pStyle w:val="Style28"/>
        <w:rPr/>
      </w:pPr>
      <w:r>
        <w:rPr/>
        <w:t>в соглашении должно быть приведено распределение номенклатуры, объемов и стоимости, а также сроков поставки продукции между членами Коллективного участника;</w:t>
      </w:r>
    </w:p>
    <w:p>
      <w:pPr>
        <w:pStyle w:val="Style28"/>
        <w:rPr/>
      </w:pPr>
      <w:r>
        <w:rPr/>
        <w:t xml:space="preserve">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и Заказчиком </w:t>
      </w:r>
      <w:bookmarkStart w:id="89" w:name="_Hlk219296901"/>
      <w:r>
        <w:rPr/>
        <w:t>в процессе участия в закупке, заключения и последующего исполнения Договора</w:t>
      </w:r>
      <w:bookmarkEnd w:id="89"/>
      <w:r>
        <w:rPr/>
        <w:t>;</w:t>
      </w:r>
    </w:p>
    <w:p>
      <w:pPr>
        <w:pStyle w:val="Style28"/>
        <w:rPr/>
      </w:pPr>
      <w:r>
        <w:rPr/>
        <w:t>в соглашении должна быть установлена солидарная ответственность каждого члена Коллективного участника по обязательствам, связанным с участием в закупке, заключением и последующим исполнением Договора;</w:t>
      </w:r>
    </w:p>
    <w:p>
      <w:pPr>
        <w:pStyle w:val="Style28"/>
        <w:rPr/>
      </w:pPr>
      <w:r>
        <w:rPr/>
        <w:t>срок действия соглашения должен быть не менее срока исполнения обязательств Участника по Договору, предлагаемого в составе заявки;</w:t>
      </w:r>
    </w:p>
    <w:p>
      <w:pPr>
        <w:pStyle w:val="Style28"/>
        <w:rPr/>
      </w:pPr>
      <w:r>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pPr>
        <w:pStyle w:val="Style27"/>
        <w:rPr/>
      </w:pPr>
      <w:r>
        <w:rPr/>
        <w:t>Заявка подготавливается и подается лидером от своего имени со ссылкой в Письме о подаче оферты (форма 2) (</w:t>
      </w:r>
      <w:hyperlink w:anchor="Прил04_ФормыЗаявки">
        <w:r>
          <w:rPr>
            <w:rStyle w:val="Style14"/>
          </w:rPr>
          <w:t>Приложение № 4</w:t>
        </w:r>
      </w:hyperlink>
      <w:r>
        <w:rPr/>
        <w:t>) на то, что он представляет интересы Коллективного участника.</w:t>
      </w:r>
    </w:p>
    <w:p>
      <w:pPr>
        <w:pStyle w:val="Style27"/>
        <w:rPr/>
      </w:pPr>
      <w:bookmarkStart w:id="90" w:name="_Ref125368791"/>
      <w:r>
        <w:rPr/>
        <w:t>Каждый член Коллективного участника (включая лидера Коллективного участника) должен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bookmarkEnd w:id="90"/>
    </w:p>
    <w:p>
      <w:pPr>
        <w:pStyle w:val="Style27"/>
        <w:rPr/>
      </w:pPr>
      <w:r>
        <w:rPr/>
        <w:t>При рассмотрении и оценке Коллективного участника на соответствие специальным требованиям к Участникам (подраздел </w:t>
      </w:r>
      <w:r>
        <w:rPr/>
        <w:fldChar w:fldCharType="begin"/>
      </w:r>
      <w:r>
        <w:rPr/>
        <w:instrText xml:space="preserve"> REF _Ref125709153 \r \h </w:instrText>
      </w:r>
      <w:r>
        <w:rPr/>
        <w:fldChar w:fldCharType="separate"/>
      </w:r>
      <w:r>
        <w:rPr/>
        <w:t>8.3</w:t>
      </w:r>
      <w:r>
        <w:rPr/>
        <w:fldChar w:fldCharType="end"/>
      </w:r>
      <w:r>
        <w:rPr/>
        <w:t>) 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каждого из членов Коллективного участника, которым в соответствии с Планом распределения объемов поставки продукции (форма 10) (</w:t>
      </w:r>
      <w:hyperlink w:anchor="Прил04_ФормыЗаявки">
        <w:r>
          <w:rPr>
            <w:rStyle w:val="Style14"/>
          </w:rPr>
          <w:t>Приложение № 4</w:t>
        </w:r>
      </w:hyperlink>
      <w:r>
        <w:rPr/>
        <w:t>) будет поручена непосредственная поставка продукции, требующая наличия необходимого статуса в соответствии с законодательством (для членства в саморегулируемых организациях – с уровнем ответственности соответствующего члена Коллективного участника пропорционально заявляемому объему поставки продукции).</w:t>
      </w:r>
    </w:p>
    <w:p>
      <w:pPr>
        <w:pStyle w:val="Style27"/>
        <w:rPr/>
      </w:pPr>
      <w:bookmarkStart w:id="91" w:name="_Ref134705077"/>
      <w:r>
        <w:rPr/>
        <w:t>При рассмотрении и оценке Коллективного участника на соответствие квалификационным требованиям (подраздел </w:t>
      </w:r>
      <w:r>
        <w:rPr/>
        <w:fldChar w:fldCharType="begin"/>
      </w:r>
      <w:r>
        <w:rPr/>
        <w:instrText xml:space="preserve"> REF _Ref125550270 \r \h </w:instrText>
      </w:r>
      <w:r>
        <w:rPr/>
        <w:fldChar w:fldCharType="separate"/>
      </w:r>
      <w:r>
        <w:rPr/>
        <w:t>8.4</w:t>
      </w:r>
      <w:r>
        <w:rPr/>
        <w:fldChar w:fldCharType="end"/>
      </w:r>
      <w:r>
        <w:rPr/>
        <w:t>), параметры деятельности членов Коллективного участника, такие как наличие требуемого опыта, обеспеченность материально-техническими ресурсами и кадровыми ресурсами,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r>
          <w:rPr>
            <w:rStyle w:val="Style14"/>
          </w:rPr>
          <w:t>Приложение № 4</w:t>
        </w:r>
      </w:hyperlink>
      <w:r>
        <w:rPr/>
        <w:t>) будет поручена непосредственная поставка продукции, требующая наличия указанного опыта.</w:t>
      </w:r>
      <w:bookmarkEnd w:id="91"/>
    </w:p>
    <w:p>
      <w:pPr>
        <w:pStyle w:val="Style27"/>
        <w:keepNext w:val="true"/>
        <w:rPr/>
      </w:pPr>
      <w:bookmarkStart w:id="92" w:name="_Ref125361726"/>
      <w:r>
        <w:rP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92"/>
    </w:p>
    <w:p>
      <w:pPr>
        <w:pStyle w:val="Style28"/>
        <w:rPr/>
      </w:pPr>
      <w:r>
        <w:rPr/>
        <w:t>принимать участие в этой же закупке самостоятельно;</w:t>
      </w:r>
    </w:p>
    <w:p>
      <w:pPr>
        <w:pStyle w:val="Style28"/>
        <w:rPr/>
      </w:pPr>
      <w:r>
        <w:rPr/>
        <w:t>принимать участие в этой же закупке в качестве Генерального подрядчика или субподрядчика (подраздел </w:t>
      </w:r>
      <w:r>
        <w:rPr/>
        <w:fldChar w:fldCharType="begin"/>
      </w:r>
      <w:r>
        <w:rPr/>
        <w:instrText xml:space="preserve"> REF _Ref125361702 \r \h </w:instrText>
      </w:r>
      <w:r>
        <w:rPr/>
        <w:fldChar w:fldCharType="separate"/>
      </w:r>
      <w:r>
        <w:rPr/>
        <w:t>3.3</w:t>
      </w:r>
      <w:r>
        <w:rPr/>
        <w:fldChar w:fldCharType="end"/>
      </w:r>
      <w:r>
        <w:rPr/>
        <w:t>).</w:t>
      </w:r>
    </w:p>
    <w:p>
      <w:pPr>
        <w:pStyle w:val="Style31"/>
        <w:ind w:hanging="0" w:left="1134"/>
        <w:rPr/>
      </w:pPr>
      <w:r>
        <w:rPr/>
        <w:t>В случае невыполнения данного требования все заявки с участием таких лиц будут отклонены.</w:t>
      </w:r>
    </w:p>
    <w:p>
      <w:pPr>
        <w:pStyle w:val="Style27"/>
        <w:rPr/>
      </w:pPr>
      <w:r>
        <w:rP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r>
          <w:rPr>
            <w:rStyle w:val="Style14"/>
          </w:rPr>
          <w:t>Приложение № 3</w:t>
        </w:r>
      </w:hyperlink>
      <w:r>
        <w:rPr>
          <w:rStyle w:val="Style14"/>
        </w:rPr>
        <w:t>)</w:t>
      </w:r>
      <w:r>
        <w:rPr/>
        <w:t>, а также при несоблюдении вышеуказанных норм настоящего подраздела, заявка такого Коллективного участника отклоняется.</w:t>
      </w:r>
    </w:p>
    <w:p>
      <w:pPr>
        <w:pStyle w:val="Style27"/>
        <w:rPr/>
      </w:pPr>
      <w:r>
        <w:rP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pPr>
        <w:pStyle w:val="Style27"/>
        <w:rPr/>
      </w:pPr>
      <w:r>
        <w:rP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pPr>
        <w:pStyle w:val="Style26"/>
        <w:rPr/>
      </w:pPr>
      <w:bookmarkStart w:id="93" w:name="_Ref125361702"/>
      <w:bookmarkStart w:id="94" w:name="_Toc228976337"/>
      <w:r>
        <w:rPr/>
        <w:t>Генеральные подрядчики</w:t>
      </w:r>
      <w:bookmarkEnd w:id="93"/>
      <w:bookmarkEnd w:id="94"/>
    </w:p>
    <w:p>
      <w:pPr>
        <w:pStyle w:val="Style27"/>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рассмотрение и оценка заявок Участников с учетом привлекаемых субподрядчиков.</w:t>
      </w:r>
    </w:p>
    <w:p>
      <w:pPr>
        <w:pStyle w:val="Style27"/>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8.6</w:t>
      </w:r>
      <w:r>
        <w:rPr/>
        <w:fldChar w:fldCharType="end"/>
      </w:r>
      <w:r>
        <w:rPr/>
        <w:t xml:space="preserve"> </w:t>
      </w:r>
      <w:hyperlink w:anchor="Прил03_ТребованияУчастникам">
        <w:r>
          <w:rPr>
            <w:rStyle w:val="Style14"/>
          </w:rPr>
          <w:t>Требований к Участникам (Приложение № 3)</w:t>
        </w:r>
      </w:hyperlink>
      <w:r>
        <w:rPr/>
        <w:t>.</w:t>
      </w:r>
    </w:p>
    <w:p>
      <w:pPr>
        <w:pStyle w:val="Style27"/>
        <w:keepNext w:val="true"/>
        <w:rPr/>
      </w:pPr>
      <w:r>
        <w:rPr/>
        <w:t>Генеральный подрядчик:</w:t>
      </w:r>
    </w:p>
    <w:p>
      <w:pPr>
        <w:pStyle w:val="Style28"/>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8"/>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8"/>
        <w:rPr/>
      </w:pPr>
      <w:r>
        <w:rPr/>
        <w:t>в рамках остальных специальных требований и квалификационных требований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 должен отвечать им только в части объема поставки продукции, который ему предполагается поручить в соответствии с Планом распределения объемов поставки продукции (форма 10) (</w:t>
      </w:r>
      <w:hyperlink w:anchor="Прил04_ФормыЗаявки">
        <w:r>
          <w:rPr>
            <w:rStyle w:val="Style14"/>
          </w:rPr>
          <w:t>Приложение № 4</w:t>
        </w:r>
      </w:hyperlink>
      <w:r>
        <w:rPr/>
        <w:t>).</w:t>
      </w:r>
    </w:p>
    <w:p>
      <w:pPr>
        <w:pStyle w:val="Style27"/>
        <w:keepNext w:val="true"/>
        <w:rPr/>
      </w:pPr>
      <w:r>
        <w:rPr/>
        <w:t>Каждый субподрядчик из привлекаемых Генеральным подрядчиком должен отвечать:</w:t>
      </w:r>
    </w:p>
    <w:p>
      <w:pPr>
        <w:pStyle w:val="Style28"/>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8"/>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8"/>
        <w:rPr/>
      </w:pPr>
      <w:r>
        <w:rPr/>
        <w:t>квалификационным требованиям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w:t>
      </w:r>
    </w:p>
    <w:p>
      <w:pPr>
        <w:pStyle w:val="Style31"/>
        <w:ind w:hanging="0" w:left="1134"/>
        <w:rPr/>
      </w:pPr>
      <w:bookmarkStart w:id="95" w:name="_Ref125368863"/>
      <w:r>
        <w:rPr/>
        <w:t xml:space="preserve">При этом соответствовать специальным и квалификационным требованиям субподрядчик должен только в части объема поставки продукции, который ему поручен </w:t>
      </w:r>
      <w:bookmarkEnd w:id="95"/>
      <w:r>
        <w:rPr/>
        <w:t>в соответствии с Планом распределения объемов поставки продукции (форма 10) (</w:t>
      </w:r>
      <w:hyperlink w:anchor="Прил04_ФормыЗаявки">
        <w:r>
          <w:rPr>
            <w:rStyle w:val="Style14"/>
          </w:rPr>
          <w:t>Приложение № 4</w:t>
        </w:r>
      </w:hyperlink>
      <w:r>
        <w:rPr/>
        <w:t>).</w:t>
      </w:r>
    </w:p>
    <w:p>
      <w:pPr>
        <w:pStyle w:val="Style27"/>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4"/>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7"/>
        <w:rPr/>
      </w:pPr>
      <w:bookmarkStart w:id="96"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 </w:t>
      </w:r>
      <w:r>
        <w:rPr/>
        <w:fldChar w:fldCharType="begin"/>
      </w:r>
      <w:r>
        <w:rPr/>
        <w:instrText xml:space="preserve"> REF _Ref130308203 \r \h </w:instrText>
      </w:r>
      <w:r>
        <w:rPr/>
        <w:fldChar w:fldCharType="separate"/>
      </w:r>
      <w:r>
        <w:rPr/>
        <w:t>3.2</w:t>
      </w:r>
      <w:r>
        <w:rPr/>
        <w:fldChar w:fldCharType="end"/>
      </w:r>
      <w:r>
        <w:rP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 участием таких лиц будут отклонены.</w:t>
      </w:r>
      <w:bookmarkEnd w:id="96"/>
    </w:p>
    <w:p>
      <w:pPr>
        <w:sectPr>
          <w:headerReference w:type="default" r:id="rId7"/>
          <w:footerReference w:type="defaul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7"/>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8.6</w:t>
      </w:r>
      <w:r>
        <w:rPr/>
        <w:fldChar w:fldCharType="end"/>
      </w:r>
      <w:r>
        <w:rPr/>
        <w:t xml:space="preserve"> </w:t>
      </w:r>
      <w:hyperlink w:anchor="Прил03_ТребованияУчастникам">
        <w:r>
          <w:rPr>
            <w:rStyle w:val="Style14"/>
          </w:rPr>
          <w:t>Требований к Участникам (Приложение № 3)</w:t>
        </w:r>
      </w:hyperlink>
      <w:r>
        <w:rPr/>
        <w:t>.Ответственность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5"/>
        <w:rPr/>
      </w:pPr>
      <w:bookmarkStart w:id="97" w:name="_Ref125361211"/>
      <w:bookmarkStart w:id="98" w:name="_Ref125367098"/>
      <w:bookmarkStart w:id="99" w:name="_Ref125367107"/>
      <w:bookmarkStart w:id="100" w:name="_Ref125367974"/>
      <w:bookmarkStart w:id="101" w:name="_Toc228976338"/>
      <w:r>
        <w:rPr/>
        <w:t>Порядок проведения закупки</w:t>
      </w:r>
      <w:bookmarkEnd w:id="97"/>
      <w:bookmarkEnd w:id="98"/>
      <w:bookmarkEnd w:id="99"/>
      <w:bookmarkEnd w:id="100"/>
      <w:bookmarkEnd w:id="101"/>
    </w:p>
    <w:p>
      <w:pPr>
        <w:pStyle w:val="Style26"/>
        <w:rPr/>
      </w:pPr>
      <w:bookmarkStart w:id="102" w:name="_Ref126141932"/>
      <w:bookmarkStart w:id="103" w:name="_Toc228976339"/>
      <w:r>
        <w:rPr/>
        <w:t>Общий порядок проведения закупки</w:t>
      </w:r>
      <w:bookmarkEnd w:id="102"/>
      <w:bookmarkEnd w:id="103"/>
    </w:p>
    <w:p>
      <w:pPr>
        <w:pStyle w:val="Style27"/>
        <w:keepNext w:val="true"/>
        <w:spacing w:before="120" w:after="120"/>
        <w:rPr/>
      </w:pPr>
      <w:r>
        <w:rPr/>
        <w:t>Закупка проводится в следующем порядке:</w:t>
      </w:r>
    </w:p>
    <w:tbl>
      <w:tblPr>
        <w:tblStyle w:val="affe"/>
        <w:tblW w:w="14003"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428"/>
        <w:gridCol w:w="3334"/>
        <w:gridCol w:w="1109"/>
        <w:gridCol w:w="2228"/>
        <w:gridCol w:w="2407"/>
        <w:gridCol w:w="2266"/>
        <w:gridCol w:w="2230"/>
      </w:tblGrid>
      <w:tr>
        <w:trPr>
          <w:cnfStyle w:val="100000000000" w:firstRow="1" w:lastRow="0" w:firstColumn="0" w:lastColumn="0" w:oddVBand="0" w:evenVBand="0" w:oddHBand="0" w:evenHBand="0" w:firstRowFirstColumn="0" w:firstRowLastColumn="0" w:lastRowFirstColumn="0" w:lastRowLastColumn="0"/>
        </w:trPr>
        <w:tc>
          <w:tcPr>
            <w:tcW w:w="428" w:type="dxa"/>
            <w:tcBorders>
              <w:left w:val="nil"/>
            </w:tcBorders>
            <w:vAlign w:val="bottom"/>
          </w:tcPr>
          <w:p>
            <w:pPr>
              <w:pStyle w:val="Style31"/>
              <w:keepNext w:val="tru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574" w:type="dxa"/>
            <w:gridSpan w:val="6"/>
            <w:tcBorders>
              <w:right w:val="nil"/>
            </w:tcBorders>
          </w:tcPr>
          <w:p>
            <w:pPr>
              <w:pStyle w:val="Style31"/>
              <w:keepNext w:val="tru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671" w:type="dxa"/>
            <w:gridSpan w:val="3"/>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7" w:type="dxa"/>
            <w:vMerge w:val="restart"/>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_Ref130394802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6" w:type="dxa"/>
            <w:vMerge w:val="restart"/>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restart"/>
            <w:tcBorders>
              <w:right w:val="nil"/>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4" w:type="dxa"/>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7"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407"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66"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vAlign w:val="bottom"/>
          </w:tcPr>
          <w:p>
            <w:pPr>
              <w:pStyle w:val="Style31"/>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44" w:type="dxa"/>
            <w:gridSpan w:val="5"/>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заявкам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_Ref130221619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0" w:type="dxa"/>
            <w:vMerge w:val="restart"/>
            <w:tcBorders>
              <w:right w:val="nil"/>
            </w:tcBorders>
            <w:vAlign w:val="center"/>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_Ref126141962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4" w:type="dxa"/>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заявок (отборочная стадия), в том числе (при необходимости) проведение аккредитации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7"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(предоставление</w:t>
              <w:br/>
              <w:t>национального режима / запрета, ограничения)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_Ref130985951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7" w:type="dxa"/>
            <w:vMerge w:val="restart"/>
            <w:tcBorders/>
            <w:vAlign w:val="center"/>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6" w:type="dxa"/>
            <w:vMerge w:val="restart"/>
            <w:tcBorders/>
            <w:vAlign w:val="center"/>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0" w:type="dxa"/>
            <w:vMerge w:val="continue"/>
            <w:tcBorders>
              <w:right w:val="nil"/>
            </w:tcBorders>
          </w:tcPr>
          <w:p>
            <w:pPr>
              <w:pStyle w:val="Style31"/>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671" w:type="dxa"/>
            <w:gridSpan w:val="3"/>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Переторжка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_Ref127536359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407"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66"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1"/>
              <w:widowControl w:val="false"/>
              <w:suppressAutoHyphens w:val="true"/>
              <w:spacing w:before="40" w:after="40"/>
              <w:jc w:val="center"/>
              <w:rPr>
                <w:bCs/>
                <w:sz w:val="24"/>
                <w:szCs w:val="24"/>
              </w:rPr>
            </w:pPr>
            <w:r>
              <w:rPr>
                <w:bCs/>
                <w:sz w:val="24"/>
                <w:szCs w:val="24"/>
              </w:rPr>
            </w:r>
          </w:p>
        </w:tc>
      </w:tr>
      <w:tr>
        <w:trPr>
          <w:trHeight w:val="881" w:hRule="atLeast"/>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334" w:type="dxa"/>
            <w:tcBorders/>
            <w:vAlign w:val="center"/>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337"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_Ref130985951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407"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66"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1"/>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1"/>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078" w:type="dxa"/>
            <w:gridSpan w:val="4"/>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6" w:type="dxa"/>
            <w:vMerge w:val="continue"/>
            <w:tcBorders/>
          </w:tcPr>
          <w:p>
            <w:pPr>
              <w:pStyle w:val="Style31"/>
              <w:widowControl w:val="false"/>
              <w:suppressAutoHyphens w:val="true"/>
              <w:spacing w:before="40" w:after="40"/>
              <w:jc w:val="center"/>
              <w:rPr>
                <w:bCs/>
                <w:sz w:val="24"/>
                <w:szCs w:val="24"/>
              </w:rPr>
            </w:pPr>
            <w:r>
              <w:rPr>
                <w:bCs/>
                <w:sz w:val="24"/>
                <w:szCs w:val="24"/>
              </w:rPr>
            </w:r>
          </w:p>
        </w:tc>
        <w:tc>
          <w:tcPr>
            <w:tcW w:w="2230" w:type="dxa"/>
            <w:vMerge w:val="continue"/>
            <w:tcBorders>
              <w:right w:val="nil"/>
            </w:tcBorders>
          </w:tcPr>
          <w:p>
            <w:pPr>
              <w:pStyle w:val="Style31"/>
              <w:widowControl w:val="false"/>
              <w:suppressAutoHyphens w:val="true"/>
              <w:spacing w:before="40" w:after="40"/>
              <w:jc w:val="center"/>
              <w:rPr>
                <w:bCs/>
                <w:sz w:val="24"/>
                <w:szCs w:val="24"/>
              </w:rPr>
            </w:pPr>
            <w:r>
              <w:rPr>
                <w:bCs/>
                <w:sz w:val="24"/>
                <w:szCs w:val="24"/>
              </w:rPr>
            </w:r>
          </w:p>
        </w:tc>
      </w:tr>
      <w:tr>
        <w:trPr/>
        <w:tc>
          <w:tcPr>
            <w:tcW w:w="428" w:type="dxa"/>
            <w:tcBorders>
              <w:left w:val="nil"/>
            </w:tcBorders>
            <w:vAlign w:val="bottom"/>
          </w:tcPr>
          <w:p>
            <w:pPr>
              <w:pStyle w:val="Style31"/>
              <w:widowControl w:val="false"/>
              <w:suppressAutoHyphens w:val="true"/>
              <w:spacing w:before="40" w:after="40"/>
              <w:jc w:val="center"/>
              <w:rPr>
                <w:bCs/>
                <w:sz w:val="24"/>
                <w:szCs w:val="24"/>
                <w:u w:val="single"/>
              </w:rPr>
            </w:pPr>
            <w:r>
              <w:rPr>
                <w:rFonts w:eastAsia="Wingdings 3" w:cs="Wingdings 3" w:ascii="Wingdings 3" w:hAnsi="Wingdings 3"/>
                <w:bCs/>
                <w:kern w:val="0"/>
                <w:sz w:val="24"/>
                <w:szCs w:val="24"/>
                <w:u w:val="single"/>
                <w:lang w:val="ru-RU" w:eastAsia="en-US" w:bidi="ar-SA"/>
              </w:rPr>
              <w:sym w:font="Wingdings 3" w:char="f0d4"/>
            </w:r>
          </w:p>
        </w:tc>
        <w:tc>
          <w:tcPr>
            <w:tcW w:w="4443"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_Ref138232981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1"/>
              <w:widowControl w:val="false"/>
              <w:suppressAutoHyphens w:val="true"/>
              <w:spacing w:before="40" w:after="40"/>
              <w:jc w:val="center"/>
              <w:rPr>
                <w:bCs/>
                <w:sz w:val="24"/>
                <w:szCs w:val="24"/>
              </w:rPr>
            </w:pPr>
            <w:r>
              <w:rPr>
                <w:bCs/>
                <w:sz w:val="24"/>
                <w:szCs w:val="24"/>
              </w:rPr>
            </w:r>
          </w:p>
        </w:tc>
        <w:tc>
          <w:tcPr>
            <w:tcW w:w="4635" w:type="dxa"/>
            <w:gridSpan w:val="2"/>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Проведение преддоговорных переговоров</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_Ref125552570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4496" w:type="dxa"/>
            <w:gridSpan w:val="2"/>
            <w:tcBorders>
              <w:right w:val="nil"/>
            </w:tcBorders>
          </w:tcPr>
          <w:p>
            <w:pPr>
              <w:pStyle w:val="Style31"/>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w:t>
              <w:br/>
              <w:t>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6"/>
        <w:rPr/>
      </w:pPr>
      <w:bookmarkStart w:id="104" w:name="_Ref130286532"/>
      <w:bookmarkStart w:id="105" w:name="_Toc228976340"/>
      <w:r>
        <w:rPr/>
        <w:t>Официальное размещение Извещения и Документации о закупке</w:t>
      </w:r>
      <w:bookmarkEnd w:id="104"/>
      <w:bookmarkEnd w:id="105"/>
    </w:p>
    <w:p>
      <w:pPr>
        <w:pStyle w:val="Style27"/>
        <w:rPr/>
      </w:pPr>
      <w:r>
        <w:rPr/>
        <w:t>Извещение и Документация о закупке официально размещены на ЭП и доступны для ознакомления без взимания платы. Иные публикации не влекут для Организатора никаких последствий.</w:t>
      </w:r>
    </w:p>
    <w:p>
      <w:pPr>
        <w:pStyle w:val="Style27"/>
        <w:rPr/>
      </w:pPr>
      <w:r>
        <w:rPr/>
        <w:t>При возникновении технических или иных неполадок, блокирующих доступ к ЭП в течение более чем 1 (одного) рабочего дня, информация размещается на официальном сайте Заказчика с последующим размещением ее на ЭП в течение 1 (одного) рабочего дня со дня устранения указанных неполадок.</w:t>
      </w:r>
    </w:p>
    <w:p>
      <w:pPr>
        <w:pStyle w:val="Style27"/>
        <w:rPr/>
      </w:pPr>
      <w:bookmarkStart w:id="106" w:name="_Ref125362785"/>
      <w:r>
        <w:rPr/>
        <w:t>Порядок получения информации через ЭП определяется Регламентом ЭП, с использованием которой проводится закупка.</w:t>
      </w:r>
      <w:bookmarkEnd w:id="106"/>
    </w:p>
    <w:p>
      <w:pPr>
        <w:pStyle w:val="Style27"/>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6"/>
        <w:rPr/>
      </w:pPr>
      <w:bookmarkStart w:id="107" w:name="_Ref130281199"/>
      <w:bookmarkStart w:id="108" w:name="_Ref130394681"/>
      <w:bookmarkStart w:id="109" w:name="_Toc228976341"/>
      <w:r>
        <w:rPr/>
        <w:t>Подготовка заявки</w:t>
      </w:r>
      <w:bookmarkEnd w:id="107"/>
      <w:bookmarkEnd w:id="108"/>
      <w:bookmarkEnd w:id="109"/>
    </w:p>
    <w:p>
      <w:pPr>
        <w:pStyle w:val="Style27"/>
        <w:rPr/>
      </w:pPr>
      <w:r>
        <w:rPr/>
        <w:t>Участник должен подготовить заявку с учетом требований Документации о закупке.</w:t>
      </w:r>
    </w:p>
    <w:p>
      <w:pPr>
        <w:pStyle w:val="Style27"/>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7"/>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4"/>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4"/>
          </w:rPr>
          <w:t>Приложение № 4</w:t>
        </w:r>
      </w:hyperlink>
      <w:r>
        <w:rPr/>
        <w:t>.</w:t>
      </w:r>
    </w:p>
    <w:p>
      <w:pPr>
        <w:pStyle w:val="Style27"/>
        <w:rPr/>
      </w:pPr>
      <w:bookmarkStart w:id="110" w:name="_Ref130394854"/>
      <w:bookmarkStart w:id="111" w:name="_Ref125365866"/>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0"/>
      <w:bookmarkEnd w:id="111"/>
    </w:p>
    <w:p>
      <w:pPr>
        <w:pStyle w:val="Style27"/>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4"/>
          </w:rPr>
          <w:t>Приложение № 4</w:t>
        </w:r>
      </w:hyperlink>
      <w:r>
        <w:rPr/>
        <w:t>) может служить основанием для отклонения заявки.</w:t>
      </w:r>
    </w:p>
    <w:p>
      <w:pPr>
        <w:pStyle w:val="Style27"/>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7"/>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7"/>
        <w:rPr/>
      </w:pPr>
      <w:bookmarkStart w:id="112" w:name="_Ref125370700"/>
      <w:bookmarkStart w:id="113"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7"/>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4"/>
          </w:rPr>
          <w:t>Техническими требованиями (Приложение № 1)</w:t>
        </w:r>
      </w:hyperlink>
      <w:r>
        <w:rPr/>
        <w:t xml:space="preserve"> и </w:t>
      </w:r>
      <w:hyperlink w:anchor="Прил02_ПроектДоговора">
        <w:r>
          <w:rPr>
            <w:rStyle w:val="Style14"/>
          </w:rPr>
          <w:t>Проектом договора (Приложение № 2)</w:t>
        </w:r>
      </w:hyperlink>
      <w:r>
        <w:rPr/>
        <w:t>, а также сумму налогов (</w:t>
      </w:r>
      <w:r>
        <w:rPr>
          <w:rFonts w:cs="Times New Roman"/>
        </w:rPr>
        <w:t xml:space="preserve">за исключением НДС, в случае его уплаты) </w:t>
      </w:r>
      <w:r>
        <w:rPr/>
        <w:t>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12"/>
      <w:bookmarkEnd w:id="113"/>
    </w:p>
    <w:p>
      <w:pPr>
        <w:pStyle w:val="Style27"/>
        <w:rPr/>
      </w:pPr>
      <w:r>
        <w:rPr/>
        <w:t>Нормы настоящего пункта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r>
          <w:rPr>
            <w:rStyle w:val="Style14"/>
          </w:rPr>
          <w:t>Приложение № 4</w:t>
        </w:r>
      </w:hyperlink>
      <w:r>
        <w:rPr/>
        <w:t xml:space="preserve">), в виде согласия (декларации) на поставку продукции на условиях, указанных в Документации о закупке, в том числе в </w:t>
      </w:r>
      <w:hyperlink w:anchor="Прил01_ТехТребования">
        <w:r>
          <w:rPr>
            <w:rStyle w:val="Style14"/>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7"/>
        <w:rPr/>
      </w:pPr>
      <w:bookmarkStart w:id="114" w:name="_Ref130379863"/>
      <w:r>
        <w:rPr/>
        <w:t>Нормы настоящего пункта и пунктов </w:t>
      </w:r>
      <w:r>
        <w:rPr/>
        <w:fldChar w:fldCharType="begin"/>
      </w:r>
      <w:r>
        <w:rPr/>
        <w:instrText xml:space="preserve"> REF _Ref164251545 \r \h </w:instrText>
      </w:r>
      <w:r>
        <w:rPr/>
        <w:fldChar w:fldCharType="separate"/>
      </w:r>
      <w:r>
        <w:rPr/>
        <w:t>4.3.12</w:t>
      </w:r>
      <w:r>
        <w:rPr/>
        <w:fldChar w:fldCharType="end"/>
      </w:r>
      <w:r>
        <w:rPr/>
        <w:t xml:space="preserve"> – </w:t>
      </w:r>
      <w:r>
        <w:rPr/>
        <w:fldChar w:fldCharType="begin"/>
      </w:r>
      <w:r>
        <w:rPr/>
        <w:instrText xml:space="preserve"> REF _Ref130455500 \r \h </w:instrText>
      </w:r>
      <w:r>
        <w:rPr/>
        <w:fldChar w:fldCharType="separate"/>
      </w:r>
      <w:r>
        <w:rPr/>
        <w:t>4.3.15</w:t>
      </w:r>
      <w:r>
        <w:rPr/>
        <w:fldChar w:fldCharType="end"/>
      </w:r>
      <w:r>
        <w:rPr/>
        <w:t xml:space="preserve">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r>
          <w:rPr>
            <w:rStyle w:val="Style14"/>
          </w:rPr>
          <w:t>Приложение № 4</w:t>
        </w:r>
      </w:hyperlink>
      <w:r>
        <w:rPr/>
        <w:t>), в виде подробного предложения в отношении поставляемой продукции на условиях, указанных в Документации о закупке, в том числе в </w:t>
      </w:r>
      <w:hyperlink w:anchor="Прил01_ТехТребования">
        <w:r>
          <w:rPr>
            <w:rStyle w:val="Style14"/>
          </w:rPr>
          <w:t>Технических требованиях (Приложение № 1)</w:t>
        </w:r>
      </w:hyperlink>
      <w:r>
        <w:rPr/>
        <w:t>.</w:t>
      </w:r>
      <w:bookmarkEnd w:id="114"/>
    </w:p>
    <w:p>
      <w:pPr>
        <w:pStyle w:val="Style27"/>
        <w:rPr/>
      </w:pPr>
      <w:bookmarkStart w:id="115" w:name="_Ref164251545"/>
      <w:r>
        <w:rP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r>
          <w:rPr>
            <w:rStyle w:val="Style14"/>
          </w:rPr>
          <w:t>Технических требованиях (Приложение № 1)</w:t>
        </w:r>
      </w:hyperlink>
      <w:r>
        <w:rP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115"/>
    </w:p>
    <w:p>
      <w:pPr>
        <w:pStyle w:val="Style27"/>
        <w:rPr/>
      </w:pPr>
      <w:r>
        <w:rPr/>
        <w:t xml:space="preserve">Если в </w:t>
      </w:r>
      <w:hyperlink w:anchor="Прил01_ТехТребования">
        <w:r>
          <w:rPr>
            <w:rStyle w:val="Style14"/>
          </w:rPr>
          <w:t>Технических требованиях (Приложение № 1)</w:t>
        </w:r>
      </w:hyperlink>
      <w:r>
        <w:rPr/>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w:t>
      </w:r>
      <w:hyperlink w:anchor="Прил01_ТехТребования">
        <w:r>
          <w:rPr>
            <w:rStyle w:val="Style14"/>
          </w:rPr>
          <w:t>Технических требованиях (Приложение № 1)</w:t>
        </w:r>
      </w:hyperlink>
      <w:r>
        <w:rPr/>
        <w:t>.</w:t>
      </w:r>
    </w:p>
    <w:p>
      <w:pPr>
        <w:pStyle w:val="Style27"/>
        <w:rPr/>
      </w:pPr>
      <w:bookmarkStart w:id="116" w:name="_Ref130379876"/>
      <w:r>
        <w:rP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r>
          <w:rPr>
            <w:rStyle w:val="Style14"/>
          </w:rPr>
          <w:t>Техническими требованиями (Приложение № 1)</w:t>
        </w:r>
      </w:hyperlink>
      <w:r>
        <w:rPr/>
        <w:t>.</w:t>
      </w:r>
      <w:bookmarkEnd w:id="116"/>
    </w:p>
    <w:p>
      <w:pPr>
        <w:pStyle w:val="Style27"/>
        <w:rPr/>
      </w:pPr>
      <w:bookmarkStart w:id="117" w:name="_Ref130455500"/>
      <w:r>
        <w:rPr/>
        <w:t>В случае нарушения Участником требований к описанию продукции (пункты </w:t>
      </w:r>
      <w:r>
        <w:rPr/>
        <w:fldChar w:fldCharType="begin"/>
      </w:r>
      <w:r>
        <w:rPr/>
        <w:instrText xml:space="preserve"> REF _Ref130379863 \r \h </w:instrText>
      </w:r>
      <w:r>
        <w:rPr/>
        <w:fldChar w:fldCharType="separate"/>
      </w:r>
      <w:r>
        <w:rPr/>
        <w:t>4.3.11</w:t>
      </w:r>
      <w:r>
        <w:rPr/>
        <w:fldChar w:fldCharType="end"/>
      </w:r>
      <w:r>
        <w:rPr/>
        <w:t xml:space="preserve"> – </w:t>
      </w:r>
      <w:r>
        <w:rPr/>
        <w:fldChar w:fldCharType="begin"/>
      </w:r>
      <w:r>
        <w:rPr/>
        <w:instrText xml:space="preserve"> REF _Ref130379876 \r \h </w:instrText>
      </w:r>
      <w:r>
        <w:rPr/>
        <w:fldChar w:fldCharType="separate"/>
      </w:r>
      <w:r>
        <w:rPr/>
        <w:t>4.3.14</w:t>
      </w:r>
      <w:r>
        <w:rPr/>
        <w:fldChar w:fldCharType="end"/>
      </w:r>
      <w:r>
        <w:rPr/>
        <w:t>) Организатор вправе отклонить заявку такого Участника от дальнейшего участия в закупке.</w:t>
      </w:r>
      <w:bookmarkEnd w:id="117"/>
      <w:r>
        <w:rPr/>
        <w:t xml:space="preserve"> </w:t>
      </w:r>
    </w:p>
    <w:p>
      <w:pPr>
        <w:pStyle w:val="Style27"/>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7"/>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8"/>
        <w:rPr/>
      </w:pPr>
      <w:r>
        <w:rPr/>
        <w:t>внутренние противоречия между различными частями и (или) документами заявки, в том числе по тексту внутри одного документа;</w:t>
      </w:r>
    </w:p>
    <w:p>
      <w:pPr>
        <w:pStyle w:val="Style28"/>
        <w:rPr/>
      </w:pPr>
      <w:bookmarkStart w:id="118" w:name="_Ref125370398"/>
      <w:bookmarkStart w:id="119" w:name="_Ref125714384"/>
      <w:r>
        <w:rPr/>
        <w:t>противоречия между документами заявки и сведениями, указанными Участником в структурированных формах на ЭП.</w:t>
      </w:r>
      <w:bookmarkEnd w:id="118"/>
      <w:bookmarkEnd w:id="119"/>
    </w:p>
    <w:p>
      <w:pPr>
        <w:pStyle w:val="Style27"/>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8"/>
        <w:rPr/>
      </w:pPr>
      <w:r>
        <w:rPr/>
        <w:t>полномочий таких органов / лиц на оформление этих документов;</w:t>
      </w:r>
    </w:p>
    <w:p>
      <w:pPr>
        <w:pStyle w:val="Style28"/>
        <w:rPr/>
      </w:pPr>
      <w:r>
        <w:rPr/>
        <w:t>формы, объема и содержания этих документов.</w:t>
      </w:r>
    </w:p>
    <w:p>
      <w:pPr>
        <w:pStyle w:val="Style27"/>
        <w:keepNext w:val="true"/>
        <w:rPr/>
      </w:pPr>
      <w:r>
        <w:rPr/>
        <w:t>Участник должен подготовить заявку с соблюдением следующих условий:</w:t>
      </w:r>
    </w:p>
    <w:p>
      <w:pPr>
        <w:pStyle w:val="Style28"/>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(в том числе, бухгалтерская (финансовая) отчетность, соглашение о создании коллективного участника и т.п.),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8"/>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8"/>
        <w:rPr/>
      </w:pPr>
      <w:r>
        <w:rPr/>
        <w:t>все файлы не должны иметь защиты от их открытия, изменения, копирования их содержимого или их печати;</w:t>
      </w:r>
    </w:p>
    <w:p>
      <w:pPr>
        <w:pStyle w:val="Style28"/>
        <w:rPr/>
      </w:pPr>
      <w:r>
        <w:rPr/>
        <w:t>файлы электронной заявки рекомендуется именовать так, чтобы было можно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8"/>
        <w:rPr/>
      </w:pPr>
      <w:r>
        <w:rPr/>
        <w:t>если какой-либо документ представлен в нечитаемом виде, данный документ считается непредставленным.</w:t>
      </w:r>
    </w:p>
    <w:p>
      <w:pPr>
        <w:pStyle w:val="Style27"/>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6"/>
        <w:rPr/>
      </w:pPr>
      <w:bookmarkStart w:id="120" w:name="_Ref130394205"/>
      <w:bookmarkStart w:id="121" w:name="_Ref130394785"/>
      <w:bookmarkStart w:id="122" w:name="_Ref130394802"/>
      <w:bookmarkStart w:id="123" w:name="_Toc228976342"/>
      <w:bookmarkStart w:id="124" w:name="_Ref125361260"/>
      <w:bookmarkStart w:id="125" w:name="_Ref125362071"/>
      <w:bookmarkStart w:id="126" w:name="_Ref125366672"/>
      <w:r>
        <w:rPr/>
        <w:t>Разъяснение Документации о закупке</w:t>
      </w:r>
      <w:bookmarkEnd w:id="120"/>
      <w:bookmarkEnd w:id="121"/>
      <w:bookmarkEnd w:id="122"/>
      <w:bookmarkEnd w:id="123"/>
      <w:bookmarkEnd w:id="124"/>
      <w:bookmarkEnd w:id="125"/>
      <w:bookmarkEnd w:id="126"/>
    </w:p>
    <w:p>
      <w:pPr>
        <w:pStyle w:val="Style27"/>
        <w:rPr/>
      </w:pPr>
      <w:r>
        <w:rPr/>
        <w:t>Участники вправе обратиться к Организатору за разъяснениями Документации о закупке.</w:t>
      </w:r>
    </w:p>
    <w:p>
      <w:pPr>
        <w:pStyle w:val="Style27"/>
        <w:rPr/>
      </w:pPr>
      <w:r>
        <w:rPr/>
        <w:t>Запросы подаются в соответствии с Регламентами и инструкциями Оператора ЭП, опубликованными на сайте соответствующей ЭП.</w:t>
      </w:r>
    </w:p>
    <w:p>
      <w:pPr>
        <w:pStyle w:val="Style27"/>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7"/>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7"/>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7"/>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4"/>
          </w:rPr>
          <w:t>Проекта договора (Приложения № 2)</w:t>
        </w:r>
      </w:hyperlink>
      <w:r>
        <w:rPr>
          <w:rStyle w:val="Style14"/>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7"/>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6"/>
        <w:rPr/>
      </w:pPr>
      <w:bookmarkStart w:id="127" w:name="_Ref125362076"/>
      <w:bookmarkStart w:id="128" w:name="_Ref125363891"/>
      <w:bookmarkStart w:id="129" w:name="_Ref125364404"/>
      <w:bookmarkStart w:id="130" w:name="_Toc228976343"/>
      <w:r>
        <w:rPr/>
        <w:t>Изменения Извещения и (или) Документации о закупке</w:t>
      </w:r>
      <w:bookmarkEnd w:id="127"/>
      <w:bookmarkEnd w:id="128"/>
      <w:bookmarkEnd w:id="129"/>
      <w:bookmarkEnd w:id="130"/>
    </w:p>
    <w:p>
      <w:pPr>
        <w:pStyle w:val="Style27"/>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7"/>
        <w:rPr/>
      </w:pPr>
      <w:bookmarkStart w:id="131" w:name="_Ref125550844"/>
      <w:r>
        <w:rP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rPr/>
        <w:fldChar w:fldCharType="begin"/>
      </w:r>
      <w:r>
        <w:rPr/>
        <w:instrText xml:space="preserve"> REF _Ref125359973 \r \h </w:instrText>
      </w:r>
      <w:r>
        <w:rPr/>
        <w:fldChar w:fldCharType="separate"/>
      </w:r>
      <w:r>
        <w:rPr/>
        <w:t>1.2</w:t>
      </w:r>
      <w:r>
        <w:rPr/>
        <w:fldChar w:fldCharType="end"/>
      </w:r>
      <w:r>
        <w:rPr/>
        <w:t>) в пределах срока действия заявок и с уведомлением Участников, подавших заявки.</w:t>
      </w:r>
      <w:bookmarkEnd w:id="131"/>
    </w:p>
    <w:p>
      <w:pPr>
        <w:pStyle w:val="Style27"/>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7"/>
        <w:rPr/>
      </w:pPr>
      <w:bookmarkStart w:id="132" w:name="_Hlk135643673"/>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t>4.5.2</w:t>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w:t>
      </w:r>
      <w:bookmarkEnd w:id="132"/>
      <w:r>
        <w:rPr/>
        <w:t xml:space="preserve"> 4 (четырех) рабочих дней.</w:t>
      </w:r>
    </w:p>
    <w:p>
      <w:pPr>
        <w:pStyle w:val="Style27"/>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6"/>
        <w:rPr/>
      </w:pPr>
      <w:bookmarkStart w:id="133" w:name="_Ref125362119"/>
      <w:bookmarkStart w:id="134" w:name="_Toc228976344"/>
      <w:r>
        <w:rPr/>
        <w:t>Подача заявок и их прием</w:t>
      </w:r>
      <w:bookmarkEnd w:id="133"/>
      <w:bookmarkEnd w:id="134"/>
    </w:p>
    <w:p>
      <w:pPr>
        <w:pStyle w:val="Style27"/>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Заявки, поданные позднее установленного срока, не могут быть приняты Организатором, независимо от причин опоздания.</w:t>
      </w:r>
    </w:p>
    <w:p>
      <w:pPr>
        <w:pStyle w:val="Style27"/>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7"/>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7"/>
        <w:rPr/>
      </w:pPr>
      <w:r>
        <w:rPr/>
        <w:t xml:space="preserve">Заявка должна быть подписана </w:t>
      </w:r>
      <w:bookmarkStart w:id="135" w:name="_Hlk219296949"/>
      <w:r>
        <w:rPr/>
        <w:t xml:space="preserve">усиленной квалифицированной </w:t>
      </w:r>
      <w:bookmarkEnd w:id="135"/>
      <w:r>
        <w:rPr/>
        <w:t>электронной подписью лица, которое является уполномоченным представителем Участника.</w:t>
      </w:r>
    </w:p>
    <w:p>
      <w:pPr>
        <w:pStyle w:val="Style27"/>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7"/>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7"/>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6"/>
        <w:rPr/>
      </w:pPr>
      <w:bookmarkStart w:id="136" w:name="_Ref125362130"/>
      <w:bookmarkStart w:id="137" w:name="_Ref125362192"/>
      <w:bookmarkStart w:id="138" w:name="_Ref125363819"/>
      <w:bookmarkStart w:id="139" w:name="_Ref125365136"/>
      <w:bookmarkStart w:id="140" w:name="_Toc228976345"/>
      <w:r>
        <w:rPr/>
        <w:t>Изменение и отзыв заявок</w:t>
      </w:r>
      <w:bookmarkEnd w:id="136"/>
      <w:bookmarkEnd w:id="137"/>
      <w:bookmarkEnd w:id="138"/>
      <w:bookmarkEnd w:id="139"/>
      <w:bookmarkEnd w:id="140"/>
    </w:p>
    <w:p>
      <w:pPr>
        <w:pStyle w:val="Style27"/>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7"/>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7"/>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7"/>
        <w:rPr/>
      </w:pPr>
      <w:r>
        <w:rPr/>
        <w:t>Изменения и отзыв заявки осуществляется посредством функционала ЭП (подробный порядок определяется Регламентом ЭП).</w:t>
      </w:r>
    </w:p>
    <w:p>
      <w:pPr>
        <w:pStyle w:val="Style26"/>
        <w:rPr/>
      </w:pPr>
      <w:bookmarkStart w:id="141" w:name="_Ref130221619"/>
      <w:bookmarkStart w:id="142" w:name="_Toc228976346"/>
      <w:bookmarkStart w:id="143" w:name="_Ref125364340"/>
      <w:bookmarkEnd w:id="143"/>
      <w:r>
        <w:rPr/>
        <w:t>Открытие доступа к заявкам</w:t>
      </w:r>
      <w:bookmarkEnd w:id="141"/>
      <w:bookmarkEnd w:id="142"/>
    </w:p>
    <w:p>
      <w:pPr>
        <w:pStyle w:val="Style27"/>
        <w:rPr/>
      </w:pPr>
      <w:r>
        <w:rPr/>
        <w:t>Открытие доступа к заявкам («вскрытие»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7"/>
        <w:rPr/>
      </w:pPr>
      <w:r>
        <w:rPr/>
        <w:t>Оператор ЭП предоставляет Организатору доступ одновременно ко всем поданным заявкам в полном объеме.</w:t>
      </w:r>
    </w:p>
    <w:p>
      <w:pPr>
        <w:pStyle w:val="Style27"/>
        <w:keepNext w:val="true"/>
        <w:rPr/>
      </w:pPr>
      <w:r>
        <w:rPr/>
        <w:t>Организатор по результатам открытия доступа к заявкам формирует соответствующий протокол с указанием в нем, как минимум, следующей информации</w:t>
      </w:r>
      <w:r>
        <w:rPr>
          <w:rStyle w:val="FootnoteReference"/>
        </w:rPr>
        <w:footnoteReference w:id="4"/>
      </w:r>
      <w:r>
        <w:rPr/>
        <w:t>:</w:t>
      </w:r>
    </w:p>
    <w:p>
      <w:pPr>
        <w:pStyle w:val="Style28"/>
        <w:rPr/>
      </w:pPr>
      <w:r>
        <w:rPr/>
        <w:t>дата подписания протокола;</w:t>
      </w:r>
    </w:p>
    <w:p>
      <w:pPr>
        <w:pStyle w:val="Style28"/>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8"/>
        <w:rPr/>
      </w:pPr>
      <w:r>
        <w:rPr/>
        <w:t>идентификационные номера заявок Участников, присваиваемые Оператором ЭП;</w:t>
      </w:r>
    </w:p>
    <w:p>
      <w:pPr>
        <w:pStyle w:val="Style28"/>
        <w:rPr/>
      </w:pPr>
      <w:r>
        <w:rPr/>
        <w:t>стоимости заявок (или иное указание на общую стоимость заявки);</w:t>
      </w:r>
    </w:p>
    <w:p>
      <w:pPr>
        <w:pStyle w:val="Style28"/>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31"/>
        <w:ind w:hanging="0" w:left="1134"/>
        <w:rPr/>
      </w:pPr>
      <w:r>
        <w:rPr/>
        <w:t>после чего официально размещает его в течение 3 (трех) календарных дней с даты подписания такого протокола. Заседание Закупочной комиссии при этом не проводится.</w:t>
      </w:r>
    </w:p>
    <w:p>
      <w:pPr>
        <w:pStyle w:val="Style27"/>
        <w:rPr/>
      </w:pPr>
      <w:r>
        <w:rPr/>
        <w:t>Протокол открытия доступа к заявкам может формироваться автоматически Оператором ЭП, после чего официально размещаться в установленном порядке. В этом случае протокол считается подписанным уполномоченным лицом Организатора.</w:t>
      </w:r>
    </w:p>
    <w:p>
      <w:pPr>
        <w:pStyle w:val="Style27"/>
        <w:rPr/>
      </w:pPr>
      <w:r>
        <w:rPr/>
        <w:t>Порядок получения Участниками информации о поступивших заявках через ЭП определяется Регламентом ЭП.</w:t>
      </w:r>
    </w:p>
    <w:p>
      <w:pPr>
        <w:pStyle w:val="Style26"/>
        <w:rPr/>
      </w:pPr>
      <w:bookmarkStart w:id="144" w:name="_Ref135749133"/>
      <w:bookmarkStart w:id="145" w:name="_Toc228976347"/>
      <w:bookmarkStart w:id="146" w:name="_Ref125362364"/>
      <w:bookmarkStart w:id="147" w:name="_Ref125366689"/>
      <w:bookmarkStart w:id="148" w:name="_Ref125364340_Копия_1"/>
      <w:bookmarkEnd w:id="148"/>
      <w:r>
        <w:rPr/>
        <w:t>Рассмотрение заявок (отборочная стадия)</w:t>
      </w:r>
      <w:bookmarkEnd w:id="146"/>
      <w:bookmarkEnd w:id="147"/>
      <w:r>
        <w:rPr/>
        <w:t>, в том числе (при необходимости) проведение аккредитации</w:t>
      </w:r>
      <w:bookmarkEnd w:id="144"/>
      <w:bookmarkEnd w:id="145"/>
    </w:p>
    <w:p>
      <w:pPr>
        <w:pStyle w:val="Style27"/>
        <w:rPr/>
      </w:pPr>
      <w:r>
        <w:rPr/>
        <w:t>Дата окончания срока рассмотрения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7"/>
        <w:rPr/>
      </w:pPr>
      <w:r>
        <w:rP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r>
          <w:rPr>
            <w:rStyle w:val="Style14"/>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7"/>
        <w:rPr/>
      </w:pPr>
      <w:r>
        <w:rP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7"/>
        <w:keepNext w:val="true"/>
        <w:rPr/>
      </w:pPr>
      <w:bookmarkStart w:id="149" w:name="_Ref228878865"/>
      <w:r>
        <w:rPr/>
        <w:t>При выявлении в рамках рассмотрения заявок наличия арифметических ошибок, в том числе:</w:t>
      </w:r>
      <w:bookmarkEnd w:id="149"/>
    </w:p>
    <w:p>
      <w:pPr>
        <w:pStyle w:val="Style28"/>
        <w:rPr/>
      </w:pPr>
      <w:r>
        <w:rPr/>
        <w:t>в результате суммирования единичных расценок;</w:t>
      </w:r>
    </w:p>
    <w:p>
      <w:pPr>
        <w:pStyle w:val="Style28"/>
        <w:rPr/>
      </w:pPr>
      <w:r>
        <w:rPr/>
        <w:t>в итогах умножения единичных расценок на объем продукции;</w:t>
      </w:r>
    </w:p>
    <w:p>
      <w:pPr>
        <w:pStyle w:val="Style28"/>
        <w:rPr/>
      </w:pPr>
      <w:r>
        <w:rPr/>
        <w:t>в вычислении суммы НДС и итоговой стоимости заявки с учетом НДС;</w:t>
      </w:r>
    </w:p>
    <w:p>
      <w:pPr>
        <w:pStyle w:val="Style28"/>
        <w:rPr/>
      </w:pPr>
      <w:r>
        <w:rPr/>
        <w:t>иных внутренних противоречий в составе заявки,</w:t>
      </w:r>
    </w:p>
    <w:p>
      <w:pPr>
        <w:pStyle w:val="Style31"/>
        <w:ind w:hanging="0"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7"/>
        <w:keepNext w:val="true"/>
        <w:rPr/>
      </w:pPr>
      <w:bookmarkStart w:id="150" w:name="_Ref125551456"/>
      <w:r>
        <w:rPr/>
        <w:t>По результатам рассмотрения заявок (проведения отборочной стадии) Закупочная комиссия отклоняет заявки по следующим основаниям:</w:t>
      </w:r>
      <w:bookmarkEnd w:id="150"/>
    </w:p>
    <w:p>
      <w:pPr>
        <w:pStyle w:val="Style28"/>
        <w:rPr/>
      </w:pPr>
      <w:r>
        <w:rPr/>
        <w:t>несоответствие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9"/>
        <w:rPr/>
      </w:pPr>
      <w:r>
        <w:rPr/>
        <w:t>недостоверных сведений</w:t>
      </w:r>
      <w:r>
        <w:rPr>
          <w:rStyle w:val="FootnoteReference"/>
        </w:rPr>
        <w:footnoteReference w:id="6"/>
      </w:r>
      <w:r>
        <w:rPr/>
        <w:t xml:space="preserve"> или намеренно искаженной информации или документов;</w:t>
      </w:r>
    </w:p>
    <w:p>
      <w:pPr>
        <w:pStyle w:val="Style29"/>
        <w:rPr/>
      </w:pPr>
      <w:r>
        <w:rP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rPr/>
        <w:fldChar w:fldCharType="begin"/>
      </w:r>
      <w:r>
        <w:rPr/>
        <w:instrText xml:space="preserve"> REF _Ref228878865 \r \h </w:instrText>
      </w:r>
      <w:r>
        <w:rPr/>
        <w:fldChar w:fldCharType="separate"/>
      </w:r>
      <w:r>
        <w:rPr/>
        <w:t>4.9.4</w:t>
      </w:r>
      <w:r>
        <w:rPr/>
        <w:fldChar w:fldCharType="end"/>
      </w:r>
      <w:r>
        <w:rPr/>
        <w:t>);</w:t>
      </w:r>
    </w:p>
    <w:p>
      <w:pPr>
        <w:pStyle w:val="Style28"/>
        <w:rPr/>
      </w:pPr>
      <w:r>
        <w:rPr/>
        <w:t>несоответствие Участников требованиям Документации о закупке;</w:t>
      </w:r>
    </w:p>
    <w:p>
      <w:pPr>
        <w:pStyle w:val="Style28"/>
        <w:rPr/>
      </w:pPr>
      <w:r>
        <w:rPr/>
        <w:t>несоответствие привлекаемых субподрядчиков (соисполнителей) требованиям Документации о закупке;</w:t>
      </w:r>
    </w:p>
    <w:p>
      <w:pPr>
        <w:pStyle w:val="Style28"/>
        <w:rPr/>
      </w:pPr>
      <w:r>
        <w:rPr/>
        <w:t>несоответствие предлагаемой продукции требованиям Документации о закупке, в том числе порядка описания такой продукции;</w:t>
      </w:r>
    </w:p>
    <w:p>
      <w:pPr>
        <w:pStyle w:val="Style28"/>
        <w:rPr/>
      </w:pPr>
      <w:r>
        <w:rP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pPr>
        <w:pStyle w:val="Style28"/>
        <w:rPr/>
      </w:pPr>
      <w:r>
        <w:rPr/>
        <w:t>несоответствие размера, формы, условий и порядка предоставления обеспечения заявки.</w:t>
      </w:r>
    </w:p>
    <w:p>
      <w:pPr>
        <w:pStyle w:val="Style27"/>
        <w:rPr/>
      </w:pPr>
      <w:r>
        <w:rP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 (подраздел </w:t>
      </w:r>
      <w:r>
        <w:rPr/>
        <w:fldChar w:fldCharType="begin"/>
      </w:r>
      <w:r>
        <w:rPr/>
        <w:instrText xml:space="preserve"> REF _Ref125359973 \r \h </w:instrText>
      </w:r>
      <w:r>
        <w:rPr/>
        <w:fldChar w:fldCharType="separate"/>
      </w:r>
      <w:r>
        <w:rPr/>
        <w:t>1.2</w:t>
      </w:r>
      <w:r>
        <w:rPr/>
        <w:fldChar w:fldCharType="end"/>
      </w:r>
      <w:r>
        <w:rPr/>
        <w:t>, подраздел </w:t>
      </w:r>
      <w:r>
        <w:rPr/>
        <w:fldChar w:fldCharType="begin"/>
      </w:r>
      <w:r>
        <w:rPr/>
        <w:instrText xml:space="preserve"> REF _Ref125362430 \r \h </w:instrText>
      </w:r>
      <w:r>
        <w:rPr/>
        <w:fldChar w:fldCharType="separate"/>
      </w:r>
      <w:r>
        <w:rPr/>
        <w:t>4.11</w:t>
      </w:r>
      <w:r>
        <w:rPr/>
        <w:fldChar w:fldCharType="end"/>
      </w:r>
      <w:r>
        <w:rPr/>
        <w:t>). В данном случае оценка и сопоставление заявок, а также их предварительная ранжировка осуществляются в соответствии с подразделами </w:t>
      </w:r>
      <w:r>
        <w:rPr/>
        <w:fldChar w:fldCharType="begin"/>
      </w:r>
      <w:r>
        <w:rPr/>
        <w:instrText xml:space="preserve"> REF _Ref125362626 \w \h </w:instrText>
      </w:r>
      <w:r>
        <w:rPr/>
        <w:fldChar w:fldCharType="separate"/>
      </w:r>
      <w:r>
        <w:rPr/>
        <w:t>4.12</w:t>
      </w:r>
      <w:r>
        <w:rPr/>
        <w:fldChar w:fldCharType="end"/>
      </w:r>
      <w:r>
        <w:rPr/>
        <w:t xml:space="preserve">, </w:t>
      </w:r>
      <w:r>
        <w:rPr/>
        <w:fldChar w:fldCharType="begin"/>
      </w:r>
      <w:r>
        <w:rPr/>
        <w:instrText xml:space="preserve"> REF _Ref130985951 \r \h </w:instrText>
      </w:r>
      <w:r>
        <w:rPr/>
        <w:fldChar w:fldCharType="separate"/>
      </w:r>
      <w:r>
        <w:rPr/>
        <w:t>4.13</w:t>
      </w:r>
      <w:r>
        <w:rPr/>
        <w:fldChar w:fldCharType="end"/>
      </w:r>
      <w:r>
        <w:rPr/>
        <w:t>, на основании представленных в составе заявки документов и сведений (включая стоимость заявки (цену Договора)).</w:t>
      </w:r>
    </w:p>
    <w:p>
      <w:pPr>
        <w:pStyle w:val="Style27"/>
        <w:keepNext w:val="true"/>
        <w:rPr/>
      </w:pPr>
      <w:r>
        <w:rPr/>
        <w:t>Решение Закупочной комиссии по рассмотрению заявок оформляется протоколом, в котором, как минимум, указываются</w:t>
      </w:r>
      <w:r>
        <w:rPr>
          <w:rStyle w:val="FootnoteReference"/>
        </w:rPr>
        <w:footnoteReference w:id="7"/>
      </w:r>
      <w:r>
        <w:rPr/>
        <w:t>:</w:t>
      </w:r>
    </w:p>
    <w:p>
      <w:pPr>
        <w:pStyle w:val="Style28"/>
        <w:rPr/>
      </w:pPr>
      <w:r>
        <w:rPr/>
        <w:t>дата подписания протокола;</w:t>
      </w:r>
    </w:p>
    <w:p>
      <w:pPr>
        <w:pStyle w:val="Style28"/>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8"/>
        <w:rPr/>
      </w:pPr>
      <w:r>
        <w:rPr/>
        <w:t>идентификационные номера заявок Участников, присваиваемые Оператором ЭП;</w:t>
      </w:r>
    </w:p>
    <w:p>
      <w:pPr>
        <w:pStyle w:val="Style28"/>
        <w:keepNext w:val="true"/>
        <w:rPr/>
      </w:pPr>
      <w:r>
        <w:rPr/>
        <w:t>результаты рассмотрения заявок с указанием, в том числе:</w:t>
      </w:r>
    </w:p>
    <w:p>
      <w:pPr>
        <w:pStyle w:val="Style29"/>
        <w:rPr/>
      </w:pPr>
      <w:r>
        <w:rPr/>
        <w:t>количества заявок, которые были отклонены;</w:t>
      </w:r>
    </w:p>
    <w:p>
      <w:pPr>
        <w:pStyle w:val="Style29"/>
        <w:rPr/>
      </w:pPr>
      <w:r>
        <w:rPr/>
        <w:t>оснований отклонения каждой заявки с указанием положений Документации о закупке, которым не соответствует такая заявка;</w:t>
      </w:r>
    </w:p>
    <w:p>
      <w:pPr>
        <w:pStyle w:val="Style28"/>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28"/>
        <w:keepNext w:val="true"/>
        <w:rPr/>
      </w:pPr>
      <w:r>
        <w:rPr/>
        <w:t>результаты предварительной оценки и сопоставления допущенных заявок – в случае принятия решения о проведении переторжки, с указанием, в том числе:</w:t>
      </w:r>
    </w:p>
    <w:p>
      <w:pPr>
        <w:pStyle w:val="Style29"/>
        <w:rPr/>
      </w:pPr>
      <w:r>
        <w:rPr/>
        <w:t>значения (в баллах), присвоенного каждой заявке по каждому из предусмотренных критериев оценки, установленных в Документации о закупке;</w:t>
      </w:r>
    </w:p>
    <w:p>
      <w:pPr>
        <w:pStyle w:val="Style29"/>
        <w:rPr/>
      </w:pPr>
      <w:r>
        <w:rPr/>
        <w:t>порядкового номера каждой допущенной заявки в предварительной ранжировке заявок, включая стоимость заявки (цену Договора);</w:t>
      </w:r>
    </w:p>
    <w:p>
      <w:pPr>
        <w:pStyle w:val="Style28"/>
        <w:rPr/>
      </w:pPr>
      <w:bookmarkStart w:id="151" w:name="_Ref125551524"/>
      <w:r>
        <w:rPr/>
        <w:t>решение о проведении или непроведении переторжки,</w:t>
      </w:r>
      <w:bookmarkEnd w:id="151"/>
    </w:p>
    <w:p>
      <w:pPr>
        <w:pStyle w:val="Style31"/>
        <w:ind w:hanging="0"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7"/>
        <w:rPr/>
      </w:pPr>
      <w:r>
        <w:rPr/>
        <w:t>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_Ref130394785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7"/>
        <w:rPr/>
      </w:pPr>
      <w:r>
        <w:rPr/>
        <w:t>Если рассмотрение заявок, оценка и сопоставление заявок, а также подведение итогов закупки осуществляются одновременно, отдельный протокол по результатам рассмотрения заявок может не оформляться, а соответствующая информация подлежит обязательному включению в итоговый протокол по результатам закупки.</w:t>
      </w:r>
    </w:p>
    <w:p>
      <w:pPr>
        <w:pStyle w:val="Style27"/>
        <w:rPr/>
      </w:pPr>
      <w:r>
        <w:rPr/>
        <w:t>Если основания для отклонения заявки, указанные в пункте </w:t>
      </w:r>
      <w:r>
        <w:rPr/>
        <w:fldChar w:fldCharType="begin"/>
      </w:r>
      <w:r>
        <w:rPr/>
        <w:instrText xml:space="preserve"> REF _Ref125551456 \w \h </w:instrText>
      </w:r>
      <w:r>
        <w:rPr/>
        <w:fldChar w:fldCharType="separate"/>
      </w:r>
      <w:r>
        <w:rPr/>
        <w:t>4.9.5</w:t>
      </w:r>
      <w:r>
        <w:rPr/>
        <w:fldChar w:fldCharType="end"/>
      </w:r>
      <w:r>
        <w:rPr/>
        <w:t>, обнаружены позже даты проведения рассмотрения заявок, Организатор осуществляет отклонение такой заявки с внесением соответствующей информации в отдельный или ближайший ко времени события протокол закупки.</w:t>
      </w:r>
    </w:p>
    <w:p>
      <w:pPr>
        <w:pStyle w:val="Style26"/>
        <w:rPr/>
      </w:pPr>
      <w:bookmarkStart w:id="152" w:name="_Ref125362381"/>
      <w:bookmarkStart w:id="153" w:name="_Ref125362425"/>
      <w:bookmarkStart w:id="154" w:name="_Ref125362464"/>
      <w:bookmarkStart w:id="155" w:name="_Ref125362610"/>
      <w:bookmarkStart w:id="156" w:name="_Toc228976348"/>
      <w:r>
        <w:rPr/>
        <w:t>Дополнительные запросы разъяснений заявок</w:t>
      </w:r>
      <w:bookmarkEnd w:id="152"/>
      <w:bookmarkEnd w:id="153"/>
      <w:bookmarkEnd w:id="154"/>
      <w:bookmarkEnd w:id="155"/>
      <w:bookmarkEnd w:id="156"/>
    </w:p>
    <w:p>
      <w:pPr>
        <w:pStyle w:val="Style27"/>
        <w:rPr/>
      </w:pPr>
      <w:bookmarkStart w:id="157" w:name="_Ref125365611"/>
      <w:r>
        <w:rP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57"/>
    </w:p>
    <w:p>
      <w:pPr>
        <w:pStyle w:val="Style28"/>
        <w:keepNext w:val="true"/>
        <w:rPr/>
      </w:pPr>
      <w:r>
        <w:rPr/>
        <w:t>в составе заявки отсутствуют, представлены не в полном объеме или в нечитаемом виде документы или сведения, необходимые для определения:</w:t>
      </w:r>
    </w:p>
    <w:p>
      <w:pPr>
        <w:pStyle w:val="Style29"/>
        <w:rPr/>
      </w:pPr>
      <w:r>
        <w:rPr/>
        <w:t>соответствия Участника требованиям Документации о закупке;</w:t>
      </w:r>
    </w:p>
    <w:p>
      <w:pPr>
        <w:pStyle w:val="Style29"/>
        <w:rPr/>
      </w:pPr>
      <w:r>
        <w:rPr/>
        <w:t>наличия соответствующих полномочий на подписание заявки от имени Участника у лица, подписавшего заявку;</w:t>
      </w:r>
    </w:p>
    <w:p>
      <w:pPr>
        <w:pStyle w:val="Style29"/>
        <w:rPr/>
      </w:pPr>
      <w:r>
        <w:rPr/>
        <w:t>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_Ref186217606 \r \h </w:instrText>
      </w:r>
      <w:r>
        <w:rPr/>
        <w:fldChar w:fldCharType="separate"/>
      </w:r>
      <w:r>
        <w:rPr/>
        <w:t>4.13</w:t>
      </w:r>
      <w:r>
        <w:rPr/>
        <w:fldChar w:fldCharType="end"/>
      </w:r>
      <w:r>
        <w:rPr/>
        <w:t>)),  договорных условий и расчета цены Договора;</w:t>
      </w:r>
    </w:p>
    <w:p>
      <w:pPr>
        <w:pStyle w:val="Style28"/>
        <w:rPr/>
      </w:pPr>
      <w:bookmarkStart w:id="158" w:name="_Ref134702259"/>
      <w:r>
        <w:rP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pPr>
        <w:pStyle w:val="Style28"/>
        <w:rPr/>
      </w:pPr>
      <w:r>
        <w:rP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8"/>
      </w:r>
      <w:r>
        <w:rPr/>
        <w:t>) требованиям Документации о закупке или осуществить оценку и сопоставление заявок.</w:t>
      </w:r>
      <w:bookmarkEnd w:id="158"/>
    </w:p>
    <w:p>
      <w:pPr>
        <w:pStyle w:val="Style27"/>
        <w:rPr/>
      </w:pPr>
      <w:r>
        <w:rP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_Ref134702259 \r \h </w:instrText>
      </w:r>
      <w:r>
        <w:rPr/>
        <w:fldChar w:fldCharType="separate"/>
      </w:r>
      <w:r>
        <w:rPr/>
        <w:t>4.10.1б)</w:t>
      </w:r>
      <w:r>
        <w:rPr/>
        <w:fldChar w:fldCharType="end"/>
      </w:r>
      <w:r>
        <w:rPr/>
        <w:t>).</w:t>
      </w:r>
    </w:p>
    <w:p>
      <w:pPr>
        <w:pStyle w:val="Style27"/>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7"/>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7"/>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rPr/>
        <w:fldChar w:fldCharType="begin"/>
      </w:r>
      <w:r>
        <w:rPr/>
        <w:instrText xml:space="preserve"> REF _Ref125551456 \w \h </w:instrText>
      </w:r>
      <w:r>
        <w:rPr/>
        <w:fldChar w:fldCharType="separate"/>
      </w:r>
      <w:r>
        <w:rPr/>
        <w:t>4.9.5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4.10.1</w:t>
      </w:r>
      <w:r>
        <w:rPr/>
        <w:fldChar w:fldCharType="end"/>
      </w:r>
      <w:r>
        <w:rPr/>
        <w:t>.</w:t>
      </w:r>
    </w:p>
    <w:p>
      <w:pPr>
        <w:pStyle w:val="Style27"/>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7"/>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7"/>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rPr/>
        <w:fldChar w:fldCharType="begin"/>
      </w:r>
      <w:r>
        <w:rPr/>
        <w:instrText xml:space="preserve"> REF _Ref125551456 \w \h </w:instrText>
      </w:r>
      <w:r>
        <w:rPr/>
        <w:fldChar w:fldCharType="separate"/>
      </w:r>
      <w:r>
        <w:rPr/>
        <w:t>4.9.5</w:t>
      </w:r>
      <w:r>
        <w:rPr/>
        <w:fldChar w:fldCharType="end"/>
      </w:r>
      <w:r>
        <w:rPr/>
        <w:t>.</w:t>
      </w:r>
    </w:p>
    <w:p>
      <w:pPr>
        <w:pStyle w:val="Style26"/>
        <w:rPr/>
      </w:pPr>
      <w:bookmarkStart w:id="159" w:name="_Ref125362430"/>
      <w:bookmarkStart w:id="160" w:name="_Ref125362537"/>
      <w:bookmarkStart w:id="161" w:name="_Ref127536359"/>
      <w:bookmarkStart w:id="162" w:name="_Toc228976349"/>
      <w:r>
        <w:rPr/>
        <w:t>Переторжка</w:t>
      </w:r>
      <w:bookmarkEnd w:id="159"/>
      <w:bookmarkEnd w:id="160"/>
      <w:bookmarkEnd w:id="161"/>
      <w:bookmarkEnd w:id="162"/>
    </w:p>
    <w:p>
      <w:pPr>
        <w:pStyle w:val="Style27"/>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pPr>
        <w:pStyle w:val="Style27"/>
        <w:rPr/>
      </w:pPr>
      <w:r>
        <w:rPr/>
        <w:t>Решение о проведении процедуры переторжки, а также ее предмете, сроках и форме ее проведения принимает Закупочная комиссия (и фиксирует в протоколе рассмотрения заявок).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p>
    <w:p>
      <w:pPr>
        <w:pStyle w:val="Style27"/>
        <w:keepNext w:val="true"/>
        <w:rPr/>
      </w:pPr>
      <w:r>
        <w:rPr/>
        <w:t>Предметом переторжки могут являться следующие условия (или их сочетания), позволяющие повысить предпочтительность поданных заявок:</w:t>
      </w:r>
    </w:p>
    <w:p>
      <w:pPr>
        <w:pStyle w:val="Style28"/>
        <w:rPr/>
      </w:pPr>
      <w:r>
        <w:rPr/>
        <w:t>стоимость заявки (цена Договора) / цена за единицу продукции;</w:t>
      </w:r>
    </w:p>
    <w:p>
      <w:pPr>
        <w:pStyle w:val="Style28"/>
        <w:rPr/>
      </w:pPr>
      <w:r>
        <w:rPr/>
        <w:t>сроки поставки продукции;</w:t>
      </w:r>
    </w:p>
    <w:p>
      <w:pPr>
        <w:pStyle w:val="Style28"/>
        <w:rPr/>
      </w:pPr>
      <w:r>
        <w:rPr/>
        <w:t>условия оплаты;</w:t>
      </w:r>
    </w:p>
    <w:p>
      <w:pPr>
        <w:pStyle w:val="Style28"/>
        <w:rPr/>
      </w:pPr>
      <w:r>
        <w:rPr/>
        <w:t>иные условия, которые являются критериями оценки заявок.</w:t>
      </w:r>
    </w:p>
    <w:p>
      <w:pPr>
        <w:pStyle w:val="Style31"/>
        <w:ind w:hanging="0" w:left="1134"/>
        <w:rPr/>
      </w:pPr>
      <w:r>
        <w:rPr/>
        <w:t>При этом предметом переторжки не могут быть условия, которые не входят в состав критериев оценки в соответствии с Документацией о закупке.</w:t>
      </w:r>
    </w:p>
    <w:p>
      <w:pPr>
        <w:pStyle w:val="Style27"/>
        <w:rPr/>
      </w:pPr>
      <w:r>
        <w:rPr/>
        <w:t>При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p>
    <w:p>
      <w:pPr>
        <w:pStyle w:val="Style27"/>
        <w:rPr/>
      </w:pPr>
      <w:r>
        <w:rPr/>
        <w:t>В переторжке может принять участие любой Участник, заявка которого не была отклонена по результатам рассмотрения заявок.</w:t>
      </w:r>
    </w:p>
    <w:p>
      <w:pPr>
        <w:pStyle w:val="Style27"/>
        <w:rPr/>
      </w:pPr>
      <w:r>
        <w:rPr/>
        <w:t>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в Письме о подаче оферты (форма 2) (</w:t>
      </w:r>
      <w:hyperlink w:anchor="Прил04_ФормыЗаявки">
        <w:r>
          <w:rPr>
            <w:rStyle w:val="Style14"/>
          </w:rPr>
          <w:t>Приложение № 4</w:t>
        </w:r>
      </w:hyperlink>
      <w:r>
        <w:rPr/>
        <w:t>).</w:t>
      </w:r>
    </w:p>
    <w:p>
      <w:pPr>
        <w:pStyle w:val="Style27"/>
        <w:rPr/>
      </w:pPr>
      <w:r>
        <w:rPr/>
        <w:t>Предложения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p>
    <w:p>
      <w:pPr>
        <w:pStyle w:val="Style27"/>
        <w:rPr/>
      </w:pPr>
      <w:r>
        <w:rPr/>
        <w:t>Изменение цены в сторону снижения, а также изменение иных условий заявки по соответствующему предмету переторжки, 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заявленными условиями.</w:t>
      </w:r>
    </w:p>
    <w:p>
      <w:pPr>
        <w:pStyle w:val="Style27"/>
        <w:rPr/>
      </w:pPr>
      <w:r>
        <w:rPr/>
        <w:t>Участник не вправе изменять и (или) отзывать поданные предложения на переторжку после окончания ее проведения.</w:t>
      </w:r>
    </w:p>
    <w:p>
      <w:pPr>
        <w:pStyle w:val="Style27"/>
        <w:rPr/>
      </w:pPr>
      <w:r>
        <w:rPr/>
        <w:t>Участие в переторжке не расценивается Организатором как нарушение требований о праве подачи Участником не более одной заявки. Предложения, заявленные Участниками в ходе переторжки, имеют статус разрешенных изменений в ранее поданную заявку.</w:t>
      </w:r>
    </w:p>
    <w:p>
      <w:pPr>
        <w:pStyle w:val="Style27"/>
        <w:rPr/>
      </w:pPr>
      <w:r>
        <w:rPr/>
        <w:t>Процедура переторжки проводится на ЭП в порядке, предусмотренном настоящим подразделом и Регламентом ЭП.</w:t>
      </w:r>
    </w:p>
    <w:p>
      <w:pPr>
        <w:pStyle w:val="Style27"/>
        <w:keepNext w:val="true"/>
        <w:rPr/>
      </w:pPr>
      <w:r>
        <w:rPr/>
        <w:t>В зависимости от правил, предусмотренных Регламентом ЭП, переторжка может проводиться:</w:t>
      </w:r>
    </w:p>
    <w:p>
      <w:pPr>
        <w:pStyle w:val="Style28"/>
        <w:rPr/>
      </w:pPr>
      <w:r>
        <w:rPr/>
        <w:t>в заочной форме путем однократной подачи предложения на переторжку к установленному сроку;</w:t>
      </w:r>
    </w:p>
    <w:p>
      <w:pPr>
        <w:pStyle w:val="Style28"/>
        <w:rPr/>
      </w:pPr>
      <w:r>
        <w:rPr/>
        <w:t>в очной форме путем неоднократного снижения стоимости заявки (цены Договора) или улучшения других показателей, в том числе с установлением «шага» переторжки.</w:t>
      </w:r>
    </w:p>
    <w:p>
      <w:pPr>
        <w:pStyle w:val="Style27"/>
        <w:rPr/>
      </w:pPr>
      <w:r>
        <w:rPr/>
        <w:t>Приглашение Участников к процедуре переторжки осуществляется посредством одновременного (в один день) направления им соответствующих уведомлений посредством ЭП. В уведомлении указывается срок окончания подачи Участниками предложений на переторжку.</w:t>
      </w:r>
    </w:p>
    <w:p>
      <w:pPr>
        <w:pStyle w:val="Style27"/>
        <w:rPr/>
      </w:pPr>
      <w:r>
        <w:rPr/>
        <w:t>Участник, желающий принять участие в переторжке, должен в срок, установленный Закупочной комиссией, предоставить свои предложения на переторжку.</w:t>
      </w:r>
    </w:p>
    <w:p>
      <w:pPr>
        <w:pStyle w:val="Style27"/>
        <w:rPr/>
      </w:pPr>
      <w:bookmarkStart w:id="163" w:name="_Ref136245191"/>
      <w:r>
        <w:rPr/>
        <w:t>При заочной форме переторжки Участник вместе с предложением на переторжку размещает на ЭП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w:t>
      </w:r>
      <w:bookmarkEnd w:id="163"/>
    </w:p>
    <w:p>
      <w:pPr>
        <w:pStyle w:val="Style27"/>
        <w:rPr/>
      </w:pPr>
      <w:r>
        <w:rPr/>
        <w:t>При очной форме переторжки Участник, признанный Победителем, при условии, что он принимал участие в переторжке, обязан предоставить Заказчику в сроки, определенные подразделом </w:t>
      </w:r>
      <w:r>
        <w:rPr/>
        <w:fldChar w:fldCharType="begin"/>
      </w:r>
      <w:r>
        <w:rPr/>
        <w:instrText xml:space="preserve"> REF _Ref138232981 \r \h </w:instrText>
      </w:r>
      <w:r>
        <w:rPr/>
        <w:fldChar w:fldCharType="separate"/>
      </w:r>
      <w:r>
        <w:rPr/>
        <w:t>5.2</w:t>
      </w:r>
      <w:r>
        <w:rPr/>
        <w:fldChar w:fldCharType="end"/>
      </w:r>
      <w:r>
        <w:rPr/>
        <w:t>,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 (в том числе, последним по времени стоимостным предложением, заявленным в ходе проведения переторжки).</w:t>
      </w:r>
    </w:p>
    <w:p>
      <w:pPr>
        <w:pStyle w:val="Style27"/>
        <w:keepNext w:val="true"/>
        <w:rPr/>
      </w:pPr>
      <w:bookmarkStart w:id="164" w:name="_Ref136244167"/>
      <w:r>
        <w:rPr/>
        <w:t>Документы заявки, подлежащие корректировке по результатам переторжки:</w:t>
      </w:r>
      <w:bookmarkEnd w:id="164"/>
    </w:p>
    <w:p>
      <w:pPr>
        <w:pStyle w:val="Style28"/>
        <w:rPr/>
      </w:pPr>
      <w:r>
        <w:rPr/>
        <w:t>Письмо о подаче оферты (форма 2) (</w:t>
      </w:r>
      <w:hyperlink w:anchor="Прил04_ФормыЗаявки">
        <w:r>
          <w:rPr>
            <w:rStyle w:val="Style14"/>
          </w:rPr>
          <w:t>Приложение № 4</w:t>
        </w:r>
      </w:hyperlink>
      <w:r>
        <w:rPr/>
        <w:t>);</w:t>
      </w:r>
    </w:p>
    <w:p>
      <w:pPr>
        <w:pStyle w:val="Style28"/>
        <w:rPr/>
      </w:pPr>
      <w:r>
        <w:rPr/>
        <w:t>Коммерческое предложение (форма 3) (</w:t>
      </w:r>
      <w:hyperlink w:anchor="Прил04_ФормыЗаявки">
        <w:r>
          <w:rPr>
            <w:rStyle w:val="Style14"/>
          </w:rPr>
          <w:t>Приложение № 4</w:t>
        </w:r>
      </w:hyperlink>
      <w:r>
        <w:rPr/>
        <w:t xml:space="preserve">); также дополнительно предоставляется подтверждающая документация, составленная в соответствии с </w:t>
      </w:r>
      <w:hyperlink w:anchor="Прил01_ТехТребования">
        <w:r>
          <w:rPr>
            <w:rStyle w:val="Style14"/>
          </w:rPr>
          <w:t>Техническими требованиями (Приложение № 1)</w:t>
        </w:r>
      </w:hyperlink>
      <w:r>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p>
      <w:pPr>
        <w:pStyle w:val="Style28"/>
        <w:rPr/>
      </w:pPr>
      <w:r>
        <w:rPr/>
        <w:t>План распределения объемов поставки продукции (форма 10) (</w:t>
      </w:r>
      <w:hyperlink w:anchor="Прил04_ФормыЗаявки">
        <w:r>
          <w:rPr>
            <w:rStyle w:val="Style14"/>
          </w:rPr>
          <w:t>Приложение № 4</w:t>
        </w:r>
      </w:hyperlink>
      <w:r>
        <w:rPr/>
        <w:t>) – только если заявка подана Коллективным участником или Генеральным подрядчиком;</w:t>
      </w:r>
    </w:p>
    <w:p>
      <w:pPr>
        <w:pStyle w:val="Style28"/>
        <w:rPr/>
      </w:pPr>
      <w:bookmarkStart w:id="165" w:name="_Ref130376111"/>
      <w:r>
        <w:rPr/>
        <w:t>иной документ, указанный в протоколе закупки (которым назначена переторжка), связанный с предметом проводимой переторжки.</w:t>
      </w:r>
      <w:bookmarkEnd w:id="165"/>
    </w:p>
    <w:p>
      <w:pPr>
        <w:pStyle w:val="Style27"/>
        <w:rPr/>
      </w:pPr>
      <w:r>
        <w:rPr/>
        <w:t>Если Участник, принявший участие в переторжке в заочной форме, не предоставил документы, в соответствии с пунктом </w:t>
      </w:r>
      <w:r>
        <w:rPr/>
        <w:fldChar w:fldCharType="begin"/>
      </w:r>
      <w:r>
        <w:rPr/>
        <w:instrText xml:space="preserve"> REF _Ref136245191 \r \h </w:instrText>
      </w:r>
      <w:r>
        <w:rPr/>
        <w:fldChar w:fldCharType="separate"/>
      </w:r>
      <w:r>
        <w:rPr/>
        <w:t>4.11.15</w:t>
      </w:r>
      <w:r>
        <w:rPr/>
        <w:fldChar w:fldCharType="end"/>
      </w:r>
      <w:r>
        <w:rPr/>
        <w:t>, либо не предоставил их в ответ на дополнительный запрос Организатора, он считается не участвовавшим в переторжке, и его заявка остается действующей с ранее (первоначально) заявленными условиями.</w:t>
      </w:r>
    </w:p>
    <w:p>
      <w:pPr>
        <w:pStyle w:val="Style27"/>
        <w:rPr/>
      </w:pPr>
      <w:r>
        <w:rPr/>
        <w:t>При наличии соответствующего решения Закупочной комиссии о допуске Участника к переторжке в заочной форме 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pPr>
        <w:pStyle w:val="Style27"/>
        <w:rPr/>
      </w:pPr>
      <w:r>
        <w:rP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pPr>
        <w:pStyle w:val="Style26"/>
        <w:rPr/>
      </w:pPr>
      <w:bookmarkStart w:id="166" w:name="_Ref125362626"/>
      <w:bookmarkStart w:id="167" w:name="_Ref125365335"/>
      <w:bookmarkStart w:id="168" w:name="_Ref125365519"/>
      <w:bookmarkStart w:id="169" w:name="_Ref125366534"/>
      <w:bookmarkStart w:id="170" w:name="_Ref125369041"/>
      <w:bookmarkStart w:id="171" w:name="_Ref125369308"/>
      <w:bookmarkStart w:id="172" w:name="_Toc228976350"/>
      <w:r>
        <w:rPr/>
        <w:t>Оценка и сопоставление заявок</w:t>
      </w:r>
      <w:bookmarkEnd w:id="166"/>
      <w:bookmarkEnd w:id="167"/>
      <w:bookmarkEnd w:id="168"/>
      <w:bookmarkEnd w:id="169"/>
      <w:bookmarkEnd w:id="170"/>
      <w:bookmarkEnd w:id="171"/>
      <w:bookmarkEnd w:id="172"/>
    </w:p>
    <w:p>
      <w:pPr>
        <w:pStyle w:val="Style27"/>
        <w:rPr/>
      </w:pPr>
      <w:r>
        <w:rPr/>
        <w:t>Оценка и сопоставление заявок, признанных Закупочной комиссией соответствующими по результатам рассмотрения заявок (подраздел </w:t>
      </w:r>
      <w:r>
        <w:rPr/>
        <w:fldChar w:fldCharType="begin"/>
      </w:r>
      <w:r>
        <w:rPr/>
        <w:instrText xml:space="preserve"> REF _Ref125362364 \w \h </w:instrText>
      </w:r>
      <w:r>
        <w:rPr/>
        <w:fldChar w:fldCharType="separate"/>
      </w:r>
      <w:r>
        <w:rPr/>
        <w:t>4.9</w:t>
      </w:r>
      <w:r>
        <w:rPr/>
        <w:fldChar w:fldCharType="end"/>
      </w:r>
      <w:r>
        <w:rPr/>
        <w:t xml:space="preserve">), осуществляется в соответствии с </w:t>
      </w:r>
      <w:hyperlink w:anchor="Прил08_ПорядокОценки">
        <w:r>
          <w:rPr>
            <w:rStyle w:val="Style14"/>
          </w:rPr>
          <w:t>Порядком и критериями оценки и сопоставления заявок (Приложение № 8)</w:t>
        </w:r>
      </w:hyperlink>
      <w:r>
        <w:rPr/>
        <w:t>. Их результатом является формирование ранжировки заявок по степени предпочтительности на основании полученного итогового балла (по мере уменьшения). При этом первое место в ранжировке присваивается заявке, получившей наибольший итоговый балл. Если по результатам оценки нескольким заявкам присвоен одинаковый итоговый балл, то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 а также если проводилась переторжка (подраздел </w:t>
      </w:r>
      <w:r>
        <w:rPr/>
        <w:fldChar w:fldCharType="begin"/>
      </w:r>
      <w:r>
        <w:rPr/>
        <w:instrText xml:space="preserve"> REF _Ref125362430 \r \h </w:instrText>
      </w:r>
      <w:r>
        <w:rPr/>
        <w:fldChar w:fldCharType="separate"/>
      </w:r>
      <w:r>
        <w:rPr/>
        <w:t>4.11</w:t>
      </w:r>
      <w:r>
        <w:rPr/>
        <w:fldChar w:fldCharType="end"/>
      </w:r>
      <w:r>
        <w:rPr/>
        <w:t>), с учетом даты и времени последнего изменения заявки на ЭП, обусловленного переторжкой).</w:t>
      </w:r>
    </w:p>
    <w:p>
      <w:pPr>
        <w:pStyle w:val="Style27"/>
        <w:rPr/>
      </w:pPr>
      <w:r>
        <w:rPr/>
        <w:t xml:space="preserve">Если в соответствии с </w:t>
      </w:r>
      <w:hyperlink w:anchor="Прил08_ПорядокОценки">
        <w:r>
          <w:rPr>
            <w:rStyle w:val="Style14"/>
          </w:rPr>
          <w:t>Порядком и критериями оценки и сопоставления заявок (Приложение № 8)</w:t>
        </w:r>
      </w:hyperlink>
      <w:r>
        <w:rPr/>
        <w:t xml:space="preserve"> предусмотрен единственный ценовой критерий оценки (иные критерии оценки не предусмотрены), оценка и сопоставление заявок, признанных Закупочной комиссией соответствующими по результатам рассмотрения заявок (подраздел </w:t>
      </w:r>
      <w:r>
        <w:rPr/>
        <w:fldChar w:fldCharType="begin"/>
      </w:r>
      <w:r>
        <w:rPr/>
        <w:instrText xml:space="preserve"> REF _Ref135749133 \r \h </w:instrText>
      </w:r>
      <w:r>
        <w:rPr/>
        <w:fldChar w:fldCharType="separate"/>
      </w:r>
      <w:r>
        <w:rPr/>
        <w:t>4.9</w:t>
      </w:r>
      <w:r>
        <w:rPr/>
        <w:fldChar w:fldCharType="end"/>
      </w:r>
      <w:r>
        <w:rPr/>
        <w:t>), осуществляется:</w:t>
      </w:r>
    </w:p>
    <w:p>
      <w:pPr>
        <w:pStyle w:val="Style28"/>
        <w:rPr/>
      </w:pPr>
      <w:r>
        <w:rPr/>
        <w:t>в соответствии с единственным ценовым критерием оценки (критерием выбора Победителя) – стоимость заявки (цена Договора);</w:t>
      </w:r>
    </w:p>
    <w:p>
      <w:pPr>
        <w:pStyle w:val="Style28"/>
        <w:rPr/>
      </w:pPr>
      <w:r>
        <w:rPr/>
        <w:t>в едином базисе без учета НДС;</w:t>
      </w:r>
    </w:p>
    <w:p>
      <w:pPr>
        <w:pStyle w:val="Style28"/>
        <w:rPr/>
      </w:pPr>
      <w:r>
        <w:rP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pPr>
        <w:pStyle w:val="Style27"/>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7"/>
        <w:rPr/>
      </w:pPr>
      <w:r>
        <w:rPr/>
        <w:t>Если проводилась переторжка, оценка и сопоставление заявок, а также их ранжировка осуществляются с учетом предложений, полученных по результатам переторжки (последней переторжки – если она проводилась многократно). Заявки Участников, не принявших участие в переторжке, учитываются при построении ранжировки заявок с первоначальными, указанными в их заявках предложениями (или с предложениями, принятыми Организатором в рамках последней прошедшей переторжки – если она проводилась многократно).</w:t>
      </w:r>
    </w:p>
    <w:p>
      <w:pPr>
        <w:pStyle w:val="Style27"/>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_Ref130985951 \r \h </w:instrText>
      </w:r>
      <w:r>
        <w:rPr/>
        <w:fldChar w:fldCharType="separate"/>
      </w:r>
      <w:r>
        <w:rPr/>
        <w:t>4.13</w:t>
      </w:r>
      <w:r>
        <w:rPr/>
        <w:fldChar w:fldCharType="end"/>
      </w:r>
      <w:r>
        <w:rPr/>
        <w:t>).</w:t>
      </w:r>
    </w:p>
    <w:p>
      <w:pPr>
        <w:pStyle w:val="Style27"/>
        <w:rPr/>
      </w:pPr>
      <w:r>
        <w:rPr/>
        <w:t>Результаты оценки и сопоставления заявок вносятся в итоговый протокол по результатам закупки.</w:t>
      </w:r>
    </w:p>
    <w:p>
      <w:pPr>
        <w:pStyle w:val="Style26"/>
        <w:rPr/>
      </w:pPr>
      <w:bookmarkStart w:id="173" w:name="_Ref186217606"/>
      <w:bookmarkStart w:id="174" w:name="_Ref130985951"/>
      <w:bookmarkStart w:id="175" w:name="_Ref132894106"/>
      <w:bookmarkStart w:id="176" w:name="_Ref132894111"/>
      <w:bookmarkStart w:id="177" w:name="_Toc228976351"/>
      <w:bookmarkStart w:id="178" w:name="_Ref125366064"/>
      <w:bookmarkStart w:id="179" w:name="_Ref125369991"/>
      <w:bookmarkStart w:id="180" w:name="_Ref125370507"/>
      <w:bookmarkStart w:id="181" w:name="_Ref130458671"/>
      <w:r>
        <w:rPr/>
        <w:t>Применение законодательства о национальном режиме</w:t>
      </w:r>
      <w:bookmarkEnd w:id="173"/>
      <w:bookmarkEnd w:id="174"/>
      <w:bookmarkEnd w:id="175"/>
      <w:bookmarkEnd w:id="176"/>
      <w:bookmarkEnd w:id="177"/>
      <w:bookmarkEnd w:id="178"/>
      <w:bookmarkEnd w:id="179"/>
      <w:bookmarkEnd w:id="180"/>
      <w:bookmarkEnd w:id="181"/>
    </w:p>
    <w:p>
      <w:pPr>
        <w:pStyle w:val="Style27"/>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7"/>
        <w:rPr/>
      </w:pPr>
      <w:bookmarkStart w:id="182" w:name="_Ref207797062"/>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182"/>
    </w:p>
    <w:p>
      <w:pPr>
        <w:pStyle w:val="Style27"/>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p>
    <w:p>
      <w:pPr>
        <w:pStyle w:val="Style27"/>
        <w:rPr/>
      </w:pPr>
      <w:bookmarkStart w:id="183" w:name="_Ref19210109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w:t>
      </w:r>
      <w:bookmarkStart w:id="184" w:name="_Hlk198907172"/>
      <w:r>
        <w:rPr/>
        <w:t>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4.12</w:t>
      </w:r>
      <w:r>
        <w:rPr/>
        <w:fldChar w:fldCharType="end"/>
      </w:r>
      <w:r>
        <w:rPr/>
        <w:t>), осуществляется снижение</w:t>
      </w:r>
      <w:r>
        <w:rPr>
          <w:rStyle w:val="FootnoteReference"/>
        </w:rPr>
        <w:footnoteReference w:id="9"/>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w:t>
      </w:r>
      <w:bookmarkStart w:id="185" w:name="_Hlk198901350"/>
      <w:r>
        <w:rPr/>
        <w:t>(в том числе поставляемых при выполнении закупаемых работ, оказании закупаемых услуг))</w:t>
      </w:r>
      <w:bookmarkEnd w:id="185"/>
      <w:r>
        <w:rPr/>
        <w:t>, при условии наличия допущенной заявки с иностранной продукцией (на поставку товара иностранного происхождения)</w:t>
      </w:r>
      <w:bookmarkEnd w:id="184"/>
      <w:r>
        <w:rPr/>
        <w:t>.</w:t>
      </w:r>
      <w:bookmarkEnd w:id="183"/>
    </w:p>
    <w:p>
      <w:pPr>
        <w:pStyle w:val="Style27"/>
        <w:rPr/>
      </w:pPr>
      <w:bookmarkStart w:id="186" w:name="_Ref192700787"/>
      <w:bookmarkStart w:id="187" w:name="_Ref196303561"/>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186"/>
      <w:bookmarkEnd w:id="187"/>
    </w:p>
    <w:p>
      <w:pPr>
        <w:pStyle w:val="Style27"/>
        <w:rPr/>
      </w:pPr>
      <w:r>
        <w:rP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_Ref207797062 \r \h </w:instrText>
      </w:r>
      <w:r>
        <w:rPr/>
        <w:fldChar w:fldCharType="separate"/>
      </w:r>
      <w:r>
        <w:rPr/>
        <w:t>4.13.2</w:t>
      </w:r>
      <w:r>
        <w:rPr/>
        <w:fldChar w:fldCharType="end"/>
      </w:r>
      <w:r>
        <w:rPr/>
        <w:t> – </w:t>
      </w:r>
      <w:r>
        <w:rPr/>
        <w:fldChar w:fldCharType="begin"/>
      </w:r>
      <w:r>
        <w:rPr/>
        <w:instrText xml:space="preserve"> REF _Ref192700787 \r \h </w:instrText>
      </w:r>
      <w:r>
        <w:rPr/>
        <w:fldChar w:fldCharType="separate"/>
      </w:r>
      <w:r>
        <w:rPr/>
        <w:t>4.13.5</w:t>
      </w:r>
      <w:r>
        <w:rPr/>
        <w:fldChar w:fldCharType="end"/>
      </w:r>
      <w:r>
        <w:rPr/>
        <w:t>), установлены в Структуре НМЦ (в составе Коммерческого предложения (форма 3) (</w:t>
      </w:r>
      <w:hyperlink w:anchor="Прил04_ФормыЗаявки">
        <w:r>
          <w:rPr>
            <w:rStyle w:val="Style14"/>
          </w:rPr>
          <w:t>Приложение № 4</w:t>
        </w:r>
      </w:hyperlink>
      <w:r>
        <w:rPr/>
        <w:t xml:space="preserve">), </w:t>
      </w:r>
      <w:bookmarkStart w:id="188" w:name="_Hlk207281039"/>
      <w:r>
        <w:rPr/>
        <w:t>а также в Технических требованиях (Приложение №1) в части установления требований к подтверждающим документам</w:t>
      </w:r>
      <w:bookmarkEnd w:id="188"/>
      <w:r>
        <w:rPr/>
        <w:t>.</w:t>
      </w:r>
    </w:p>
    <w:p>
      <w:pPr>
        <w:pStyle w:val="Style27"/>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8"/>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8"/>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7"/>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7"/>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7"/>
        <w:rPr/>
      </w:pPr>
      <w:bookmarkStart w:id="189" w:name="_Hlk191561456"/>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189"/>
      <w:r>
        <w:rPr/>
        <w:t>.</w:t>
      </w:r>
    </w:p>
    <w:p>
      <w:pPr>
        <w:pStyle w:val="Style27"/>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7"/>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7"/>
        <w:numPr>
          <w:ilvl w:val="0"/>
          <w:numId w:val="0"/>
        </w:numPr>
        <w:ind w:hanging="0" w:left="1134"/>
        <w:outlineLvl w:val="9"/>
        <w:rPr/>
      </w:pPr>
      <w:r>
        <w:rPr/>
      </w:r>
    </w:p>
    <w:p>
      <w:pPr>
        <w:pStyle w:val="Style26"/>
        <w:rPr/>
      </w:pPr>
      <w:bookmarkStart w:id="190" w:name="_Ref125362658"/>
      <w:bookmarkStart w:id="191" w:name="_Ref125366091"/>
      <w:bookmarkStart w:id="192" w:name="_Ref125367242"/>
      <w:bookmarkStart w:id="193" w:name="_Toc228976352"/>
      <w:r>
        <w:rPr/>
        <w:t>Подведение итогов закупки (определение Победителя)</w:t>
      </w:r>
      <w:bookmarkEnd w:id="190"/>
      <w:bookmarkEnd w:id="191"/>
      <w:bookmarkEnd w:id="192"/>
      <w:bookmarkEnd w:id="193"/>
    </w:p>
    <w:p>
      <w:pPr>
        <w:pStyle w:val="Style27"/>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7"/>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7"/>
        <w:rPr/>
      </w:pPr>
      <w:r>
        <w:rPr/>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 рамках постквалификации Организатор вправе запросить у Участника предоставление документов и (или) информации, подтверждающих представленные в заявке сведения, а также провести дополнительную проверку достоверности представленных документов и информации. Постквалификация проводится по отборочным критериям (</w:t>
      </w:r>
      <w:hyperlink w:anchor="Прил07_ОтборочныеКритерии">
        <w:r>
          <w:rPr>
            <w:rStyle w:val="Style14"/>
          </w:rPr>
          <w:t>Приложение № 7</w:t>
        </w:r>
      </w:hyperlink>
      <w:r>
        <w:rPr/>
        <w:t>), относящимся к соответствию Участника установленным требованиям Документации о закупке. Заявка Участника, не отвечающего необходимым требованиям, отклоняется, при этом Организатор вправе продолжить процедуру проверки в отношении Участника, занявшего следующее место в ранжировке.</w:t>
      </w:r>
    </w:p>
    <w:p>
      <w:pPr>
        <w:pStyle w:val="Style27"/>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7"/>
        <w:keepNext w:val="true"/>
        <w:rPr/>
      </w:pPr>
      <w:bookmarkStart w:id="194"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10"/>
      </w:r>
      <w:r>
        <w:rPr/>
        <w:t>:</w:t>
      </w:r>
      <w:bookmarkEnd w:id="194"/>
    </w:p>
    <w:p>
      <w:pPr>
        <w:pStyle w:val="Style28"/>
        <w:rPr/>
      </w:pPr>
      <w:r>
        <w:rPr/>
        <w:t>дата подписания протокола;</w:t>
      </w:r>
    </w:p>
    <w:p>
      <w:pPr>
        <w:pStyle w:val="Style28"/>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8"/>
        <w:rPr/>
      </w:pPr>
      <w:r>
        <w:rPr/>
        <w:t>идентификационные номера заявок Участников, допущенных по результатам рассмотрения заявок, присваиваемые Оператором ЭП;</w:t>
      </w:r>
    </w:p>
    <w:p>
      <w:pPr>
        <w:pStyle w:val="Style28"/>
        <w:keepNext w:val="true"/>
        <w:rPr/>
      </w:pPr>
      <w:r>
        <w:rPr/>
        <w:t>результаты дополнительного рассмотрения заявок (при возникновении оснований для отклонения заявок по результатам проведения постквалификации или актуализации статуса аккредитации, если такие процедуры проводились) с указанием, в том числе:</w:t>
      </w:r>
    </w:p>
    <w:p>
      <w:pPr>
        <w:pStyle w:val="Style29"/>
        <w:rPr/>
      </w:pPr>
      <w:r>
        <w:rPr/>
        <w:t>количества заявок, которые были отклонены;</w:t>
      </w:r>
    </w:p>
    <w:p>
      <w:pPr>
        <w:pStyle w:val="Style29"/>
        <w:rPr/>
      </w:pPr>
      <w:r>
        <w:rPr/>
        <w:t>оснований отклонения каждой заявки с указанием положений Документации о закупке, которым не соответствует такая заявка;</w:t>
      </w:r>
    </w:p>
    <w:p>
      <w:pPr>
        <w:pStyle w:val="Style28"/>
        <w:rPr/>
      </w:pPr>
      <w:r>
        <w:rPr/>
        <w:t xml:space="preserve">результаты оценки и сопоставления заявок с указанием, в том числе, если в соответствии с </w:t>
      </w:r>
      <w:hyperlink w:anchor="Прил08_ПорядокОценки">
        <w:r>
          <w:rPr>
            <w:rStyle w:val="Style14"/>
          </w:rPr>
          <w:t>Порядком и критериями оценки и сопоставления заявок (Приложение № 8)</w:t>
        </w:r>
      </w:hyperlink>
      <w:r>
        <w:rPr/>
        <w:t xml:space="preserve"> был предусмотрен многокритериальный порядок оценки,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8"/>
        <w:rPr/>
      </w:pPr>
      <w:r>
        <w:rP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p>
    <w:p>
      <w:pPr>
        <w:pStyle w:val="Style28"/>
        <w:rPr/>
      </w:pPr>
      <w:r>
        <w:rPr/>
        <w:t>идентификационный номер заявки Победителя закупки или Единственного участника несостоявшейся закупки, с которым планируется заключить Договор;</w:t>
      </w:r>
    </w:p>
    <w:p>
      <w:pPr>
        <w:pStyle w:val="Style28"/>
        <w:rPr/>
      </w:pPr>
      <w:r>
        <w:rPr/>
        <w:t>причины, по которым закупка признана несостоявшейся (в случае ее признания таковой),</w:t>
      </w:r>
    </w:p>
    <w:p>
      <w:pPr>
        <w:pStyle w:val="Style31"/>
        <w:ind w:hanging="0"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7"/>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7"/>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rPr/>
      </w:pPr>
      <w:bookmarkStart w:id="195" w:name="_Ref125364149"/>
      <w:bookmarkStart w:id="196" w:name="_Ref125364187"/>
      <w:bookmarkStart w:id="197" w:name="_Ref125365305"/>
      <w:bookmarkStart w:id="198" w:name="_Ref125365570"/>
      <w:bookmarkStart w:id="199" w:name="_Ref125366631"/>
      <w:bookmarkStart w:id="200" w:name="_Ref125366796"/>
      <w:bookmarkStart w:id="201" w:name="_Toc228976353"/>
      <w:r>
        <w:rPr/>
        <w:t>Признание закупки несостоявшейся</w:t>
      </w:r>
      <w:bookmarkEnd w:id="195"/>
      <w:bookmarkEnd w:id="196"/>
      <w:bookmarkEnd w:id="197"/>
      <w:bookmarkEnd w:id="198"/>
      <w:bookmarkEnd w:id="199"/>
      <w:bookmarkEnd w:id="200"/>
      <w:bookmarkEnd w:id="201"/>
    </w:p>
    <w:p>
      <w:pPr>
        <w:pStyle w:val="Style27"/>
        <w:keepNext w:val="true"/>
        <w:rPr/>
      </w:pPr>
      <w:r>
        <w:rPr/>
        <w:t>Закупка признается несостоявшейся в следующих случаях:</w:t>
      </w:r>
    </w:p>
    <w:p>
      <w:pPr>
        <w:pStyle w:val="Style28"/>
        <w:rPr/>
      </w:pPr>
      <w:r>
        <w:rPr/>
        <w:t>если по окончанию срока подачи заявок поступило менее 2 (двух) заявок (с учетом возможных отзывов заявок);</w:t>
      </w:r>
    </w:p>
    <w:p>
      <w:pPr>
        <w:pStyle w:val="Style28"/>
        <w:rPr/>
      </w:pPr>
      <w:r>
        <w:rP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pPr>
        <w:pStyle w:val="Style28"/>
        <w:rPr/>
      </w:pPr>
      <w:bookmarkStart w:id="202"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5.4</w:t>
      </w:r>
      <w:r>
        <w:rPr/>
        <w:fldChar w:fldCharType="end"/>
      </w:r>
      <w:bookmarkEnd w:id="202"/>
      <w:r>
        <w:rPr/>
        <w:t>).</w:t>
      </w:r>
    </w:p>
    <w:p>
      <w:pPr>
        <w:pStyle w:val="Style27"/>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7"/>
        <w:keepNext w:val="true"/>
        <w:rPr/>
      </w:pPr>
      <w:r>
        <w:rPr/>
        <w:t>В случае признания закупки несостоявшейся (с учетом условий, предусмотренных Положением о закупке):</w:t>
      </w:r>
    </w:p>
    <w:p>
      <w:pPr>
        <w:pStyle w:val="Style28"/>
        <w:rPr/>
      </w:pPr>
      <w:r>
        <w:rPr/>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5"/>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2"/>
        <w:numPr>
          <w:ilvl w:val="0"/>
          <w:numId w:val="17"/>
        </w:numPr>
        <w:tabs>
          <w:tab w:val="clear" w:pos="2552"/>
        </w:tabs>
        <w:ind w:hanging="426" w:left="2127"/>
        <w:rPr>
          <w:sz w:val="26"/>
          <w:szCs w:val="26"/>
        </w:rPr>
      </w:pPr>
      <w:r>
        <w:rPr>
          <w:sz w:val="26"/>
          <w:szCs w:val="26"/>
        </w:rPr>
        <w:t>повторное проведение закупки;</w:t>
      </w:r>
    </w:p>
    <w:p>
      <w:pPr>
        <w:pStyle w:val="-2"/>
        <w:numPr>
          <w:ilvl w:val="0"/>
          <w:numId w:val="17"/>
        </w:numPr>
        <w:tabs>
          <w:tab w:val="clear" w:pos="2552"/>
        </w:tabs>
        <w:ind w:hanging="0" w:left="1701"/>
        <w:rPr>
          <w:sz w:val="26"/>
          <w:szCs w:val="26"/>
        </w:rPr>
      </w:pPr>
      <w:r>
        <w:rPr>
          <w:sz w:val="26"/>
          <w:szCs w:val="26"/>
        </w:rPr>
        <w:t>отказ от заключения договора по следующим основаниям:</w:t>
      </w:r>
    </w:p>
    <w:p>
      <w:pPr>
        <w:pStyle w:val="-2"/>
        <w:numPr>
          <w:ilvl w:val="0"/>
          <w:numId w:val="18"/>
        </w:numPr>
        <w:tabs>
          <w:tab w:val="clear" w:pos="2552"/>
        </w:tabs>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2"/>
        <w:numPr>
          <w:ilvl w:val="0"/>
          <w:numId w:val="18"/>
        </w:numPr>
        <w:tabs>
          <w:tab w:val="clear" w:pos="2552"/>
        </w:tabs>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2"/>
        <w:numPr>
          <w:ilvl w:val="0"/>
          <w:numId w:val="18"/>
        </w:numPr>
        <w:tabs>
          <w:tab w:val="clear" w:pos="2552"/>
        </w:tabs>
        <w:ind w:hanging="283" w:left="2410"/>
        <w:rPr>
          <w:sz w:val="26"/>
          <w:szCs w:val="26"/>
        </w:rPr>
      </w:pPr>
      <w:r>
        <w:rPr>
          <w:sz w:val="26"/>
          <w:szCs w:val="26"/>
        </w:rPr>
        <w:t>необходимость исполнения предписаний антимонопольного органа;</w:t>
      </w:r>
    </w:p>
    <w:p>
      <w:pPr>
        <w:pStyle w:val="-2"/>
        <w:numPr>
          <w:ilvl w:val="0"/>
          <w:numId w:val="17"/>
        </w:numPr>
        <w:tabs>
          <w:tab w:val="clear" w:pos="2552"/>
        </w:tabs>
        <w:ind w:hanging="426" w:left="2127"/>
        <w:rPr>
          <w:sz w:val="26"/>
          <w:szCs w:val="26"/>
        </w:rPr>
      </w:pPr>
      <w:bookmarkStart w:id="203"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203"/>
    </w:p>
    <w:p>
      <w:pPr>
        <w:pStyle w:val="Style28"/>
        <w:rPr/>
      </w:pPr>
      <w:r>
        <w:rPr/>
        <w:t xml:space="preserve">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w:t>
      </w:r>
      <w:bookmarkStart w:id="204" w:name="_Hlk219297054"/>
      <w:r>
        <w:rPr/>
        <w:t>либо по результатам проведения закупки от заключения договора уклонились все допущенные Участники</w:t>
      </w:r>
      <w:bookmarkEnd w:id="204"/>
      <w:r>
        <w:rPr/>
        <w:t xml:space="preserve"> – Заказчик проводит повторную закупку.</w:t>
      </w:r>
    </w:p>
    <w:p>
      <w:pPr>
        <w:pStyle w:val="Style35"/>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2"/>
        <w:numPr>
          <w:ilvl w:val="0"/>
          <w:numId w:val="18"/>
        </w:numPr>
        <w:tabs>
          <w:tab w:val="clear" w:pos="2552"/>
        </w:tabs>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2"/>
        <w:numPr>
          <w:ilvl w:val="0"/>
          <w:numId w:val="18"/>
        </w:numPr>
        <w:tabs>
          <w:tab w:val="clear" w:pos="2552"/>
        </w:tabs>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2"/>
        <w:numPr>
          <w:ilvl w:val="0"/>
          <w:numId w:val="18"/>
        </w:numPr>
        <w:tabs>
          <w:tab w:val="clear" w:pos="2552"/>
        </w:tabs>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6"/>
        <w:rPr/>
      </w:pPr>
      <w:bookmarkStart w:id="205" w:name="_Toc228976354"/>
      <w:bookmarkStart w:id="206" w:name="_Ref126141962"/>
      <w:r>
        <w:rPr/>
        <w:t>Отказ от проведения закупки</w:t>
      </w:r>
      <w:bookmarkEnd w:id="206"/>
      <w:r>
        <w:rPr/>
        <w:t xml:space="preserve"> (отмена закупки)</w:t>
      </w:r>
      <w:bookmarkEnd w:id="205"/>
    </w:p>
    <w:p>
      <w:pPr>
        <w:pStyle w:val="Style27"/>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7"/>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7"/>
        <w:rPr/>
      </w:pPr>
      <w:r>
        <w:rPr/>
        <w:t>Дополнительно организатор уведомляет всех Участников об отмене закупки посредством ЭП.</w:t>
      </w:r>
    </w:p>
    <w:p>
      <w:pPr>
        <w:pStyle w:val="Style27"/>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6"/>
        <w:rPr/>
      </w:pPr>
      <w:bookmarkStart w:id="207" w:name="_Ref130455226"/>
      <w:bookmarkStart w:id="208" w:name="_Toc228976355"/>
      <w:r>
        <w:rPr/>
        <w:t>Особенности проведения закупки с необходимостью обеспечения заявки</w:t>
      </w:r>
      <w:bookmarkEnd w:id="207"/>
      <w:bookmarkEnd w:id="208"/>
    </w:p>
    <w:p>
      <w:pPr>
        <w:pStyle w:val="Style27"/>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7"/>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7"/>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pPr>
        <w:pStyle w:val="Style27"/>
        <w:rPr/>
      </w:pPr>
      <w:r>
        <w:rPr/>
        <w:t>В случае выбора Участником обеспечения заявки путем предоставления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pPr>
        <w:pStyle w:val="Style28"/>
        <w:rPr/>
      </w:pPr>
      <w:r>
        <w:rPr/>
        <w:t>банковская гарантия должна быть безотзывной и безусловной (гарантия по первому требованию);</w:t>
      </w:r>
    </w:p>
    <w:p>
      <w:pPr>
        <w:pStyle w:val="Style28"/>
        <w:rPr/>
      </w:pPr>
      <w:r>
        <w:rPr/>
        <w:t>сумма банковской гарантии должна быть выражена в российских рублях и составлять не менее суммы в размере, указанном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8"/>
        <w:rPr/>
      </w:pPr>
      <w:r>
        <w:rPr/>
        <w:t>банковская гарантия должна действовать не менее 120 (ста двадцати)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8"/>
        <w:rPr/>
      </w:pPr>
      <w:r>
        <w:rPr/>
        <w:t>бенефициаром в банковской гарантии должен быть указан Заказчик, принципалом – Участник, гарантом – банк, выдавший банковскую гарантию;</w:t>
      </w:r>
    </w:p>
    <w:p>
      <w:pPr>
        <w:pStyle w:val="Style28"/>
        <w:rPr/>
      </w:pPr>
      <w:r>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rPr/>
        <w:fldChar w:fldCharType="begin"/>
      </w:r>
      <w:r>
        <w:rPr/>
        <w:instrText xml:space="preserve"> REF _Ref228968767 \r \h </w:instrText>
      </w:r>
      <w:r>
        <w:rPr/>
        <w:fldChar w:fldCharType="separate"/>
      </w:r>
      <w:r>
        <w:rPr/>
        <w:t>4.17.11</w:t>
      </w:r>
      <w:r>
        <w:rPr/>
        <w:fldChar w:fldCharType="end"/>
      </w:r>
      <w:r>
        <w:rPr/>
        <w:t>;</w:t>
      </w:r>
    </w:p>
    <w:p>
      <w:pPr>
        <w:pStyle w:val="Style28"/>
        <w:rPr/>
      </w:pPr>
      <w:r>
        <w:rP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pPr>
        <w:pStyle w:val="Style28"/>
        <w:rPr/>
      </w:pPr>
      <w:r>
        <w:rPr/>
        <w:t>платеж по банковской гарантии должен быть осуществлен в течение 10 (десяти) рабочих дней после обращения бенефициара;</w:t>
      </w:r>
    </w:p>
    <w:p>
      <w:pPr>
        <w:pStyle w:val="Style28"/>
        <w:rPr/>
      </w:pPr>
      <w:r>
        <w:rPr/>
        <w:t>в банковской гарантии не должно быть условий или требований, противоречащих вышеизложенному или делающих вышеизложенное неисполнимым;</w:t>
      </w:r>
    </w:p>
    <w:p>
      <w:pPr>
        <w:pStyle w:val="Style28"/>
        <w:rPr/>
      </w:pPr>
      <w:r>
        <w:rP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1"/>
      </w:r>
      <w:r>
        <w:rP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pPr>
        <w:pStyle w:val="Style28"/>
        <w:rPr/>
      </w:pPr>
      <w:r>
        <w:rP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Pr>
          <w:rStyle w:val="FootnoteReference"/>
        </w:rPr>
        <w:footnoteReference w:id="12"/>
      </w:r>
      <w:r>
        <w:rPr/>
        <w:t xml:space="preserve"> в качестве органа, компетентного разрешать споры из банковской гарантии.</w:t>
      </w:r>
    </w:p>
    <w:p>
      <w:pPr>
        <w:pStyle w:val="Style27"/>
        <w:rPr/>
      </w:pPr>
      <w:r>
        <w:rPr/>
        <w:t>В случае выбора Участником обеспечения заявки путем предоставления банковской гарантии,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7"/>
        <w:rPr/>
      </w:pPr>
      <w:r>
        <w:rPr/>
        <w:t>При многолотовой закупке (подраздел </w:t>
      </w:r>
      <w:r>
        <w:rPr/>
        <w:fldChar w:fldCharType="begin"/>
      </w:r>
      <w:r>
        <w:rPr/>
        <w:instrText xml:space="preserve"> REF _Ref149317414 \n \h </w:instrText>
      </w:r>
      <w:r>
        <w:rPr/>
        <w:fldChar w:fldCharType="separate"/>
      </w:r>
      <w:r>
        <w:rPr/>
        <w:t>4.18</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7"/>
        <w:rPr/>
      </w:pPr>
      <w:r>
        <w:rPr/>
        <w:t>При подаче заявки с альтернативными предложениями (подраздел </w:t>
      </w:r>
      <w:r>
        <w:rPr/>
        <w:fldChar w:fldCharType="begin"/>
      </w:r>
      <w:r>
        <w:rPr/>
        <w:instrText xml:space="preserve"> REF _Ref125550863 \r \h </w:instrText>
      </w:r>
      <w:r>
        <w:rPr/>
        <w:fldChar w:fldCharType="separate"/>
      </w:r>
      <w:r>
        <w:rPr/>
        <w:t>4.19</w:t>
      </w:r>
      <w:r>
        <w:rPr/>
        <w:fldChar w:fldCharType="end"/>
      </w:r>
      <w:r>
        <w:rPr/>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pPr>
        <w:pStyle w:val="Style27"/>
        <w:rPr/>
      </w:pPr>
      <w:r>
        <w:rPr/>
        <w:t>Подать заявку (принять участие в закупке) могут только Участники, предоставившие надлежащее обеспечение их заявок.</w:t>
      </w:r>
    </w:p>
    <w:p>
      <w:pPr>
        <w:pStyle w:val="Style27"/>
        <w:rPr/>
      </w:pPr>
      <w:r>
        <w:rPr/>
        <w:t>Требование об обеспечении заявки в равной мере распространяется на всех Участников.</w:t>
      </w:r>
    </w:p>
    <w:p>
      <w:pPr>
        <w:pStyle w:val="Style27"/>
        <w:keepNext w:val="true"/>
        <w:rPr/>
      </w:pPr>
      <w:bookmarkStart w:id="209" w:name="_Ref228968767"/>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09"/>
    </w:p>
    <w:p>
      <w:pPr>
        <w:pStyle w:val="Style28"/>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4"/>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_Ref138232981 \r \h </w:instrText>
      </w:r>
      <w:r>
        <w:rPr/>
        <w:fldChar w:fldCharType="separate"/>
      </w:r>
      <w:r>
        <w:rPr/>
        <w:t>5.2</w:t>
      </w:r>
      <w:r>
        <w:rPr/>
        <w:fldChar w:fldCharType="end"/>
      </w:r>
      <w:r>
        <w:rPr/>
        <w:t>;</w:t>
      </w:r>
    </w:p>
    <w:p>
      <w:pPr>
        <w:pStyle w:val="Style28"/>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4"/>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4"/>
          </w:rPr>
          <w:t>Проектом договора</w:t>
        </w:r>
      </w:hyperlink>
      <w:r>
        <w:rPr/>
        <w:t>).</w:t>
      </w:r>
    </w:p>
    <w:p>
      <w:pPr>
        <w:pStyle w:val="Style27"/>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соответствующий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p>
    <w:p>
      <w:pPr>
        <w:pStyle w:val="Style27"/>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20 (двадцати) рабочих дней с даты:</w:t>
      </w:r>
    </w:p>
    <w:p>
      <w:pPr>
        <w:pStyle w:val="Style28"/>
        <w:rPr/>
      </w:pPr>
      <w:r>
        <w:rPr/>
        <w:t>принятия решения об отказе от проведения закупки – всем Участникам, подавшим заявки к моменту принятия такого решения;</w:t>
      </w:r>
    </w:p>
    <w:p>
      <w:pPr>
        <w:pStyle w:val="Style28"/>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8"/>
        <w:rPr/>
      </w:pPr>
      <w:r>
        <w:rPr/>
        <w:t>официального размещения протокола рассмотрения заявок (при условии его оформления) – Участникам, чьи заявки были отклонены;</w:t>
      </w:r>
    </w:p>
    <w:p>
      <w:pPr>
        <w:pStyle w:val="Style28"/>
        <w:rPr/>
      </w:pPr>
      <w:r>
        <w:rPr/>
        <w:t>официального размещения итогового протокола по результатам закупки – всем Участникам, кроме Победителя;</w:t>
      </w:r>
    </w:p>
    <w:p>
      <w:pPr>
        <w:pStyle w:val="Style28"/>
        <w:rPr/>
      </w:pPr>
      <w:r>
        <w:rPr/>
        <w:t>заключения Договора по результатам закупки – Победителю, с которым заключен Договор;</w:t>
      </w:r>
    </w:p>
    <w:p>
      <w:pPr>
        <w:pStyle w:val="Style28"/>
        <w:rPr/>
      </w:pPr>
      <w:r>
        <w:rPr/>
        <w:t>признания закупки несостоявшейся – Участнику, которому обеспечение не было возвращено по иным основаниям.</w:t>
      </w:r>
    </w:p>
    <w:p>
      <w:pPr>
        <w:pStyle w:val="Style27"/>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pPr>
        <w:pStyle w:val="Style26"/>
        <w:rPr/>
      </w:pPr>
      <w:bookmarkStart w:id="210" w:name="_Ref149317414"/>
      <w:bookmarkStart w:id="211" w:name="_Toc228976356"/>
      <w:bookmarkStart w:id="212" w:name="_Ref130225422"/>
      <w:r>
        <w:rPr/>
        <w:t>Особенности проведения многолотовой закупки</w:t>
      </w:r>
      <w:bookmarkEnd w:id="210"/>
      <w:bookmarkEnd w:id="211"/>
      <w:bookmarkEnd w:id="212"/>
    </w:p>
    <w:p>
      <w:pPr>
        <w:pStyle w:val="Style27"/>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7"/>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7"/>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7"/>
        <w:keepNext w:val="true"/>
        <w:rPr/>
      </w:pPr>
      <w:r>
        <w:rPr/>
        <w:t>В случае подачи заявки на несколько лотов дополнительно должны быть соблюдены следующие требования:</w:t>
      </w:r>
    </w:p>
    <w:p>
      <w:pPr>
        <w:pStyle w:val="Style28"/>
        <w:rPr/>
      </w:pPr>
      <w:r>
        <w:rPr/>
        <w:t>Письмо о подаче оферты (форма 2) (</w:t>
      </w:r>
      <w:hyperlink w:anchor="Прил04_ФормыЗаявки">
        <w:r>
          <w:rPr>
            <w:rStyle w:val="Style14"/>
          </w:rPr>
          <w:t>Приложение № 4</w:t>
        </w:r>
      </w:hyperlink>
      <w:r>
        <w:rPr/>
        <w:t>) должно содержать указание номера и названия каждого лота, по каждому лоту должна быть указана его стоимость;</w:t>
      </w:r>
    </w:p>
    <w:p>
      <w:pPr>
        <w:pStyle w:val="Style28"/>
        <w:rPr/>
      </w:pPr>
      <w:r>
        <w:rPr/>
        <w:t xml:space="preserve">Коммерческое предложение (форма 3), Техническое предложение (форма 4), План распределения объемов поставки продукции (форма 10) – </w:t>
      </w:r>
      <w:hyperlink w:anchor="Прил04_ФормыЗаявки">
        <w:r>
          <w:rPr>
            <w:rStyle w:val="Style14"/>
          </w:rPr>
          <w:t>Приложение № 4</w:t>
        </w:r>
      </w:hyperlink>
      <w:r>
        <w:rPr/>
        <w:t>, должны быть подготовлены отдельно по каждому из лотов с указанием номера и названия лота.</w:t>
      </w:r>
    </w:p>
    <w:p>
      <w:pPr>
        <w:pStyle w:val="Style27"/>
        <w:rPr/>
      </w:pPr>
      <w:r>
        <w:rP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6"/>
        <w:rPr/>
      </w:pPr>
      <w:bookmarkStart w:id="213" w:name="_Ref125550863"/>
      <w:bookmarkStart w:id="214" w:name="_Toc228976357"/>
      <w:r>
        <w:rPr/>
        <w:t>Особенности проведения закупки с возможностью подачи альтернативных предложений</w:t>
      </w:r>
      <w:bookmarkEnd w:id="213"/>
      <w:bookmarkEnd w:id="214"/>
    </w:p>
    <w:p>
      <w:pPr>
        <w:pStyle w:val="Style27"/>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возможность подачи альтернативных предложений.</w:t>
      </w:r>
    </w:p>
    <w:p>
      <w:pPr>
        <w:pStyle w:val="Style27"/>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7"/>
        <w:rPr/>
      </w:pPr>
      <w:r>
        <w:rPr/>
        <w:t>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в подразделе </w:t>
      </w:r>
      <w:r>
        <w:rPr/>
        <w:fldChar w:fldCharType="begin"/>
      </w:r>
      <w:r>
        <w:rPr/>
        <w:instrText xml:space="preserve"> REF _Ref125359973 \r \h </w:instrText>
      </w:r>
      <w:r>
        <w:rPr/>
        <w:fldChar w:fldCharType="separate"/>
      </w:r>
      <w:r>
        <w:rPr/>
        <w:t>1.2</w:t>
      </w:r>
      <w:r>
        <w:rPr/>
        <w:fldChar w:fldCharType="end"/>
      </w:r>
      <w:r>
        <w:rPr/>
        <w:t>. Требование о том, что участник имеет право подать только одну заявку, к альтернативным предложениям не относится. При этом не допускается подача заявки на часть какого-либо лота по отдельным видам или объемам продукции (в случае нарушения – поданная заявка в отношении такого лота подлежит отклонению).</w:t>
      </w:r>
    </w:p>
    <w:p>
      <w:pPr>
        <w:pStyle w:val="Style27"/>
        <w:rPr/>
      </w:pPr>
      <w:r>
        <w:rPr/>
        <w:t>Альтернативные предложения могут сопровождаться альтернативными ценами (не превышающими НМЦ, установленную в подразделе </w:t>
      </w:r>
      <w:r>
        <w:rPr/>
        <w:fldChar w:fldCharType="begin"/>
      </w:r>
      <w:r>
        <w:rPr/>
        <w:instrText xml:space="preserve"> REF _Ref125359973 \r \h </w:instrText>
      </w:r>
      <w:r>
        <w:rPr/>
        <w:fldChar w:fldCharType="separate"/>
      </w:r>
      <w:r>
        <w:rPr/>
        <w:t>1.2</w:t>
      </w:r>
      <w:r>
        <w:rPr/>
        <w:fldChar w:fldCharType="end"/>
      </w:r>
      <w:r>
        <w:rPr/>
        <w:t>). При этом альтернативные предложения, по сути отличающиеся от основного только ценой, рассматриваться не будут.</w:t>
      </w:r>
    </w:p>
    <w:p>
      <w:pPr>
        <w:pStyle w:val="Style27"/>
        <w:rPr/>
      </w:pPr>
      <w:r>
        <w:rPr/>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 заявки (</w:t>
      </w:r>
      <w:hyperlink w:anchor="Прил04_ФормыЗаявки">
        <w:r>
          <w:rPr>
            <w:rStyle w:val="Style14"/>
          </w:rPr>
          <w:t>Приложение № 4</w:t>
        </w:r>
      </w:hyperlink>
      <w:r>
        <w:rPr/>
        <w:t>)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 следует дублировать документы, подтверждающие соответствие Участника установленным требованиям, а также формы заявки, которые не отличаются от форм основного предложения.</w:t>
      </w:r>
    </w:p>
    <w:p>
      <w:pPr>
        <w:pStyle w:val="Style27"/>
        <w:rPr/>
      </w:pPr>
      <w:r>
        <w:rPr/>
        <w:t>При проведении переторжки (подраздел </w:t>
      </w:r>
      <w:r>
        <w:rPr/>
        <w:fldChar w:fldCharType="begin"/>
      </w:r>
      <w:r>
        <w:rPr/>
        <w:instrText xml:space="preserve"> REF _Ref127536359 \r \h </w:instrText>
      </w:r>
      <w:r>
        <w:rPr/>
        <w:fldChar w:fldCharType="separate"/>
      </w:r>
      <w:r>
        <w:rPr/>
        <w:t>4.11</w:t>
      </w:r>
      <w:r>
        <w:rPr/>
        <w:fldChar w:fldCharType="end"/>
      </w:r>
      <w:r>
        <w:rPr/>
        <w:t>) альтернативные предложения Участников допускаются к ней наравне с основными предложениями.</w:t>
      </w:r>
    </w:p>
    <w:p>
      <w:pPr>
        <w:pStyle w:val="Style27"/>
        <w:rPr/>
      </w:pPr>
      <w:r>
        <w:rPr/>
        <w:t>Решения Закупочной комиссии по рассмотрению, оценке и сопоставлению заявок принимаются отдельно в отношении основного предложения и каждого альтернативного предложения. Отклонение основного предложения не является основанием для отклонения альтернативных предложений и наоборот. При формировании ранжировки заявок альтернативные предложения ранжируются отдельно (наравне с основными предложениями), с присвоением каждому предложению отдельного места в ранжировке.</w:t>
      </w:r>
    </w:p>
    <w:p>
      <w:pPr>
        <w:pStyle w:val="Style25"/>
        <w:rPr/>
      </w:pPr>
      <w:bookmarkStart w:id="215" w:name="_Ref126142429"/>
      <w:bookmarkStart w:id="216" w:name="_Ref130224037"/>
      <w:bookmarkStart w:id="217" w:name="_Toc228976358"/>
      <w:bookmarkStart w:id="218" w:name="_Ref125361212"/>
      <w:bookmarkStart w:id="219" w:name="_Ref125362671"/>
      <w:bookmarkStart w:id="220" w:name="_Ref125363439"/>
      <w:bookmarkStart w:id="221" w:name="_Ref125366769"/>
      <w:bookmarkStart w:id="222" w:name="_Ref125367083"/>
      <w:bookmarkStart w:id="223" w:name="_Ref125367087"/>
      <w:r>
        <w:rPr/>
        <w:t>Порядок заключения Договора</w:t>
      </w:r>
      <w:bookmarkEnd w:id="215"/>
      <w:bookmarkEnd w:id="216"/>
      <w:bookmarkEnd w:id="217"/>
      <w:bookmarkEnd w:id="218"/>
      <w:bookmarkEnd w:id="219"/>
      <w:bookmarkEnd w:id="220"/>
      <w:bookmarkEnd w:id="221"/>
      <w:bookmarkEnd w:id="222"/>
      <w:bookmarkEnd w:id="223"/>
    </w:p>
    <w:p>
      <w:pPr>
        <w:pStyle w:val="Style26"/>
        <w:rPr/>
      </w:pPr>
      <w:bookmarkStart w:id="224" w:name="_Ref139028625"/>
      <w:bookmarkStart w:id="225" w:name="_Toc228976359"/>
      <w:r>
        <w:rPr/>
        <w:t>Общие положения</w:t>
      </w:r>
      <w:bookmarkEnd w:id="224"/>
      <w:bookmarkEnd w:id="225"/>
    </w:p>
    <w:p>
      <w:pPr>
        <w:pStyle w:val="Style27"/>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6"/>
        <w:rPr/>
      </w:pPr>
      <w:bookmarkStart w:id="226" w:name="_Ref138232981"/>
      <w:bookmarkStart w:id="227" w:name="_Toc228976360"/>
      <w:bookmarkStart w:id="228" w:name="_Ref125366947"/>
      <w:bookmarkStart w:id="229" w:name="_Ref125368755"/>
      <w:bookmarkStart w:id="230" w:name="_Ref135736094"/>
      <w:r>
        <w:rPr/>
        <w:t>Заключение Договора</w:t>
      </w:r>
      <w:bookmarkEnd w:id="226"/>
      <w:bookmarkEnd w:id="227"/>
      <w:bookmarkEnd w:id="228"/>
      <w:bookmarkEnd w:id="229"/>
      <w:bookmarkEnd w:id="230"/>
    </w:p>
    <w:p>
      <w:pPr>
        <w:pStyle w:val="Style27"/>
        <w:rPr/>
      </w:pPr>
      <w:bookmarkStart w:id="231" w:name="_Ref125362935"/>
      <w:bookmarkStart w:id="232"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31"/>
      <w:bookmarkEnd w:id="232"/>
    </w:p>
    <w:p>
      <w:pPr>
        <w:pStyle w:val="Style27"/>
        <w:rPr/>
      </w:pPr>
      <w:r>
        <w:rPr/>
        <w:t>Договор не может быть заключен, если это запрещено законодательством о национальном режиме .</w:t>
      </w:r>
    </w:p>
    <w:p>
      <w:pPr>
        <w:pStyle w:val="Style27"/>
        <w:rPr/>
      </w:pPr>
      <w:bookmarkStart w:id="233" w:name="_Ref125363464"/>
      <w:bookmarkStart w:id="234" w:name="_Hlk207281466"/>
      <w:bookmarkEnd w:id="23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7"/>
        <w:rPr/>
      </w:pPr>
      <w:bookmarkStart w:id="235" w:name="_Hlk207281494"/>
      <w:bookmarkStart w:id="236" w:name="_Hlk207281466_Копия_1"/>
      <w:bookmarkEnd w:id="236"/>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4"/>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numPr>
          <w:ilvl w:val="0"/>
          <w:numId w:val="15"/>
        </w:numPr>
        <w:ind w:hanging="567" w:left="1701"/>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235"/>
    </w:p>
    <w:p>
      <w:pPr>
        <w:pStyle w:val="Style27"/>
        <w:numPr>
          <w:ilvl w:val="0"/>
          <w:numId w:val="15"/>
        </w:numPr>
        <w:ind w:hanging="567" w:left="1701"/>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4"/>
          </w:rPr>
          <w:t>Приложения № 4</w:t>
        </w:r>
      </w:hyperlink>
      <w:r>
        <w:rPr/>
        <w:t>)) адрес электронной почты ответственного лица).</w:t>
      </w:r>
      <w:bookmarkEnd w:id="233"/>
    </w:p>
    <w:p>
      <w:pPr>
        <w:pStyle w:val="Style27"/>
        <w:keepNext w:val="true"/>
        <w:rPr/>
      </w:pPr>
      <w:bookmarkStart w:id="237" w:name="_Ref125551776"/>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(скан-копии в формате </w:t>
      </w:r>
      <w:bookmarkStart w:id="238" w:name="_Hlk207281699"/>
      <w:r>
        <w:rPr/>
        <w:t xml:space="preserve">Portable Document Format </w:t>
      </w:r>
      <w:bookmarkEnd w:id="238"/>
      <w:r>
        <w:rPr/>
        <w:t>(*.</w:t>
      </w:r>
      <w:r>
        <w:rPr>
          <w:lang w:val="en-US"/>
        </w:rPr>
        <w:t>pdf</w:t>
      </w:r>
      <w:r>
        <w:rPr/>
        <w:t>)):</w:t>
      </w:r>
      <w:bookmarkEnd w:id="237"/>
    </w:p>
    <w:p>
      <w:pPr>
        <w:pStyle w:val="Style28"/>
        <w:rPr/>
      </w:pPr>
      <w:r>
        <w:rPr/>
        <w:t xml:space="preserve">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rPr>
          <w:t>Приложением № 5</w:t>
        </w:r>
      </w:hyperlink>
      <w:r>
        <w:rPr/>
        <w:t>;</w:t>
      </w:r>
    </w:p>
    <w:p>
      <w:pPr>
        <w:pStyle w:val="Style28"/>
        <w:rPr/>
      </w:pPr>
      <w:bookmarkStart w:id="239" w:name="_Ref125552642"/>
      <w:r>
        <w:rPr/>
        <w:t>если он принимал участие в переторжке в очной форме – документы своей заявки, подлежащие корректировке в строгом соответствии с его предложениями, заявленными в ходе проведения переторжки (подраздел </w:t>
      </w:r>
      <w:r>
        <w:rPr/>
        <w:fldChar w:fldCharType="begin"/>
      </w:r>
      <w:r>
        <w:rPr/>
        <w:instrText xml:space="preserve"> REF _Ref127536359 \r \h </w:instrText>
      </w:r>
      <w:r>
        <w:rPr/>
        <w:fldChar w:fldCharType="separate"/>
      </w:r>
      <w:r>
        <w:rPr/>
        <w:t>4.11</w:t>
      </w:r>
      <w:r>
        <w:rPr/>
        <w:fldChar w:fldCharType="end"/>
      </w:r>
      <w:r>
        <w:rPr/>
        <w:t>)</w:t>
      </w:r>
      <w:bookmarkEnd w:id="239"/>
      <w:r>
        <w:rPr/>
        <w:t>.</w:t>
      </w:r>
    </w:p>
    <w:p>
      <w:pPr>
        <w:pStyle w:val="Style27"/>
        <w:keepNext w:val="true"/>
        <w:rPr/>
      </w:pPr>
      <w:bookmarkStart w:id="240"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4"/>
          </w:rPr>
          <w:t>Приложение № 3</w:t>
        </w:r>
      </w:hyperlink>
      <w:r>
        <w:rPr/>
        <w:t>), следующие документы (скан-копии в формате Portable Document Format (*.</w:t>
      </w:r>
      <w:r>
        <w:rPr>
          <w:lang w:val="en-US"/>
        </w:rPr>
        <w:t>pdf</w:t>
      </w:r>
      <w:r>
        <w:rPr/>
        <w:t>))</w:t>
      </w:r>
      <w:r>
        <w:rPr>
          <w:rStyle w:val="FootnoteReference"/>
        </w:rPr>
        <w:footnoteReference w:id="13"/>
      </w:r>
      <w:r>
        <w:rPr/>
        <w:t>:</w:t>
      </w:r>
      <w:bookmarkEnd w:id="240"/>
    </w:p>
    <w:p>
      <w:pPr>
        <w:pStyle w:val="Style28"/>
        <w:keepNext w:val="true"/>
        <w:rPr/>
      </w:pPr>
      <w:r>
        <w:rPr/>
        <w:t>для юридического лица:</w:t>
      </w:r>
    </w:p>
    <w:p>
      <w:pPr>
        <w:pStyle w:val="Style29"/>
        <w:rPr/>
      </w:pPr>
      <w:r>
        <w:rPr/>
        <w:t>копия устава в действующей редакции с отметкой ИФНС либо копия нотариально заверенного устава (с отметкой нотариуса);</w:t>
      </w:r>
    </w:p>
    <w:p>
      <w:pPr>
        <w:pStyle w:val="Style29"/>
        <w:rPr/>
      </w:pPr>
      <w:bookmarkStart w:id="241"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41"/>
    </w:p>
    <w:p>
      <w:pPr>
        <w:pStyle w:val="Style29"/>
        <w:rPr/>
      </w:pPr>
      <w:r>
        <w:rPr/>
        <w:t>если договор подписывается лицом, действующим на основании доверенности, дополнительно предоставляется соответствующая доверенность либо ее нотариально заверенная копия (с указанием правомочий на подписание договора) и документы, подтверждающие соответствующие полномочия лица, выдавшего доверенность;</w:t>
      </w:r>
    </w:p>
    <w:p>
      <w:pPr>
        <w:pStyle w:val="Style29"/>
        <w:rPr/>
      </w:pPr>
      <w:r>
        <w:rPr/>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 которых проводится закупка);</w:t>
      </w:r>
    </w:p>
    <w:p>
      <w:pPr>
        <w:pStyle w:val="Style28"/>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8"/>
        <w:rPr/>
      </w:pPr>
      <w:r>
        <w:rPr/>
        <w:t>для физического лица: нотариально заверенная копия всех страниц документа, удостоверяющего личность (паспорта);</w:t>
      </w:r>
    </w:p>
    <w:p>
      <w:pPr>
        <w:pStyle w:val="Style28"/>
        <w:rPr/>
      </w:pPr>
      <w:bookmarkStart w:id="242" w:name="_Ref125361554"/>
      <w:r>
        <w:rPr/>
        <w:t>если Договор заключается с лидером Коллективного участника, то в обязательном порядке предоставляется оригинал и (или) нотариально заверенная копия Соглашения между членами Коллективного участника, указанного в пункте </w:t>
      </w:r>
      <w:r>
        <w:rPr/>
        <w:fldChar w:fldCharType="begin"/>
      </w:r>
      <w:r>
        <w:rPr/>
        <w:instrText xml:space="preserve"> REF _Ref125366972 \r \h </w:instrText>
      </w:r>
      <w:r>
        <w:rPr/>
        <w:fldChar w:fldCharType="separate"/>
      </w:r>
      <w:r>
        <w:rPr/>
        <w:t>3.2.3</w:t>
      </w:r>
      <w:r>
        <w:rPr/>
        <w:fldChar w:fldCharType="end"/>
      </w:r>
      <w:r>
        <w:rPr/>
        <w:t>.</w:t>
      </w:r>
      <w:bookmarkEnd w:id="242"/>
    </w:p>
    <w:p>
      <w:pPr>
        <w:pStyle w:val="Style27"/>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7"/>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7"/>
        <w:keepNext w:val="true"/>
        <w:rPr/>
      </w:pPr>
      <w:bookmarkStart w:id="243"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43"/>
    </w:p>
    <w:p>
      <w:pPr>
        <w:pStyle w:val="Style28"/>
        <w:rPr/>
      </w:pPr>
      <w:r>
        <w:rPr/>
        <w:t>протокол преддоговорных переговоров между Заказчиком и Победителем (при проведении таковых);</w:t>
      </w:r>
    </w:p>
    <w:p>
      <w:pPr>
        <w:pStyle w:val="Style28"/>
        <w:rPr/>
      </w:pPr>
      <w:r>
        <w:rPr/>
        <w:t>итоговый протокол по результатам закупки;</w:t>
      </w:r>
    </w:p>
    <w:p>
      <w:pPr>
        <w:pStyle w:val="Style28"/>
        <w:rPr/>
      </w:pPr>
      <w:r>
        <w:rPr/>
        <w:t>Извещение и Документация о закупке со всеми изменениями;</w:t>
      </w:r>
    </w:p>
    <w:p>
      <w:pPr>
        <w:pStyle w:val="Style28"/>
        <w:rPr/>
      </w:pPr>
      <w:r>
        <w:rPr/>
        <w:t>заявка Победителя со всеми дополнениями и разъяснениями.</w:t>
      </w:r>
    </w:p>
    <w:p>
      <w:pPr>
        <w:pStyle w:val="Style27"/>
        <w:rPr/>
      </w:pPr>
      <w:bookmarkStart w:id="244" w:name="_Ref125368506"/>
      <w:r>
        <w:rPr/>
        <w:t>Сведения о заключенном Договоре в течение 3 (трех) рабочих дней со дня заключения такого Договора вносятся Заказчиком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 223-ФЗ).</w:t>
      </w:r>
      <w:bookmarkEnd w:id="244"/>
    </w:p>
    <w:p>
      <w:pPr>
        <w:pStyle w:val="Style27"/>
        <w:keepNext w:val="true"/>
        <w:rPr/>
      </w:pPr>
      <w:bookmarkStart w:id="245" w:name="_Ref125552524"/>
      <w:r>
        <w:rPr/>
        <w:t>Если Договор заключается в электронной форме:</w:t>
      </w:r>
    </w:p>
    <w:p>
      <w:pPr>
        <w:pStyle w:val="Style28"/>
        <w:rPr/>
      </w:pPr>
      <w:r>
        <w:rPr/>
        <w:t>то он заключается с использованием Системы ЭДО, в 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 особенностях заключения Договора в электронной форме, содержатся в подразделе </w:t>
      </w:r>
      <w:r>
        <w:rPr/>
        <w:fldChar w:fldCharType="begin"/>
      </w:r>
      <w:r>
        <w:rPr/>
        <w:instrText xml:space="preserve"> REF _Ref125359973 \r \h </w:instrText>
      </w:r>
      <w:r>
        <w:rPr/>
        <w:fldChar w:fldCharType="separate"/>
      </w:r>
      <w:r>
        <w:rPr/>
        <w:t>1.2</w:t>
      </w:r>
      <w:r>
        <w:rPr/>
        <w:fldChar w:fldCharType="end"/>
      </w:r>
      <w:bookmarkEnd w:id="245"/>
      <w:r>
        <w:rPr/>
        <w:t>;</w:t>
      </w:r>
    </w:p>
    <w:p>
      <w:pPr>
        <w:pStyle w:val="Style28"/>
        <w:rPr/>
      </w:pPr>
      <w:r>
        <w:rPr/>
        <w:t>Заказчик 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направляет в адрес Победителя подписанный со своей стороны Проект договора с использованием функционала Системы ЭДО.</w:t>
      </w:r>
    </w:p>
    <w:p>
      <w:pPr>
        <w:pStyle w:val="Style27"/>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6"/>
        <w:rPr/>
      </w:pPr>
      <w:bookmarkStart w:id="246" w:name="_Ref125552570"/>
      <w:bookmarkStart w:id="247" w:name="_Toc228976361"/>
      <w:r>
        <w:rPr/>
        <w:t>Преддоговорные переговоры</w:t>
      </w:r>
      <w:bookmarkEnd w:id="246"/>
      <w:bookmarkEnd w:id="247"/>
    </w:p>
    <w:p>
      <w:pPr>
        <w:pStyle w:val="Style27"/>
        <w:keepNext w:val="true"/>
        <w:rPr/>
      </w:pPr>
      <w:r>
        <w:rPr/>
        <w:t>Проведение преддоговорных переговоров между Заказчиком и Победителем допускается только в отношении следующих вопросов:</w:t>
      </w:r>
    </w:p>
    <w:p>
      <w:pPr>
        <w:pStyle w:val="Style28"/>
        <w:rPr/>
      </w:pPr>
      <w:r>
        <w:rPr/>
        <w:t>снижение цены Договора (при этом объем закупаемой продукции, а также технические характеристики продукции, определенные в Документации о закупке и заявке Победителя, остаются неизменными);</w:t>
      </w:r>
    </w:p>
    <w:p>
      <w:pPr>
        <w:pStyle w:val="Style28"/>
        <w:rPr/>
      </w:pPr>
      <w:r>
        <w:rPr/>
        <w:t>увеличение объема закупаемой продукции (при этом цена Договора и технические характеристики продукции, определенные в Документации о закупке и заявке Победителя, остаются неизменными);</w:t>
      </w:r>
    </w:p>
    <w:p>
      <w:pPr>
        <w:pStyle w:val="Style28"/>
        <w:rPr/>
      </w:pPr>
      <w:r>
        <w:rPr/>
        <w:t>уточнение сроков исполнения обязательств по Договору (если заключение Договора и исполнение обязательств по нему не могут быть проведены в установленные сроки в связи с обжалованием результатов закупки в адрес Заказчика или антимонопольного органа, в связи с 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уставом и (или) локальными нормативными актами Заказчика);</w:t>
      </w:r>
    </w:p>
    <w:p>
      <w:pPr>
        <w:pStyle w:val="Style28"/>
        <w:rPr/>
      </w:pPr>
      <w:r>
        <w:rP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pPr>
        <w:pStyle w:val="Style28"/>
        <w:rPr/>
      </w:pPr>
      <w:r>
        <w:rP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pPr>
        <w:pStyle w:val="Style27"/>
        <w:rPr/>
      </w:pPr>
      <w:r>
        <w:rPr/>
        <w:t>В любом случае не допускаются переговоры, направленные на изменение условий заключаемого Договора, которые ведут к ухудшению его условий для Заказчика.</w:t>
      </w:r>
    </w:p>
    <w:p>
      <w:pPr>
        <w:pStyle w:val="Style27"/>
        <w:rPr/>
      </w:pPr>
      <w:r>
        <w:rPr/>
        <w:t>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и (или) Организатор.</w:t>
      </w:r>
    </w:p>
    <w:p>
      <w:pPr>
        <w:pStyle w:val="Style27"/>
        <w:rPr/>
      </w:pPr>
      <w:r>
        <w:rPr/>
        <w:t>Результаты преддоговорных переговоров фиксируются в форме протокола</w:t>
      </w:r>
      <w:r>
        <w:rPr>
          <w:rStyle w:val="FootnoteReference"/>
        </w:rPr>
        <w:footnoteReference w:id="14"/>
      </w:r>
      <w:r>
        <w:rPr/>
        <w:t>, подписываемого Заказчиком и Победителем, который официально размещается в течение 3 (трех) календарных дней с момента их проведения, и должны быть учтены при заключении Договора.</w:t>
      </w:r>
    </w:p>
    <w:p>
      <w:pPr>
        <w:pStyle w:val="Style27"/>
        <w:rPr/>
      </w:pPr>
      <w:r>
        <w:rPr/>
        <w:t>Победитель вправе отказаться от участия в преддоговорных переговорах, при этом такой отказ не является отказом от заключения Договора. Если Заказчик и Победитель в ходе проведения преддоговорных переговоров не пришли к соглашению по вопросу положений, входящих в состав заключаемого Договора, или Победитель отказался от участия в преддоговорных переговорах, Договор заключается на условиях Документации о закупке и заявки такого Победителя (со всеми изменениями и дополнениями)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6"/>
        <w:rPr/>
      </w:pPr>
      <w:bookmarkStart w:id="248" w:name="_Ref125367068"/>
      <w:bookmarkStart w:id="249" w:name="_Toc228976362"/>
      <w:r>
        <w:rPr/>
        <w:t>Уклонение Победителя от заключения Договора</w:t>
      </w:r>
      <w:bookmarkEnd w:id="248"/>
      <w:bookmarkEnd w:id="249"/>
    </w:p>
    <w:p>
      <w:pPr>
        <w:pStyle w:val="Style27"/>
        <w:keepNext w:val="true"/>
        <w:rPr/>
      </w:pPr>
      <w:r>
        <w:rPr/>
        <w:t>Если Победитель закупки:</w:t>
      </w:r>
    </w:p>
    <w:p>
      <w:pPr>
        <w:pStyle w:val="Style28"/>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8"/>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8"/>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4"/>
          </w:rPr>
          <w:t>Приложение № 5</w:t>
        </w:r>
      </w:hyperlink>
      <w:r>
        <w:rPr/>
        <w:t>), с приложением подтверждающих документов;</w:t>
      </w:r>
    </w:p>
    <w:p>
      <w:pPr>
        <w:pStyle w:val="Style28"/>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4"/>
          </w:rPr>
          <w:t>Приложением № 5</w:t>
        </w:r>
      </w:hyperlink>
      <w:r>
        <w:rPr/>
        <w:t>;</w:t>
      </w:r>
    </w:p>
    <w:p>
      <w:pPr>
        <w:pStyle w:val="Style28"/>
        <w:rPr/>
      </w:pPr>
      <w:r>
        <w:rPr/>
        <w:t>не предоставит в установленный Заказчиком срок документы, указанные в пункте </w:t>
      </w:r>
      <w:r>
        <w:rPr/>
        <w:fldChar w:fldCharType="begin"/>
      </w:r>
      <w:r>
        <w:rPr/>
        <w:instrText xml:space="preserve"> REF _Ref125551776 \r \h </w:instrText>
      </w:r>
      <w:r>
        <w:rPr/>
        <w:fldChar w:fldCharType="separate"/>
      </w:r>
      <w:r>
        <w:rPr/>
        <w:t>5.2.5</w:t>
      </w:r>
      <w:r>
        <w:rPr/>
        <w:fldChar w:fldCharType="end"/>
      </w:r>
      <w:r>
        <w:rPr/>
        <w:t>, или предоставит их с нарушением требований, установленных в Документации о закупке;</w:t>
      </w:r>
    </w:p>
    <w:p>
      <w:pPr>
        <w:pStyle w:val="Style28"/>
        <w:rPr/>
      </w:pPr>
      <w:r>
        <w:rPr/>
        <w:t>не предоставит в установленный Заказчиком срок документы, указанные в пункте </w:t>
      </w:r>
      <w:r>
        <w:rPr/>
        <w:fldChar w:fldCharType="begin"/>
      </w:r>
      <w:r>
        <w:rPr/>
        <w:instrText xml:space="preserve"> REF _Ref125551072 \w \h </w:instrText>
      </w:r>
      <w:r>
        <w:rPr/>
        <w:fldChar w:fldCharType="separate"/>
      </w:r>
      <w:r>
        <w:rPr/>
        <w:t>5.2.6</w:t>
      </w:r>
      <w:r>
        <w:rPr/>
        <w:fldChar w:fldCharType="end"/>
      </w:r>
      <w:r>
        <w:rPr/>
        <w:t>, или предоставит их с нарушением требований, установленных в Документации о закупке;</w:t>
      </w:r>
    </w:p>
    <w:p>
      <w:pPr>
        <w:pStyle w:val="Style28"/>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4"/>
          </w:rPr>
          <w:t>Приложения № 1 – Технические требования</w:t>
        </w:r>
      </w:hyperlink>
      <w:r>
        <w:rPr/>
        <w:t xml:space="preserve"> (в случае установления таковых);</w:t>
      </w:r>
    </w:p>
    <w:p>
      <w:pPr>
        <w:pStyle w:val="Style28"/>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8"/>
        <w:rPr/>
      </w:pPr>
      <w:r>
        <w:rPr/>
        <w:t>не выполнит другие условия, прямо предусмотренные Документацией о закупке,</w:t>
      </w:r>
    </w:p>
    <w:p>
      <w:pPr>
        <w:pStyle w:val="Style31"/>
        <w:ind w:hanging="0" w:left="1134"/>
        <w:rPr/>
      </w:pPr>
      <w:r>
        <w:rPr/>
        <w:t>то он (по истечению установленных в подразделе </w:t>
      </w:r>
      <w:r>
        <w:rPr/>
        <w:fldChar w:fldCharType="begin"/>
      </w:r>
      <w:r>
        <w:rPr/>
        <w:instrText xml:space="preserve"> REF _Ref138232981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5"/>
        <w:rPr/>
      </w:pPr>
      <w:bookmarkStart w:id="250" w:name="_Ref125363016"/>
      <w:bookmarkStart w:id="251" w:name="_Ref125363023"/>
      <w:bookmarkStart w:id="252" w:name="_Ref125363034"/>
      <w:bookmarkStart w:id="253" w:name="_Ref125363600"/>
      <w:bookmarkStart w:id="254" w:name="_Ref125363752"/>
      <w:bookmarkStart w:id="255" w:name="_Ref125364088"/>
      <w:bookmarkStart w:id="256" w:name="_Ref125364201"/>
      <w:bookmarkStart w:id="257" w:name="_Ref125370732"/>
      <w:bookmarkStart w:id="258" w:name="_Ref125370741"/>
      <w:bookmarkStart w:id="259" w:name="_Ref125370746"/>
      <w:bookmarkStart w:id="260" w:name="_Ref125370750"/>
      <w:bookmarkStart w:id="261" w:name="_Ref125370843"/>
      <w:bookmarkStart w:id="262" w:name="Прил01_ТехТребования"/>
      <w:bookmarkStart w:id="263" w:name="_Toc228976363"/>
      <w:r>
        <w:rPr/>
        <w:t>Приложение № 1 – Технические требования</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Style26"/>
        <w:rPr/>
      </w:pPr>
      <w:bookmarkStart w:id="264" w:name="_Toc228976364"/>
      <w:r>
        <w:rPr/>
        <w:t>Пояснения к Техническим требованиям</w:t>
      </w:r>
      <w:bookmarkEnd w:id="264"/>
    </w:p>
    <w:p>
      <w:pPr>
        <w:pStyle w:val="Style27"/>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5"/>
        <w:rPr/>
      </w:pPr>
      <w:bookmarkStart w:id="265" w:name="_Ref125361746"/>
      <w:bookmarkStart w:id="266" w:name="_Ref125363040"/>
      <w:bookmarkStart w:id="267" w:name="_Ref125363605"/>
      <w:bookmarkStart w:id="268" w:name="_Ref125363759"/>
      <w:bookmarkStart w:id="269" w:name="_Ref125364081"/>
      <w:bookmarkStart w:id="270" w:name="_Ref125364206"/>
      <w:bookmarkStart w:id="271" w:name="_Ref125370754"/>
      <w:bookmarkStart w:id="272" w:name="Прил02_ПроектДоговора"/>
      <w:bookmarkStart w:id="273" w:name="_Toc228976365"/>
      <w:r>
        <w:rPr/>
        <w:t>Приложение № 2 – Проект договора</w:t>
      </w:r>
      <w:bookmarkEnd w:id="265"/>
      <w:bookmarkEnd w:id="266"/>
      <w:bookmarkEnd w:id="267"/>
      <w:bookmarkEnd w:id="268"/>
      <w:bookmarkEnd w:id="269"/>
      <w:bookmarkEnd w:id="270"/>
      <w:bookmarkEnd w:id="271"/>
      <w:bookmarkEnd w:id="272"/>
      <w:bookmarkEnd w:id="273"/>
    </w:p>
    <w:p>
      <w:pPr>
        <w:pStyle w:val="Style26"/>
        <w:rPr/>
      </w:pPr>
      <w:bookmarkStart w:id="274" w:name="_Toc228976366"/>
      <w:r>
        <w:rPr/>
        <w:t>Пояснения к Проекту договора</w:t>
      </w:r>
      <w:bookmarkEnd w:id="274"/>
    </w:p>
    <w:p>
      <w:pPr>
        <w:pStyle w:val="Style27"/>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7"/>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_Ref125359973 \r \h </w:instrText>
      </w:r>
      <w:r>
        <w:rPr/>
        <w:fldChar w:fldCharType="separate"/>
      </w:r>
      <w:r>
        <w:rPr/>
        <w:t>1.2</w:t>
      </w:r>
      <w:r>
        <w:rPr/>
        <w:fldChar w:fldCharType="end"/>
      </w:r>
      <w:r>
        <w:rPr/>
        <w:t xml:space="preserve"> </w:t>
      </w:r>
      <w:bookmarkStart w:id="275" w:name="_Hlk132883778"/>
      <w:r>
        <w:rPr/>
        <w:t>как «Некритичные пункты Проекта договора»</w:t>
      </w:r>
      <w:bookmarkEnd w:id="275"/>
      <w:r>
        <w:rPr/>
        <w:t>.</w:t>
      </w:r>
    </w:p>
    <w:p>
      <w:pPr>
        <w:pStyle w:val="Style27"/>
        <w:rPr/>
      </w:pPr>
      <w:r>
        <w:rPr/>
        <w:t>В случае проведения преддоговорных переговоров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7"/>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76" w:name="_MON_1736255517"/>
      <w:bookmarkEnd w:id="276"/>
    </w:p>
    <w:p>
      <w:pPr>
        <w:sectPr>
          <w:headerReference w:type="default" r:id="rId15"/>
          <w:headerReference w:type="first" r:id="rId16"/>
          <w:footerReference w:type="default" r:id="rId17"/>
          <w:footerReference w:type="first" r:id="rId1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1"/>
        <w:jc w:val="center"/>
        <w:rPr/>
      </w:pPr>
      <w:r>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9.5pt;height:48.75pt;mso-wrap-distance-right:0pt" filled="f" o:ole="">
            <v:imagedata r:id="rId14" o:title=""/>
          </v:shape>
          <o:OLEObject Type="Embed" ProgID="Word.Document.12" ShapeID="ole_rId13" DrawAspect="Icon" ObjectID="_1847016745" r:id="rId13"/>
        </w:object>
      </w:r>
    </w:p>
    <w:p>
      <w:pPr>
        <w:pStyle w:val="Style25"/>
        <w:rPr/>
      </w:pPr>
      <w:bookmarkStart w:id="277" w:name="_Ref125361494"/>
      <w:bookmarkStart w:id="278" w:name="_Ref125361908"/>
      <w:bookmarkStart w:id="279" w:name="_Ref125365476"/>
      <w:bookmarkStart w:id="280" w:name="_Ref125370013"/>
      <w:bookmarkStart w:id="281" w:name="Прил03_ТребованияУчастникам"/>
      <w:bookmarkStart w:id="282" w:name="_Toc228976367"/>
      <w:r>
        <w:rPr/>
        <w:t>Приложение № 3 – Требования к Участникам</w:t>
      </w:r>
      <w:bookmarkEnd w:id="277"/>
      <w:bookmarkEnd w:id="278"/>
      <w:bookmarkEnd w:id="279"/>
      <w:bookmarkEnd w:id="280"/>
      <w:bookmarkEnd w:id="281"/>
      <w:bookmarkEnd w:id="282"/>
    </w:p>
    <w:p>
      <w:pPr>
        <w:pStyle w:val="Style26"/>
        <w:rPr/>
      </w:pPr>
      <w:bookmarkStart w:id="283" w:name="_Toc228976368"/>
      <w:r>
        <w:rPr/>
        <w:t>Пояснения к требованиям к Участникам</w:t>
      </w:r>
      <w:bookmarkEnd w:id="283"/>
    </w:p>
    <w:p>
      <w:pPr>
        <w:pStyle w:val="Style27"/>
        <w:rPr/>
      </w:pPr>
      <w:bookmarkStart w:id="284" w:name="_Hlk125628168"/>
      <w:r>
        <w:rPr/>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84"/>
    </w:p>
    <w:p>
      <w:pPr>
        <w:pStyle w:val="Style26"/>
        <w:spacing w:before="360" w:after="120"/>
        <w:rPr/>
      </w:pPr>
      <w:bookmarkStart w:id="285" w:name="_Ref125361435"/>
      <w:bookmarkStart w:id="286" w:name="_Ref125361590"/>
      <w:bookmarkStart w:id="287" w:name="_Ref125361617"/>
      <w:bookmarkStart w:id="288" w:name="_Ref125361832"/>
      <w:bookmarkStart w:id="289" w:name="_Ref125361846"/>
      <w:bookmarkStart w:id="290" w:name="_Ref125361926"/>
      <w:bookmarkStart w:id="291" w:name="_Ref125366879"/>
      <w:bookmarkStart w:id="292" w:name="_Ref125368812"/>
      <w:bookmarkStart w:id="293" w:name="_Ref125368895"/>
      <w:bookmarkStart w:id="294" w:name="_Ref125369088"/>
      <w:bookmarkStart w:id="295" w:name="_Ref125370058"/>
      <w:bookmarkStart w:id="296" w:name="_Ref125370064"/>
      <w:bookmarkStart w:id="297" w:name="_Ref125370071"/>
      <w:bookmarkStart w:id="298" w:name="_Toc228976369"/>
      <w:r>
        <w:rPr/>
        <w:t>Обязательные требования</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tbl>
      <w:tblPr>
        <w:tblStyle w:val="af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Требования к Участнику</w:t>
            </w:r>
          </w:p>
        </w:tc>
        <w:tc>
          <w:tcPr>
            <w:tcW w:w="8327"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1"/>
              <w:widowControl w:val="false"/>
              <w:numPr>
                <w:ilvl w:val="0"/>
                <w:numId w:val="2"/>
              </w:numPr>
              <w:suppressAutoHyphens w:val="true"/>
              <w:spacing w:before="60" w:after="60"/>
              <w:ind w:hanging="0" w:left="284"/>
              <w:jc w:val="center"/>
              <w:rPr>
                <w:rFonts w:eastAsia="Calibri"/>
              </w:rPr>
            </w:pPr>
            <w:r>
              <w:rPr>
                <w:rFonts w:eastAsia="Calibri"/>
              </w:rPr>
            </w:r>
            <w:bookmarkStart w:id="299" w:name="_Ref125552433"/>
            <w:bookmarkStart w:id="300" w:name="_Ref125552433"/>
            <w:bookmarkEnd w:id="300"/>
          </w:p>
        </w:tc>
        <w:tc>
          <w:tcPr>
            <w:tcW w:w="567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1"/>
              <w:widowControl w:val="false"/>
              <w:numPr>
                <w:ilvl w:val="0"/>
                <w:numId w:val="8"/>
              </w:numPr>
              <w:suppressAutoHyphens w:val="true"/>
              <w:spacing w:before="60" w:after="60"/>
              <w:ind w:hanging="284" w:left="284"/>
              <w:rPr>
                <w:rFonts w:eastAsia="Calibri"/>
              </w:rPr>
            </w:pPr>
            <w:r>
              <w:rPr>
                <w:rFonts w:eastAsia="Calibri" w:cs=""/>
                <w:kern w:val="0"/>
                <w:sz w:val="26"/>
                <w:szCs w:val="22"/>
                <w:lang w:val="ru-RU" w:eastAsia="en-US" w:bidi="ar-SA"/>
              </w:rPr>
              <w:t>В отношении гражданской правоспособности:</w:t>
            </w:r>
          </w:p>
          <w:p>
            <w:pPr>
              <w:pStyle w:val="Style31"/>
              <w:widowControl w:val="false"/>
              <w:numPr>
                <w:ilvl w:val="0"/>
                <w:numId w:val="14"/>
              </w:numPr>
              <w:suppressAutoHyphens w:val="true"/>
              <w:spacing w:before="60" w:after="60"/>
              <w:ind w:hanging="284" w:left="568"/>
              <w:rPr>
                <w:rFonts w:eastAsia="Calibri"/>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cs=""/>
                <w:kern w:val="0"/>
                <w:sz w:val="26"/>
                <w:szCs w:val="22"/>
                <w:lang w:val="en-US" w:eastAsia="en-US" w:bidi="ar-SA"/>
              </w:rPr>
              <w:t>pdf</w:t>
            </w:r>
            <w:r>
              <w:rPr>
                <w:rFonts w:eastAsia="Calibri" w:cs=""/>
                <w:kern w:val="0"/>
                <w:sz w:val="26"/>
                <w:szCs w:val="22"/>
                <w:lang w:val="ru-RU" w:eastAsia="en-US" w:bidi="ar-SA"/>
              </w:rPr>
              <w:t>)) оригинала соответствующей доверенности либо ее нотариально заверенной копии (с указанием правомочий на подписание заявки);</w:t>
            </w:r>
          </w:p>
          <w:p>
            <w:pPr>
              <w:pStyle w:val="Style31"/>
              <w:widowControl w:val="false"/>
              <w:numPr>
                <w:ilvl w:val="0"/>
                <w:numId w:val="8"/>
              </w:numPr>
              <w:suppressAutoHyphens w:val="true"/>
              <w:spacing w:before="60" w:after="60"/>
              <w:ind w:hanging="284" w:left="284"/>
              <w:rPr>
                <w:rFonts w:eastAsia="Calibri"/>
              </w:rPr>
            </w:pPr>
            <w:r>
              <w:rPr>
                <w:rFonts w:eastAsia="Calibri" w:cs=""/>
                <w:kern w:val="0"/>
                <w:sz w:val="26"/>
                <w:szCs w:val="22"/>
                <w:lang w:val="ru-RU" w:eastAsia="en-US" w:bidi="ar-SA"/>
              </w:rPr>
              <w:t>В отношении аккредитации:</w:t>
            </w:r>
          </w:p>
          <w:p>
            <w:pPr>
              <w:pStyle w:val="Style31"/>
              <w:widowControl w:val="false"/>
              <w:numPr>
                <w:ilvl w:val="0"/>
                <w:numId w:val="14"/>
              </w:numPr>
              <w:suppressAutoHyphens w:val="true"/>
              <w:spacing w:before="60" w:after="60"/>
              <w:ind w:hanging="284" w:left="568"/>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1"/>
              <w:widowControl w:val="false"/>
              <w:numPr>
                <w:ilvl w:val="0"/>
                <w:numId w:val="14"/>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предоставление Заявки на аккредитацию не требуется;</w:t>
            </w:r>
          </w:p>
          <w:p>
            <w:pPr>
              <w:pStyle w:val="Style31"/>
              <w:widowControl w:val="false"/>
              <w:numPr>
                <w:ilvl w:val="0"/>
                <w:numId w:val="14"/>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–Заявка на аккредитацию по установленной в Документации о закупке форме (</w:t>
            </w:r>
            <w:hyperlink w:anchor="Прил10_ЗаявкаНаАккредитацию">
              <w:r>
                <w:rPr>
                  <w:rStyle w:val="Style14"/>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1"/>
              <w:widowControl w:val="false"/>
              <w:suppressAutoHyphens w:val="true"/>
              <w:spacing w:before="60" w:after="60"/>
              <w:ind w:hanging="0" w:left="284"/>
              <w:rPr>
                <w:rFonts w:eastAsia="Calibri"/>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1"/>
              <w:widowControl w:val="false"/>
              <w:suppressAutoHyphens w:val="true"/>
              <w:spacing w:before="60" w:after="60"/>
              <w:ind w:hanging="0" w:left="284"/>
              <w:rPr>
                <w:rFonts w:eastAsia="Calibri"/>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1"/>
              <w:widowControl w:val="false"/>
              <w:suppressAutoHyphens w:val="true"/>
              <w:spacing w:before="60" w:after="60"/>
              <w:ind w:hanging="0" w:left="284"/>
              <w:rPr>
                <w:rFonts w:eastAsia="Calibri"/>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1"/>
              <w:widowControl w:val="false"/>
              <w:suppressAutoHyphens w:val="true"/>
              <w:spacing w:before="60" w:after="60"/>
              <w:ind w:hanging="0" w:left="284"/>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1"/>
              <w:widowControl w:val="false"/>
              <w:suppressAutoHyphens w:val="true"/>
              <w:spacing w:before="60" w:after="60"/>
              <w:ind w:hanging="0" w:left="284"/>
              <w:rPr>
                <w:rFonts w:eastAsia="Calibri"/>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1"/>
              <w:widowControl w:val="false"/>
              <w:numPr>
                <w:ilvl w:val="0"/>
                <w:numId w:val="2"/>
              </w:numPr>
              <w:suppressAutoHyphens w:val="true"/>
              <w:spacing w:before="60" w:after="60"/>
              <w:ind w:hanging="0" w:left="284"/>
              <w:jc w:val="center"/>
              <w:rPr>
                <w:rFonts w:eastAsia="Calibri"/>
              </w:rPr>
            </w:pPr>
            <w:r>
              <w:rPr>
                <w:rFonts w:eastAsia="Calibri"/>
              </w:rPr>
            </w:r>
            <w:bookmarkStart w:id="301" w:name="_Ref139028406"/>
            <w:bookmarkStart w:id="302" w:name="_Ref139028406"/>
            <w:bookmarkEnd w:id="302"/>
          </w:p>
        </w:tc>
        <w:tc>
          <w:tcPr>
            <w:tcW w:w="567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5"/>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6"/>
            </w:r>
            <w:r>
              <w:rPr>
                <w:rFonts w:eastAsia="Calibri" w:cs=""/>
                <w:kern w:val="0"/>
                <w:sz w:val="26"/>
                <w:szCs w:val="22"/>
                <w:lang w:val="ru-RU" w:eastAsia="en-US" w:bidi="ar-SA"/>
              </w:rPr>
              <w:t>:</w:t>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1"/>
              <w:widowControl w:val="false"/>
              <w:numPr>
                <w:ilvl w:val="0"/>
                <w:numId w:val="2"/>
              </w:numPr>
              <w:suppressAutoHyphens w:val="true"/>
              <w:spacing w:before="60" w:after="60"/>
              <w:ind w:hanging="0" w:left="284"/>
              <w:jc w:val="center"/>
              <w:rPr>
                <w:rFonts w:eastAsia="Calibri"/>
              </w:rPr>
            </w:pPr>
            <w:r>
              <w:rPr>
                <w:rFonts w:eastAsia="Calibri"/>
              </w:rPr>
            </w:r>
            <w:bookmarkStart w:id="303" w:name="_Ref186217850"/>
            <w:bookmarkStart w:id="304" w:name="_Ref186217850"/>
            <w:bookmarkEnd w:id="304"/>
          </w:p>
        </w:tc>
        <w:tc>
          <w:tcPr>
            <w:tcW w:w="567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1"/>
              <w:widowControl w:val="false"/>
              <w:numPr>
                <w:ilvl w:val="0"/>
                <w:numId w:val="2"/>
              </w:numPr>
              <w:suppressAutoHyphens w:val="true"/>
              <w:spacing w:before="60" w:after="60"/>
              <w:ind w:hanging="0" w:left="284"/>
              <w:jc w:val="center"/>
              <w:rPr>
                <w:rFonts w:eastAsia="Calibri"/>
              </w:rPr>
            </w:pPr>
            <w:r>
              <w:rPr>
                <w:rFonts w:eastAsia="Calibri"/>
              </w:rPr>
            </w:r>
            <w:bookmarkStart w:id="305" w:name="_Ref186217855"/>
            <w:bookmarkStart w:id="306" w:name="_Ref186217855"/>
            <w:bookmarkEnd w:id="306"/>
          </w:p>
        </w:tc>
        <w:tc>
          <w:tcPr>
            <w:tcW w:w="567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6"/>
        <w:spacing w:before="360" w:after="120"/>
        <w:rPr/>
      </w:pPr>
      <w:bookmarkStart w:id="307" w:name="_Ref125361442"/>
      <w:bookmarkStart w:id="308" w:name="_Ref125361633"/>
      <w:bookmarkStart w:id="309" w:name="_Ref125361671"/>
      <w:bookmarkStart w:id="310" w:name="_Ref125361869"/>
      <w:bookmarkStart w:id="311" w:name="_Ref125361937"/>
      <w:bookmarkStart w:id="312" w:name="_Ref125365459"/>
      <w:bookmarkStart w:id="313" w:name="_Ref125367521"/>
      <w:bookmarkStart w:id="314" w:name="_Ref125367539"/>
      <w:bookmarkStart w:id="315" w:name="_Ref125368818"/>
      <w:bookmarkStart w:id="316" w:name="_Ref125368901"/>
      <w:bookmarkStart w:id="317" w:name="_Ref125368916"/>
      <w:bookmarkStart w:id="318" w:name="_Ref125369099"/>
      <w:bookmarkStart w:id="319" w:name="_Ref125370079"/>
      <w:bookmarkStart w:id="320" w:name="_Ref125709153"/>
      <w:bookmarkStart w:id="321" w:name="_Ref125709250"/>
      <w:bookmarkStart w:id="322" w:name="_Ref125709401"/>
      <w:bookmarkStart w:id="323" w:name="_Ref125709888"/>
      <w:bookmarkStart w:id="324" w:name="_Toc228976370"/>
      <w:r>
        <w:rPr/>
        <w:t>Специальные требования</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tbl>
      <w:tblPr>
        <w:tblStyle w:val="af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Требования к Участнику</w:t>
            </w:r>
          </w:p>
        </w:tc>
        <w:tc>
          <w:tcPr>
            <w:tcW w:w="8327"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1"/>
              <w:widowControl w:val="false"/>
              <w:numPr>
                <w:ilvl w:val="0"/>
                <w:numId w:val="3"/>
              </w:numPr>
              <w:suppressAutoHyphens w:val="true"/>
              <w:spacing w:before="60" w:after="60"/>
              <w:ind w:hanging="0" w:left="284"/>
              <w:jc w:val="center"/>
              <w:rPr>
                <w:rFonts w:eastAsia="Calibri"/>
              </w:rPr>
            </w:pPr>
            <w:r>
              <w:rPr>
                <w:rFonts w:eastAsia="Calibri"/>
              </w:rPr>
            </w:r>
          </w:p>
        </w:tc>
        <w:tc>
          <w:tcPr>
            <w:tcW w:w="567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Специальные требования не установлены.</w:t>
            </w:r>
          </w:p>
        </w:tc>
        <w:tc>
          <w:tcPr>
            <w:tcW w:w="8327"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Специальные требования не установлены.</w:t>
            </w:r>
          </w:p>
        </w:tc>
      </w:tr>
    </w:tbl>
    <w:p>
      <w:pPr>
        <w:pStyle w:val="Style26"/>
        <w:spacing w:before="360" w:after="120"/>
        <w:rPr/>
      </w:pPr>
      <w:bookmarkStart w:id="325" w:name="_Ref125550270"/>
      <w:bookmarkStart w:id="326" w:name="_Ref125550353"/>
      <w:bookmarkStart w:id="327" w:name="_Ref125553242"/>
      <w:bookmarkStart w:id="328" w:name="_Ref125553296"/>
      <w:bookmarkStart w:id="329" w:name="_Ref125553475"/>
      <w:bookmarkStart w:id="330" w:name="_Ref125553681"/>
      <w:bookmarkStart w:id="331" w:name="_Ref125709154"/>
      <w:bookmarkStart w:id="332" w:name="_Ref125709256"/>
      <w:bookmarkStart w:id="333" w:name="_Ref125709541"/>
      <w:bookmarkStart w:id="334" w:name="_Ref125709895"/>
      <w:bookmarkStart w:id="335" w:name="_Toc228976371"/>
      <w:r>
        <w:rPr/>
        <w:t>Квалификационные требования</w:t>
      </w:r>
      <w:bookmarkEnd w:id="325"/>
      <w:bookmarkEnd w:id="326"/>
      <w:bookmarkEnd w:id="327"/>
      <w:bookmarkEnd w:id="328"/>
      <w:bookmarkEnd w:id="329"/>
      <w:bookmarkEnd w:id="330"/>
      <w:bookmarkEnd w:id="331"/>
      <w:bookmarkEnd w:id="332"/>
      <w:bookmarkEnd w:id="333"/>
      <w:bookmarkEnd w:id="334"/>
      <w:bookmarkEnd w:id="335"/>
    </w:p>
    <w:tbl>
      <w:tblPr>
        <w:tblStyle w:val="af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Требования к Участнику</w:t>
            </w:r>
          </w:p>
        </w:tc>
        <w:tc>
          <w:tcPr>
            <w:tcW w:w="8327"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1"/>
              <w:widowControl w:val="false"/>
              <w:numPr>
                <w:ilvl w:val="0"/>
                <w:numId w:val="10"/>
              </w:numPr>
              <w:suppressAutoHyphens w:val="true"/>
              <w:spacing w:before="60" w:after="60"/>
              <w:ind w:hanging="0" w:left="284"/>
              <w:jc w:val="center"/>
              <w:rPr>
                <w:rFonts w:eastAsia="Calibri"/>
              </w:rPr>
            </w:pPr>
            <w:r>
              <w:rPr>
                <w:rFonts w:eastAsia="Calibri"/>
              </w:rPr>
            </w:r>
          </w:p>
        </w:tc>
        <w:tc>
          <w:tcPr>
            <w:tcW w:w="5671" w:type="dxa"/>
            <w:tcBorders/>
          </w:tcPr>
          <w:p>
            <w:pPr>
              <w:pStyle w:val="Normal"/>
              <w:widowControl w:val="false"/>
              <w:spacing w:before="120" w:after="0"/>
              <w:jc w:val="both"/>
              <w:rPr/>
            </w:pPr>
            <w:r>
              <w:rPr>
                <w:rFonts w:eastAsia="Calibri"/>
                <w:i w:val="false"/>
                <w:iCs w:val="false"/>
                <w:color w:val="000000"/>
                <w:sz w:val="26"/>
                <w:szCs w:val="26"/>
                <w:shd w:fill="FFFFFF" w:val="clear"/>
              </w:rPr>
              <w:t>Участник должен иметь опыт технического обслуживания предохранительных клапанов сосудов, работающих под давлением. При этом Участником должны быть исполнены обязательства (оказаны подобные услуги) в общем/совокупном объеме не менее 30 % от начальной (максимальной) цены договора за последние 5 лет.</w:t>
            </w:r>
          </w:p>
          <w:p>
            <w:pPr>
              <w:pStyle w:val="Style31"/>
              <w:widowControl w:val="false"/>
              <w:suppressAutoHyphens w:val="true"/>
              <w:spacing w:before="60" w:after="60"/>
              <w:rPr>
                <w:rFonts w:ascii="Times New Roman" w:hAnsi="Times New Roman" w:eastAsia="Calibri" w:cs=""/>
                <w:i w:val="false"/>
                <w:i w:val="false"/>
                <w:iCs w:val="false"/>
                <w:kern w:val="0"/>
                <w:sz w:val="26"/>
                <w:szCs w:val="26"/>
                <w:lang w:eastAsia="en-US" w:bidi="ar-SA"/>
              </w:rPr>
            </w:pPr>
            <w:r>
              <w:rPr>
                <w:rFonts w:eastAsia="Calibri" w:cs=""/>
                <w:i w:val="false"/>
                <w:iCs w:val="false"/>
                <w:kern w:val="0"/>
                <w:sz w:val="26"/>
                <w:szCs w:val="26"/>
                <w:lang w:eastAsia="en-US" w:bidi="ar-SA"/>
              </w:rPr>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Справка об опыте Участника (форма 6)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 указанием подтверждающей соответствия Участника установленным требованиям информацией.</w:t>
            </w:r>
          </w:p>
        </w:tc>
      </w:tr>
    </w:tbl>
    <w:p>
      <w:pPr>
        <w:pStyle w:val="Style26"/>
        <w:spacing w:before="360" w:after="120"/>
        <w:rPr/>
      </w:pPr>
      <w:bookmarkStart w:id="336" w:name="_Ref125552455"/>
      <w:bookmarkStart w:id="337" w:name="_Ref125553500"/>
      <w:bookmarkStart w:id="338" w:name="_Ref125553692"/>
      <w:bookmarkStart w:id="339" w:name="_Ref125553703"/>
      <w:bookmarkStart w:id="340" w:name="_Ref125709228"/>
      <w:bookmarkStart w:id="341" w:name="_Toc228976372"/>
      <w:r>
        <w:rPr/>
        <w:t>Дополнительные требования к Коллективным участникам</w:t>
      </w:r>
      <w:bookmarkEnd w:id="336"/>
      <w:bookmarkEnd w:id="337"/>
      <w:bookmarkEnd w:id="338"/>
      <w:bookmarkEnd w:id="339"/>
      <w:bookmarkEnd w:id="340"/>
      <w:bookmarkEnd w:id="341"/>
    </w:p>
    <w:tbl>
      <w:tblPr>
        <w:tblStyle w:val="af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Требования к Коллективному участнику</w:t>
            </w:r>
          </w:p>
        </w:tc>
        <w:tc>
          <w:tcPr>
            <w:tcW w:w="8327"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Требования к документам, подтверждающим соответствие</w:t>
              <w:br/>
              <w:t>Коллективного участника установленным требованиям</w:t>
            </w:r>
          </w:p>
        </w:tc>
      </w:tr>
      <w:tr>
        <w:trPr/>
        <w:tc>
          <w:tcPr>
            <w:tcW w:w="1128" w:type="dxa"/>
            <w:tcBorders/>
          </w:tcPr>
          <w:p>
            <w:pPr>
              <w:pStyle w:val="Style31"/>
              <w:widowControl w:val="false"/>
              <w:numPr>
                <w:ilvl w:val="0"/>
                <w:numId w:val="4"/>
              </w:numPr>
              <w:suppressAutoHyphens w:val="true"/>
              <w:spacing w:before="60" w:after="60"/>
              <w:ind w:hanging="0" w:left="284"/>
              <w:jc w:val="center"/>
              <w:rPr>
                <w:rFonts w:eastAsia="Calibri"/>
              </w:rPr>
            </w:pPr>
            <w:r>
              <w:rPr>
                <w:rFonts w:eastAsia="Calibri"/>
              </w:rPr>
            </w:r>
            <w:bookmarkStart w:id="342" w:name="_Ref125370156"/>
            <w:bookmarkStart w:id="343" w:name="_Ref125370156"/>
            <w:bookmarkEnd w:id="343"/>
          </w:p>
        </w:tc>
        <w:tc>
          <w:tcPr>
            <w:tcW w:w="567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Члены Коллективного участника должны иметь между собой соглашение (или иной документ), соответствующее нормам ГК РФ:</w:t>
            </w:r>
          </w:p>
        </w:tc>
        <w:tc>
          <w:tcPr>
            <w:tcW w:w="8327"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_Ref125366972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3.2.3</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8" w:type="dxa"/>
            <w:tcBorders/>
          </w:tcPr>
          <w:p>
            <w:pPr>
              <w:pStyle w:val="Style31"/>
              <w:widowControl w:val="false"/>
              <w:numPr>
                <w:ilvl w:val="0"/>
                <w:numId w:val="4"/>
              </w:numPr>
              <w:suppressAutoHyphens w:val="true"/>
              <w:spacing w:before="60" w:after="60"/>
              <w:ind w:hanging="0" w:left="284"/>
              <w:jc w:val="center"/>
              <w:rPr>
                <w:rFonts w:eastAsia="Calibri"/>
              </w:rPr>
            </w:pPr>
            <w:r>
              <w:rPr>
                <w:rFonts w:eastAsia="Calibri"/>
              </w:rPr>
            </w:r>
            <w:bookmarkStart w:id="344" w:name="_Ref125553738"/>
            <w:bookmarkStart w:id="345" w:name="_Ref125553738"/>
            <w:bookmarkEnd w:id="345"/>
          </w:p>
        </w:tc>
        <w:tc>
          <w:tcPr>
            <w:tcW w:w="567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Заявка Коллективного участника дополнительно должна включать сведения о распределении объемов поставки продукции между членами Коллективного участника:</w:t>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План распределения объемов поставки продукции (форма 10)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 указанием необходимой информации;</w:t>
            </w:r>
          </w:p>
        </w:tc>
      </w:tr>
      <w:tr>
        <w:trPr/>
        <w:tc>
          <w:tcPr>
            <w:tcW w:w="1128" w:type="dxa"/>
            <w:tcBorders/>
          </w:tcPr>
          <w:p>
            <w:pPr>
              <w:pStyle w:val="Style31"/>
              <w:widowControl w:val="false"/>
              <w:numPr>
                <w:ilvl w:val="0"/>
                <w:numId w:val="4"/>
              </w:numPr>
              <w:suppressAutoHyphens w:val="true"/>
              <w:spacing w:before="60" w:after="60"/>
              <w:ind w:hanging="0" w:left="284"/>
              <w:jc w:val="center"/>
              <w:rPr>
                <w:rFonts w:eastAsia="Calibri"/>
              </w:rPr>
            </w:pPr>
            <w:r>
              <w:rPr>
                <w:rFonts w:eastAsia="Calibri"/>
              </w:rPr>
            </w:r>
            <w:bookmarkStart w:id="346" w:name="_Ref125370162"/>
            <w:bookmarkStart w:id="347" w:name="_Ref125370162"/>
            <w:bookmarkEnd w:id="347"/>
          </w:p>
        </w:tc>
        <w:tc>
          <w:tcPr>
            <w:tcW w:w="5671" w:type="dxa"/>
            <w:tcBorders/>
          </w:tcPr>
          <w:p>
            <w:pPr>
              <w:pStyle w:val="Style31"/>
              <w:widowControl w:val="false"/>
              <w:suppressAutoHyphens w:val="true"/>
              <w:spacing w:before="60" w:after="60"/>
              <w:rPr/>
            </w:pPr>
            <w:r>
              <w:rPr>
                <w:rFonts w:eastAsia="Calibri" w:cs=""/>
                <w:kern w:val="0"/>
                <w:sz w:val="26"/>
                <w:szCs w:val="22"/>
                <w:lang w:val="ru-RU" w:eastAsia="en-US" w:bidi="ar-SA"/>
              </w:rPr>
              <w:t>Соответствие каждого члена Коллективного участника установленным требованиям (с учетом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_Ref125368791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_Ref134705077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3.2.7</w:t>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внутри (форма 10)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_Ref125553242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члена Коллективного участника, подтверждающие его соответствие данным требованиям.</w:t>
            </w:r>
          </w:p>
        </w:tc>
      </w:tr>
    </w:tbl>
    <w:p>
      <w:pPr>
        <w:pStyle w:val="Style26"/>
        <w:spacing w:before="360" w:after="120"/>
        <w:rPr/>
      </w:pPr>
      <w:bookmarkStart w:id="348" w:name="_Ref125361823"/>
      <w:bookmarkStart w:id="349" w:name="_Ref125362031"/>
      <w:bookmarkStart w:id="350" w:name="_Ref125369117"/>
      <w:bookmarkStart w:id="351" w:name="_Ref125370173"/>
      <w:bookmarkStart w:id="352" w:name="_Ref125370180"/>
      <w:bookmarkStart w:id="353" w:name="_Ref125370209"/>
      <w:bookmarkStart w:id="354" w:name="_Ref125709777"/>
      <w:bookmarkStart w:id="355" w:name="_Ref125709973"/>
      <w:bookmarkStart w:id="356" w:name="_Toc228976373"/>
      <w:r>
        <w:rPr/>
        <w:t>Дополнительные требования к Генеральным подрядчикам</w:t>
      </w:r>
      <w:bookmarkEnd w:id="348"/>
      <w:bookmarkEnd w:id="349"/>
      <w:bookmarkEnd w:id="350"/>
      <w:bookmarkEnd w:id="351"/>
      <w:bookmarkEnd w:id="352"/>
      <w:bookmarkEnd w:id="353"/>
      <w:bookmarkEnd w:id="354"/>
      <w:bookmarkEnd w:id="355"/>
      <w:bookmarkEnd w:id="356"/>
    </w:p>
    <w:tbl>
      <w:tblPr>
        <w:tblStyle w:val="af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1"/>
              <w:widowControl w:val="false"/>
              <w:suppressAutoHyphens w:val="true"/>
              <w:spacing w:before="60" w:after="60"/>
              <w:jc w:val="center"/>
              <w:rPr>
                <w:rFonts w:eastAsia="Calibri"/>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1"/>
              <w:widowControl w:val="false"/>
              <w:numPr>
                <w:ilvl w:val="0"/>
                <w:numId w:val="5"/>
              </w:numPr>
              <w:suppressAutoHyphens w:val="true"/>
              <w:spacing w:before="60" w:after="60"/>
              <w:ind w:hanging="0" w:left="284"/>
              <w:jc w:val="center"/>
              <w:rPr>
                <w:rFonts w:eastAsia="Calibri"/>
              </w:rPr>
            </w:pPr>
            <w:r>
              <w:rPr>
                <w:rFonts w:eastAsia="Calibri"/>
              </w:rPr>
            </w:r>
            <w:bookmarkStart w:id="357" w:name="_Ref125370187"/>
            <w:bookmarkStart w:id="358" w:name="_Ref125370187"/>
            <w:bookmarkEnd w:id="358"/>
          </w:p>
        </w:tc>
        <w:tc>
          <w:tcPr>
            <w:tcW w:w="567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1"/>
              <w:widowControl w:val="false"/>
              <w:suppressAutoHyphens w:val="true"/>
              <w:spacing w:before="60" w:after="60"/>
              <w:rPr/>
            </w:pPr>
            <w:r>
              <w:rPr>
                <w:rFonts w:eastAsia="Calibri" w:cs=""/>
                <w:kern w:val="0"/>
                <w:sz w:val="26"/>
                <w:szCs w:val="22"/>
                <w:lang w:val="ru-RU" w:eastAsia="en-US" w:bidi="ar-SA"/>
              </w:rPr>
              <w:t>План распределения объемов поставки продукции (форма 10)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 с указанием необходимой информации;</w:t>
            </w:r>
          </w:p>
        </w:tc>
      </w:tr>
      <w:tr>
        <w:trPr/>
        <w:tc>
          <w:tcPr>
            <w:tcW w:w="1128" w:type="dxa"/>
            <w:tcBorders/>
          </w:tcPr>
          <w:p>
            <w:pPr>
              <w:pStyle w:val="Style31"/>
              <w:widowControl w:val="false"/>
              <w:numPr>
                <w:ilvl w:val="0"/>
                <w:numId w:val="5"/>
              </w:numPr>
              <w:suppressAutoHyphens w:val="true"/>
              <w:spacing w:before="60" w:after="60"/>
              <w:ind w:hanging="0" w:left="284"/>
              <w:jc w:val="center"/>
              <w:rPr>
                <w:rFonts w:eastAsia="Calibri"/>
              </w:rPr>
            </w:pPr>
            <w:r>
              <w:rPr>
                <w:rFonts w:eastAsia="Calibri"/>
              </w:rPr>
            </w:r>
            <w:bookmarkStart w:id="359" w:name="_Ref125370199"/>
            <w:bookmarkStart w:id="360" w:name="_Ref125370199"/>
            <w:bookmarkEnd w:id="360"/>
          </w:p>
        </w:tc>
        <w:tc>
          <w:tcPr>
            <w:tcW w:w="567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Генеральный подрядчик должен доказать, что каждый из привлекаемых им субподрядчиков:</w:t>
            </w:r>
          </w:p>
          <w:p>
            <w:pPr>
              <w:pStyle w:val="Style31"/>
              <w:widowControl w:val="false"/>
              <w:numPr>
                <w:ilvl w:val="0"/>
                <w:numId w:val="13"/>
              </w:numPr>
              <w:suppressAutoHyphens w:val="true"/>
              <w:spacing w:before="60" w:after="60"/>
              <w:ind w:hanging="284" w:left="284"/>
              <w:rPr>
                <w:rFonts w:eastAsia="Calibri"/>
              </w:rPr>
            </w:pPr>
            <w:r>
              <w:rPr>
                <w:rFonts w:eastAsia="Calibri" w:cs=""/>
                <w:kern w:val="0"/>
                <w:sz w:val="26"/>
                <w:szCs w:val="22"/>
                <w:lang w:val="ru-RU" w:eastAsia="en-US" w:bidi="ar-SA"/>
              </w:rPr>
              <w:t>осведомлен о привлечении его в качестве субподрядчика;</w:t>
            </w:r>
          </w:p>
          <w:p>
            <w:pPr>
              <w:pStyle w:val="Style31"/>
              <w:widowControl w:val="false"/>
              <w:numPr>
                <w:ilvl w:val="0"/>
                <w:numId w:val="13"/>
              </w:numPr>
              <w:suppressAutoHyphens w:val="true"/>
              <w:spacing w:before="60" w:after="60"/>
              <w:ind w:hanging="284" w:left="284"/>
              <w:rPr>
                <w:rFonts w:eastAsia="Calibri"/>
              </w:rPr>
            </w:pPr>
            <w:r>
              <w:rPr>
                <w:rFonts w:eastAsia="Calibri" w:cs=""/>
                <w:kern w:val="0"/>
                <w:sz w:val="26"/>
                <w:szCs w:val="22"/>
                <w:lang w:val="ru-RU" w:eastAsia="en-US" w:bidi="ar-SA"/>
              </w:rPr>
              <w:t>согласен с выделяемым ему перечнем, объемами, сроками и стоимостью поставки продукции:</w:t>
            </w:r>
          </w:p>
        </w:tc>
        <w:tc>
          <w:tcPr>
            <w:tcW w:w="8327"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Письмо от имени каждого привлекаемого субподрядчика (составляется в произвольной форме), подтверждающее его согласие на привлечение в качестве субподрядчика, с указанием объема и стоимости возлагаемой на него поставки продукции, а также сроков поставки продукции;</w:t>
            </w:r>
          </w:p>
        </w:tc>
      </w:tr>
      <w:tr>
        <w:trPr/>
        <w:tc>
          <w:tcPr>
            <w:tcW w:w="1128" w:type="dxa"/>
            <w:tcBorders/>
          </w:tcPr>
          <w:p>
            <w:pPr>
              <w:pStyle w:val="Style31"/>
              <w:widowControl w:val="false"/>
              <w:numPr>
                <w:ilvl w:val="0"/>
                <w:numId w:val="5"/>
              </w:numPr>
              <w:suppressAutoHyphens w:val="true"/>
              <w:spacing w:before="60" w:after="60"/>
              <w:ind w:hanging="0" w:left="284"/>
              <w:jc w:val="center"/>
              <w:rPr>
                <w:rFonts w:eastAsia="Calibri"/>
              </w:rPr>
            </w:pPr>
            <w:r>
              <w:rPr>
                <w:rFonts w:eastAsia="Calibri"/>
              </w:rPr>
            </w:r>
            <w:bookmarkStart w:id="361" w:name="_Ref125370193"/>
            <w:bookmarkStart w:id="362" w:name="_Ref125370193"/>
            <w:bookmarkEnd w:id="362"/>
          </w:p>
        </w:tc>
        <w:tc>
          <w:tcPr>
            <w:tcW w:w="5671" w:type="dxa"/>
            <w:tcBorders/>
          </w:tcPr>
          <w:p>
            <w:pPr>
              <w:pStyle w:val="Style31"/>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(форма 10)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_Ref125553242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1"/>
              <w:widowControl w:val="false"/>
              <w:numPr>
                <w:ilvl w:val="0"/>
                <w:numId w:val="5"/>
              </w:numPr>
              <w:suppressAutoHyphens w:val="true"/>
              <w:spacing w:before="60" w:after="60"/>
              <w:ind w:hanging="0" w:left="284"/>
              <w:jc w:val="center"/>
              <w:rPr>
                <w:rFonts w:eastAsia="Calibri"/>
              </w:rPr>
            </w:pPr>
            <w:r>
              <w:rPr>
                <w:rFonts w:eastAsia="Calibri"/>
              </w:rPr>
            </w:r>
            <w:bookmarkStart w:id="363" w:name="_Ref125553847"/>
            <w:bookmarkStart w:id="364" w:name="_Ref125553847"/>
            <w:bookmarkEnd w:id="364"/>
          </w:p>
        </w:tc>
        <w:tc>
          <w:tcPr>
            <w:tcW w:w="5671"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365" w:name="_Toc228976374"/>
      <w:bookmarkStart w:id="366" w:name="Прил04_ФормыЗаявки"/>
      <w:bookmarkEnd w:id="366"/>
      <w:r>
        <w:rPr/>
        <w:t>Приложение № 4 – Образцы форм документов, включаемых в состав заявки</w:t>
      </w:r>
      <w:bookmarkEnd w:id="365"/>
    </w:p>
    <w:p>
      <w:pPr>
        <w:pStyle w:val="Style26"/>
        <w:rPr/>
      </w:pPr>
      <w:bookmarkStart w:id="367" w:name="_Toc228976375"/>
      <w:r>
        <w:rPr/>
        <w:t>Пояснения к Образцам форм документов, включаемых в состав заявки</w:t>
      </w:r>
      <w:bookmarkEnd w:id="367"/>
    </w:p>
    <w:p>
      <w:pPr>
        <w:pStyle w:val="Style27"/>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5"/>
        <w:rPr/>
      </w:pPr>
      <w:bookmarkStart w:id="368" w:name="_Toc228976376"/>
      <w:bookmarkStart w:id="369" w:name="Прил05_ФормыПобедителя"/>
      <w:bookmarkEnd w:id="369"/>
      <w:r>
        <w:rPr/>
        <w:t>Приложение № 5 – Образцы форм документов, предоставляемых Победителем</w:t>
      </w:r>
      <w:bookmarkEnd w:id="368"/>
    </w:p>
    <w:p>
      <w:pPr>
        <w:pStyle w:val="Style26"/>
        <w:rPr/>
      </w:pPr>
      <w:bookmarkStart w:id="370" w:name="_Toc228976377"/>
      <w:r>
        <w:rPr/>
        <w:t>Пояснения к Образцам форм документов, предоставляемых Победителем</w:t>
      </w:r>
      <w:bookmarkEnd w:id="370"/>
    </w:p>
    <w:p>
      <w:pPr>
        <w:pStyle w:val="Style27"/>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6"/>
        <w:rPr/>
      </w:pPr>
      <w:bookmarkStart w:id="371" w:name="_Ref130395470"/>
      <w:bookmarkStart w:id="372" w:name="_Toc228976378"/>
      <w:r>
        <w:rPr/>
        <w:t>Форма справки «Сведения о цепочке собственников, включая бенефициаров (в том числе конечных)»</w:t>
      </w:r>
      <w:bookmarkEnd w:id="371"/>
      <w:bookmarkEnd w:id="372"/>
    </w:p>
    <w:p>
      <w:pPr>
        <w:pStyle w:val="Style27"/>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7"/>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31"/>
        <w:jc w:val="center"/>
        <w:rPr/>
      </w:pPr>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75pt;height:48.75pt;mso-wrap-distance-right:0pt" filled="f" o:ole="">
            <v:imagedata r:id="rId24" o:title=""/>
          </v:shape>
          <o:OLEObject Type="Embed" ProgID="Word.Document.12" ShapeID="ole_rId23" DrawAspect="Icon" ObjectID="_16638029" r:id="rId23"/>
        </w:object>
      </w:r>
    </w:p>
    <w:p>
      <w:pPr>
        <w:pStyle w:val="Style26"/>
        <w:rPr/>
      </w:pPr>
      <w:bookmarkStart w:id="373" w:name="_Ref130395475"/>
      <w:bookmarkStart w:id="374" w:name="_Toc228976379"/>
      <w:r>
        <w:rPr/>
        <w:t>Форма «Заверение об обстоятельствах»</w:t>
      </w:r>
      <w:bookmarkEnd w:id="373"/>
      <w:bookmarkEnd w:id="374"/>
    </w:p>
    <w:p>
      <w:pPr>
        <w:pStyle w:val="Style27"/>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7"/>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7"/>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7"/>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75" w:name="_MON_1741074184"/>
      <w:bookmarkEnd w:id="375"/>
    </w:p>
    <w:p>
      <w:pPr>
        <w:pStyle w:val="Style31"/>
        <w:spacing w:before="120" w:after="120"/>
        <w:jc w:val="center"/>
        <w:rPr/>
      </w:pPr>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9.5pt;height:48.75pt;mso-wrap-distance-right:0pt;mso-wrap-distance-bottom:6pt" filled="f" o:ole="">
            <v:imagedata r:id="rId26" o:title=""/>
          </v:shape>
          <o:OLEObject Type="Embed" ProgID="Word.Document.12" ShapeID="ole_rId25" DrawAspect="Icon" ObjectID="_88201916" r:id="rId25"/>
        </w:object>
      </w:r>
    </w:p>
    <w:p>
      <w:pPr>
        <w:pStyle w:val="Style25"/>
        <w:rPr/>
      </w:pPr>
      <w:bookmarkStart w:id="376" w:name="_Toc228976380"/>
      <w:bookmarkStart w:id="377" w:name="_Ref125362865"/>
      <w:bookmarkStart w:id="378" w:name="_Ref125362900"/>
      <w:bookmarkStart w:id="379" w:name="Прил06_СоставЗаявки"/>
      <w:bookmarkEnd w:id="379"/>
      <w:r>
        <w:rPr/>
        <w:t>Приложение № 6 – Состав заявки</w:t>
      </w:r>
      <w:bookmarkEnd w:id="376"/>
      <w:bookmarkEnd w:id="377"/>
      <w:bookmarkEnd w:id="378"/>
    </w:p>
    <w:p>
      <w:pPr>
        <w:pStyle w:val="Style26"/>
        <w:rPr/>
      </w:pPr>
      <w:bookmarkStart w:id="380" w:name="_Toc228976381"/>
      <w:r>
        <w:rPr/>
        <w:t>Состав заявки</w:t>
      </w:r>
      <w:bookmarkEnd w:id="380"/>
    </w:p>
    <w:p>
      <w:pPr>
        <w:pStyle w:val="Style27"/>
        <w:spacing w:before="120" w:after="120"/>
        <w:rPr/>
      </w:pPr>
      <w:r>
        <w:rPr/>
        <w:t xml:space="preserve">Заявка на участие в закупке должна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4"/>
          </w:rPr>
          <w:t>Приложении № 4</w:t>
        </w:r>
      </w:hyperlink>
      <w:r>
        <w:rPr/>
        <w:t>):</w:t>
      </w:r>
    </w:p>
    <w:tbl>
      <w:tblPr>
        <w:tblStyle w:val="affe"/>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1"/>
              <w:keepNext w:val="true"/>
              <w:widowControl w:val="false"/>
              <w:suppressAutoHyphens w:val="true"/>
              <w:spacing w:before="60" w:after="60"/>
              <w:jc w:val="center"/>
              <w:rPr>
                <w:rFonts w:eastAsia="Calibri"/>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1"/>
              <w:keepNext w:val="true"/>
              <w:widowControl w:val="false"/>
              <w:suppressAutoHyphens w:val="true"/>
              <w:spacing w:before="60" w:after="60"/>
              <w:jc w:val="center"/>
              <w:rPr>
                <w:rFonts w:eastAsia="Calibri"/>
              </w:rPr>
            </w:pPr>
            <w:r>
              <w:rPr>
                <w:rFonts w:eastAsia="Calibri" w:cs=""/>
                <w:b/>
                <w:kern w:val="0"/>
                <w:sz w:val="26"/>
                <w:szCs w:val="22"/>
                <w:lang w:val="ru-RU" w:eastAsia="en-US" w:bidi="ar-SA"/>
              </w:rPr>
              <w:t>Наименование документа</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p>
        </w:tc>
        <w:tc>
          <w:tcPr>
            <w:tcW w:w="8075"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p>
        </w:tc>
        <w:tc>
          <w:tcPr>
            <w:tcW w:w="8075"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p>
        </w:tc>
        <w:tc>
          <w:tcPr>
            <w:tcW w:w="8075"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4"/>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p>
        </w:tc>
        <w:tc>
          <w:tcPr>
            <w:tcW w:w="8075"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Техническое предложение (форма 4);</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p>
        </w:tc>
        <w:tc>
          <w:tcPr>
            <w:tcW w:w="8075"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Анкета Участника (форма 5);</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bookmarkStart w:id="381" w:name="_Ref130389408"/>
            <w:bookmarkStart w:id="382" w:name="_Ref130389408"/>
            <w:bookmarkEnd w:id="382"/>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Справка об опыте Участника (форма 6), с необходимыми приложениями к ней, – предоставляется, если установлено соответствующее квалификационное требование к опыту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bookmarkStart w:id="383" w:name="_Ref130389413"/>
            <w:bookmarkStart w:id="384" w:name="_Ref130389413"/>
            <w:bookmarkEnd w:id="384"/>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Справка о материально-технических ресурсах (форма 7), с необходимыми приложениями к ней – предоставляется, если установлено соответствующее квалификационное требование к наличию (привлечению) материально-технических ресурсов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bookmarkStart w:id="385" w:name="_Ref130389419"/>
            <w:bookmarkStart w:id="386" w:name="_Ref130389419"/>
            <w:bookmarkEnd w:id="386"/>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Справка о кадровых ресурсах (форма 8), с необходимыми приложениями к ней – предоставляется, если установлено соответствующее квалификационное требование к наличию (привлечения) кадровых ресурсов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xml:space="preserve">) и (или)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4"/>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p>
        </w:tc>
        <w:tc>
          <w:tcPr>
            <w:tcW w:w="8075" w:type="dxa"/>
            <w:tcBorders/>
          </w:tcPr>
          <w:p>
            <w:pPr>
              <w:pStyle w:val="Normal"/>
              <w:widowControl w:val="false"/>
              <w:suppressAutoHyphens w:val="true"/>
              <w:spacing w:before="120" w:after="60"/>
              <w:jc w:val="both"/>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Коллективного участника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_Ref125709228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Коллективного участника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_Ref130305355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1"/>
              <w:widowControl w:val="false"/>
              <w:numPr>
                <w:ilvl w:val="0"/>
                <w:numId w:val="9"/>
              </w:numPr>
              <w:suppressAutoHyphens w:val="true"/>
              <w:spacing w:before="60" w:after="60"/>
              <w:ind w:hanging="284" w:left="284"/>
              <w:rPr>
                <w:rFonts w:eastAsia="Calibri"/>
              </w:rPr>
            </w:pPr>
            <w:r>
              <w:rPr>
                <w:rFonts w:eastAsia="Calibri" w:cs=""/>
                <w:kern w:val="0"/>
                <w:sz w:val="26"/>
                <w:szCs w:val="22"/>
                <w:lang w:val="ru-RU" w:eastAsia="en-US" w:bidi="ar-SA"/>
              </w:rPr>
              <w:t>План распределения объемов поставки продукции (форма 10);</w:t>
            </w:r>
          </w:p>
          <w:p>
            <w:pPr>
              <w:pStyle w:val="Style31"/>
              <w:widowControl w:val="false"/>
              <w:numPr>
                <w:ilvl w:val="0"/>
                <w:numId w:val="9"/>
              </w:numPr>
              <w:suppressAutoHyphens w:val="true"/>
              <w:spacing w:before="60" w:after="60"/>
              <w:ind w:hanging="284" w:left="284"/>
              <w:rPr>
                <w:rFonts w:eastAsia="Calibri"/>
              </w:rPr>
            </w:pPr>
            <w:r>
              <w:rPr>
                <w:rFonts w:eastAsia="Calibri" w:cs=""/>
                <w:kern w:val="0"/>
                <w:sz w:val="26"/>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_Ref125366972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Документации о закупке;</w:t>
            </w:r>
          </w:p>
          <w:p>
            <w:pPr>
              <w:pStyle w:val="Style31"/>
              <w:widowControl w:val="false"/>
              <w:numPr>
                <w:ilvl w:val="0"/>
                <w:numId w:val="9"/>
              </w:numPr>
              <w:suppressAutoHyphens w:val="true"/>
              <w:spacing w:before="60" w:after="60"/>
              <w:ind w:hanging="284" w:left="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_Ref125709228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Style w:val="Style14"/>
                <w:rFonts w:eastAsia="Calibri" w:cs=""/>
                <w:kern w:val="0"/>
                <w:sz w:val="26"/>
                <w:szCs w:val="22"/>
                <w:lang w:val="ru-RU" w:eastAsia="en-US" w:bidi="ar-SA"/>
              </w:rPr>
              <w:t>;</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8.6</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условиями проводимой закупки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рассмотрение, оценка и сопоставление заявок Участников осуществляется с учетом привлекаемых субподрядчиков, 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3.3</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1"/>
              <w:widowControl w:val="false"/>
              <w:numPr>
                <w:ilvl w:val="0"/>
                <w:numId w:val="9"/>
              </w:numPr>
              <w:suppressAutoHyphens w:val="true"/>
              <w:spacing w:before="60" w:after="60"/>
              <w:ind w:hanging="284" w:left="284"/>
              <w:rPr>
                <w:rFonts w:eastAsia="Calibri"/>
              </w:rPr>
            </w:pPr>
            <w:r>
              <w:rPr>
                <w:rFonts w:eastAsia="Calibri" w:cs=""/>
                <w:kern w:val="0"/>
                <w:sz w:val="26"/>
                <w:szCs w:val="22"/>
                <w:lang w:val="ru-RU" w:eastAsia="en-US" w:bidi="ar-SA"/>
              </w:rPr>
              <w:t>План распределения объемов поставки продукции (форма 10);</w:t>
            </w:r>
          </w:p>
          <w:p>
            <w:pPr>
              <w:pStyle w:val="Style31"/>
              <w:widowControl w:val="false"/>
              <w:numPr>
                <w:ilvl w:val="0"/>
                <w:numId w:val="9"/>
              </w:numPr>
              <w:suppressAutoHyphens w:val="true"/>
              <w:spacing w:before="60" w:after="60"/>
              <w:ind w:hanging="284" w:left="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8.6</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4"/>
                  <w:rFonts w:eastAsia="Calibri" w:cs=""/>
                  <w:kern w:val="0"/>
                  <w:sz w:val="26"/>
                  <w:szCs w:val="22"/>
                  <w:lang w:val="ru-RU" w:eastAsia="en-US" w:bidi="ar-SA"/>
                </w:rPr>
                <w:t>Приложения № 3</w:t>
              </w:r>
            </w:hyperlink>
            <w:r>
              <w:rPr>
                <w:rStyle w:val="Style14"/>
                <w:rFonts w:eastAsia="Calibri" w:cs=""/>
                <w:kern w:val="0"/>
                <w:sz w:val="26"/>
                <w:szCs w:val="22"/>
                <w:lang w:val="ru-RU" w:eastAsia="en-US" w:bidi="ar-SA"/>
              </w:rPr>
              <w:t>;</w:t>
            </w:r>
          </w:p>
        </w:tc>
      </w:tr>
      <w:tr>
        <w:trPr/>
        <w:tc>
          <w:tcPr>
            <w:tcW w:w="707" w:type="dxa"/>
            <w:tcBorders/>
          </w:tcPr>
          <w:p>
            <w:pPr>
              <w:pStyle w:val="Style31"/>
              <w:widowControl w:val="false"/>
              <w:numPr>
                <w:ilvl w:val="0"/>
                <w:numId w:val="6"/>
              </w:numPr>
              <w:suppressAutoHyphens w:val="true"/>
              <w:spacing w:before="60" w:after="60"/>
              <w:ind w:hanging="0" w:left="170"/>
              <w:jc w:val="center"/>
              <w:rPr>
                <w:rFonts w:eastAsia="Calibri"/>
              </w:rPr>
            </w:pPr>
            <w:r>
              <w:rPr>
                <w:rFonts w:eastAsia="Calibri"/>
              </w:rPr>
            </w:r>
          </w:p>
        </w:tc>
        <w:tc>
          <w:tcPr>
            <w:tcW w:w="8075" w:type="dxa"/>
            <w:tcBorders/>
          </w:tcPr>
          <w:p>
            <w:pPr>
              <w:pStyle w:val="Style31"/>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7"/>
        <w:rPr>
          <w:rStyle w:val="Style11"/>
          <w:i w:val="false"/>
          <w:i w:val="false"/>
          <w:iCs w:val="false"/>
          <w:shd w:fill="auto" w:val="clear"/>
        </w:rPr>
      </w:pPr>
      <w:r>
        <w:rPr>
          <w:rStyle w:val="Style11"/>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5"/>
        <w:rPr/>
      </w:pPr>
      <w:bookmarkStart w:id="387" w:name="_Ref125365264"/>
      <w:bookmarkStart w:id="388" w:name="_Toc228976382"/>
      <w:bookmarkStart w:id="389" w:name="Прил07_ОтборочныеКритерии"/>
      <w:bookmarkEnd w:id="389"/>
      <w:r>
        <w:rPr>
          <w:rStyle w:val="Style11"/>
          <w:i w:val="false"/>
          <w:iCs w:val="false"/>
          <w:shd w:fill="auto" w:val="clear"/>
        </w:rPr>
        <w:t>Приложение №</w:t>
      </w:r>
      <w:r>
        <w:rPr/>
        <w:t> 7 – Отборочные критерии рассмотрения заявок</w:t>
      </w:r>
      <w:bookmarkEnd w:id="387"/>
      <w:bookmarkEnd w:id="388"/>
    </w:p>
    <w:p>
      <w:pPr>
        <w:pStyle w:val="Style26"/>
        <w:spacing w:before="360" w:after="120"/>
        <w:rPr>
          <w:rStyle w:val="Style11"/>
          <w:i w:val="false"/>
          <w:i w:val="false"/>
          <w:iCs w:val="false"/>
          <w:shd w:fill="auto" w:val="clear"/>
        </w:rPr>
      </w:pPr>
      <w:bookmarkStart w:id="390" w:name="_Toc228976383"/>
      <w:r>
        <w:rPr>
          <w:rStyle w:val="Style11"/>
          <w:i w:val="false"/>
          <w:iCs w:val="false"/>
          <w:shd w:fill="auto" w:val="clear"/>
        </w:rPr>
        <w:t>Отборочные критерии рассмотрения заявок</w:t>
      </w:r>
      <w:bookmarkEnd w:id="390"/>
    </w:p>
    <w:tbl>
      <w:tblPr>
        <w:tblStyle w:val="af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1"/>
        <w:gridCol w:w="8508"/>
        <w:gridCol w:w="3116"/>
        <w:gridCol w:w="2090"/>
      </w:tblGrid>
      <w:tr>
        <w:trPr>
          <w:cnfStyle w:val="100000000000" w:firstRow="1" w:lastRow="0" w:firstColumn="0" w:lastColumn="0" w:oddVBand="0" w:evenVBand="0" w:oddHBand="0" w:evenHBand="0" w:firstRowFirstColumn="0" w:firstRowLastColumn="0" w:lastRowFirstColumn="0" w:lastRowLastColumn="0"/>
        </w:trPr>
        <w:tc>
          <w:tcPr>
            <w:tcW w:w="1411" w:type="dxa"/>
            <w:tcBorders/>
          </w:tcPr>
          <w:p>
            <w:pPr>
              <w:pStyle w:val="Style31"/>
              <w:keepNext w:val="true"/>
              <w:widowControl w:val="false"/>
              <w:suppressAutoHyphens w:val="true"/>
              <w:spacing w:before="60" w:after="60"/>
              <w:jc w:val="center"/>
              <w:rPr>
                <w:rFonts w:eastAsia="Calibri"/>
              </w:rPr>
            </w:pPr>
            <w:r>
              <w:rPr>
                <w:rFonts w:eastAsia="Calibri" w:cs=""/>
                <w:b/>
                <w:kern w:val="0"/>
                <w:sz w:val="26"/>
                <w:szCs w:val="22"/>
                <w:lang w:val="ru-RU" w:eastAsia="en-US" w:bidi="ar-SA"/>
              </w:rPr>
              <w:t>Номер</w:t>
              <w:br/>
              <w:t>критерия</w:t>
            </w:r>
          </w:p>
        </w:tc>
        <w:tc>
          <w:tcPr>
            <w:tcW w:w="8508" w:type="dxa"/>
            <w:tcBorders/>
          </w:tcPr>
          <w:p>
            <w:pPr>
              <w:pStyle w:val="Style31"/>
              <w:keepNext w:val="true"/>
              <w:widowControl w:val="false"/>
              <w:suppressAutoHyphens w:val="true"/>
              <w:spacing w:before="60" w:after="60"/>
              <w:jc w:val="center"/>
              <w:rPr>
                <w:rFonts w:eastAsia="Calibri"/>
              </w:rPr>
            </w:pPr>
            <w:r>
              <w:rPr>
                <w:rFonts w:eastAsia="Calibri" w:cs=""/>
                <w:b/>
                <w:kern w:val="0"/>
                <w:sz w:val="26"/>
                <w:szCs w:val="22"/>
                <w:lang w:val="ru-RU" w:eastAsia="en-US" w:bidi="ar-SA"/>
              </w:rPr>
              <w:t>Наименование</w:t>
              <w:br/>
              <w:t>отборочного критерия</w:t>
            </w:r>
          </w:p>
        </w:tc>
        <w:tc>
          <w:tcPr>
            <w:tcW w:w="3116" w:type="dxa"/>
            <w:tcBorders/>
          </w:tcPr>
          <w:p>
            <w:pPr>
              <w:pStyle w:val="Style31"/>
              <w:keepNext w:val="true"/>
              <w:widowControl w:val="false"/>
              <w:suppressAutoHyphens w:val="true"/>
              <w:spacing w:before="60" w:after="60"/>
              <w:jc w:val="center"/>
              <w:rPr>
                <w:rFonts w:eastAsia="Calibri"/>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1"/>
              <w:keepNext w:val="true"/>
              <w:widowControl w:val="false"/>
              <w:suppressAutoHyphens w:val="true"/>
              <w:spacing w:before="60" w:after="60"/>
              <w:jc w:val="center"/>
              <w:rPr>
                <w:rFonts w:eastAsia="Calibri"/>
              </w:rPr>
            </w:pPr>
            <w:r>
              <w:rPr>
                <w:rFonts w:eastAsia="Calibri" w:cs=""/>
                <w:b/>
                <w:kern w:val="0"/>
                <w:sz w:val="26"/>
                <w:szCs w:val="22"/>
                <w:lang w:val="ru-RU" w:eastAsia="en-US" w:bidi="ar-SA"/>
              </w:rPr>
              <w:t>Направления</w:t>
              <w:br/>
              <w:t>оценки заявок*</w:t>
            </w:r>
          </w:p>
        </w:tc>
      </w:tr>
      <w:tr>
        <w:trPr/>
        <w:tc>
          <w:tcPr>
            <w:tcW w:w="9919" w:type="dxa"/>
            <w:gridSpan w:val="2"/>
            <w:tcBorders/>
          </w:tcPr>
          <w:p>
            <w:pPr>
              <w:pStyle w:val="Style31"/>
              <w:keepNext w:val="true"/>
              <w:widowControl w:val="false"/>
              <w:suppressAutoHyphens w:val="true"/>
              <w:spacing w:before="60" w:after="60"/>
              <w:rPr>
                <w:b/>
                <w:bCs/>
              </w:rPr>
            </w:pPr>
            <w:r>
              <w:rPr>
                <w:rFonts w:eastAsia="Calibri" w:cs=""/>
                <w:b/>
                <w:bCs/>
                <w:kern w:val="0"/>
                <w:sz w:val="26"/>
                <w:szCs w:val="22"/>
                <w:lang w:val="ru-RU" w:eastAsia="en-US" w:bidi="ar-SA"/>
              </w:rPr>
              <w:t>Состав заявки и правильность ее оформления, в том числе:</w:t>
            </w:r>
          </w:p>
        </w:tc>
        <w:tc>
          <w:tcPr>
            <w:tcW w:w="3116" w:type="dxa"/>
            <w:tcBorders/>
          </w:tcPr>
          <w:p>
            <w:pPr>
              <w:pStyle w:val="Style31"/>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1"/>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r>
                <w:rPr>
                  <w:rStyle w:val="Style14"/>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116" w:type="dxa"/>
            <w:tcBorders/>
          </w:tcPr>
          <w:p>
            <w:pPr>
              <w:pStyle w:val="Style31"/>
              <w:widowControl w:val="false"/>
              <w:suppressAutoHyphens w:val="true"/>
              <w:spacing w:before="60" w:after="60"/>
              <w:jc w:val="center"/>
              <w:rPr>
                <w:rStyle w:val="Style14"/>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4"/>
                  <w:rFonts w:eastAsia="Calibri" w:cs=""/>
                  <w:kern w:val="0"/>
                  <w:sz w:val="26"/>
                  <w:szCs w:val="22"/>
                  <w:lang w:val="ru-RU" w:eastAsia="en-US" w:bidi="ar-SA"/>
                </w:rPr>
                <w:t>Приложение № 6</w:t>
              </w:r>
            </w:hyperlink>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Орг, Тех,</w:t>
              <w:br/>
              <w:t>Цена, Юр</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6"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_Ref135749133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4.9</w:t>
            </w:r>
            <w:r>
              <w:rPr>
                <w:sz w:val="26"/>
                <w:kern w:val="0"/>
                <w:szCs w:val="22"/>
                <w:rFonts w:eastAsia="Calibri" w:cs=""/>
                <w:lang w:val="ru-RU" w:eastAsia="en-US" w:bidi="ar-SA"/>
              </w:rPr>
              <w:fldChar w:fldCharType="end"/>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Орг, Тех,</w:t>
              <w:br/>
              <w:t>Цена, Юр</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6"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4.17</w:t>
            </w:r>
            <w:r>
              <w:rPr>
                <w:sz w:val="26"/>
                <w:kern w:val="0"/>
                <w:szCs w:val="22"/>
                <w:rFonts w:eastAsia="Calibri" w:cs=""/>
                <w:lang w:val="ru-RU" w:eastAsia="en-US" w:bidi="ar-SA"/>
              </w:rPr>
              <w:fldChar w:fldCharType="end"/>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Орг – в части наличия сведений в реестре,</w:t>
            </w:r>
          </w:p>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Фин – в части соответствия</w:t>
            </w:r>
          </w:p>
        </w:tc>
      </w:tr>
      <w:tr>
        <w:trPr/>
        <w:tc>
          <w:tcPr>
            <w:tcW w:w="9919" w:type="dxa"/>
            <w:gridSpan w:val="2"/>
            <w:tcBorders/>
          </w:tcPr>
          <w:p>
            <w:pPr>
              <w:pStyle w:val="Style31"/>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116" w:type="dxa"/>
            <w:tcBorders/>
          </w:tcPr>
          <w:p>
            <w:pPr>
              <w:pStyle w:val="Style31"/>
              <w:keepNext w:val="true"/>
              <w:widowControl w:val="false"/>
              <w:suppressAutoHyphens w:val="true"/>
              <w:spacing w:before="60" w:after="60"/>
              <w:jc w:val="center"/>
              <w:rPr>
                <w:rFonts w:eastAsia="Calibri"/>
              </w:rPr>
            </w:pPr>
            <w:r>
              <w:rPr>
                <w:rFonts w:eastAsia="Calibri" w:cs=""/>
                <w:b/>
                <w:bCs/>
                <w:kern w:val="0"/>
                <w:sz w:val="26"/>
                <w:szCs w:val="22"/>
                <w:lang w:val="ru-RU" w:eastAsia="en-US" w:bidi="ar-SA"/>
              </w:rPr>
              <w:t>–</w:t>
            </w:r>
          </w:p>
        </w:tc>
        <w:tc>
          <w:tcPr>
            <w:tcW w:w="2090" w:type="dxa"/>
            <w:tcBorders/>
          </w:tcPr>
          <w:p>
            <w:pPr>
              <w:pStyle w:val="Style31"/>
              <w:keepNext w:val="true"/>
              <w:widowControl w:val="false"/>
              <w:suppressAutoHyphens w:val="true"/>
              <w:spacing w:before="60" w:after="60"/>
              <w:jc w:val="center"/>
              <w:rPr>
                <w:rFonts w:eastAsia="Calibri"/>
              </w:rPr>
            </w:pPr>
            <w:r>
              <w:rPr>
                <w:rFonts w:eastAsia="Calibri" w:cs=""/>
                <w:b/>
                <w:bCs/>
                <w:kern w:val="0"/>
                <w:sz w:val="26"/>
                <w:szCs w:val="22"/>
                <w:lang w:val="ru-RU" w:eastAsia="en-US" w:bidi="ar-SA"/>
              </w:rPr>
              <w:t>–</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4_ФормыЗаявки">
              <w:r>
                <w:rPr>
                  <w:rStyle w:val="Style14"/>
                  <w:rFonts w:eastAsia="Calibri" w:cs=""/>
                  <w:kern w:val="0"/>
                  <w:sz w:val="26"/>
                  <w:szCs w:val="22"/>
                  <w:lang w:val="ru-RU" w:eastAsia="en-US" w:bidi="ar-SA"/>
                </w:rPr>
                <w:t>Приложение № 4</w:t>
              </w:r>
            </w:hyperlink>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Орг</w:t>
            </w:r>
          </w:p>
        </w:tc>
      </w:tr>
      <w:tr>
        <w:trPr/>
        <w:tc>
          <w:tcPr>
            <w:tcW w:w="9919" w:type="dxa"/>
            <w:gridSpan w:val="2"/>
            <w:tcBorders/>
          </w:tcPr>
          <w:p>
            <w:pPr>
              <w:pStyle w:val="Style31"/>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6" w:type="dxa"/>
            <w:tcBorders/>
          </w:tcPr>
          <w:p>
            <w:pPr>
              <w:pStyle w:val="Style31"/>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1"/>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1"/>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cs=""/>
                <w:i/>
                <w:iCs/>
                <w:kern w:val="0"/>
                <w:sz w:val="26"/>
                <w:szCs w:val="22"/>
                <w:lang w:val="en-US" w:eastAsia="en-US" w:bidi="ar-SA"/>
              </w:rPr>
              <w:t> </w:t>
            </w:r>
            <w:r>
              <w:rPr>
                <w:rFonts w:eastAsia="Calibri" w:cs=""/>
                <w:i/>
                <w:iCs/>
                <w:kern w:val="0"/>
                <w:sz w:val="26"/>
                <w:szCs w:val="22"/>
                <w:lang w:val="ru-RU" w:eastAsia="en-US" w:bidi="ar-SA"/>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_Ref138232981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Орг, Юр</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_Ref139028406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Орг</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_Ref186217850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1"/>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_Ref186217606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_Ref186217606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_Ref186217855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1"/>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_Ref186217606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 xml:space="preserve">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_Ref186217606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Соответствие Участника специальным требованиям к Участникам</w:t>
            </w:r>
          </w:p>
          <w:p>
            <w:pPr>
              <w:pStyle w:val="Style31"/>
              <w:widowControl w:val="false"/>
              <w:suppressAutoHyphens w:val="true"/>
              <w:spacing w:before="60" w:after="60"/>
              <w:rPr>
                <w:rFonts w:eastAsia="Calibri"/>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Соответствие Участника квалификационным требованиям к Участникам</w:t>
            </w:r>
          </w:p>
          <w:p>
            <w:pPr>
              <w:pStyle w:val="Style31"/>
              <w:widowControl w:val="false"/>
              <w:suppressAutoHyphens w:val="true"/>
              <w:spacing w:before="60" w:after="60"/>
              <w:rPr>
                <w:rFonts w:eastAsia="Calibri"/>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_Ref125550270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Соответствие Коллективного участника установленным в отношении его требованиям:</w:t>
            </w:r>
          </w:p>
          <w:p>
            <w:pPr>
              <w:pStyle w:val="Style31"/>
              <w:widowControl w:val="false"/>
              <w:suppressAutoHyphens w:val="true"/>
              <w:spacing w:before="60" w:after="60"/>
              <w:rPr>
                <w:rFonts w:eastAsia="Calibri"/>
              </w:rPr>
            </w:pPr>
            <w:r>
              <w:rPr>
                <w:rFonts w:eastAsia="Calibri" w:cs=""/>
                <w:i/>
                <w:iCs/>
                <w:kern w:val="0"/>
                <w:sz w:val="26"/>
                <w:szCs w:val="22"/>
                <w:lang w:val="ru-RU" w:eastAsia="en-US" w:bidi="ar-SA"/>
              </w:rPr>
              <w:t>(пункт применяется только в случае рассмотрения заявки, поданной Коллективным участником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_Ref130305355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6" w:type="dxa"/>
            <w:tcBorders/>
          </w:tcPr>
          <w:p>
            <w:pPr>
              <w:pStyle w:val="Style31"/>
              <w:widowControl w:val="false"/>
              <w:suppressAutoHyphens w:val="true"/>
              <w:spacing w:before="60" w:after="60"/>
              <w:jc w:val="center"/>
              <w:rPr>
                <w:rFonts w:eastAsia="Calibri"/>
              </w:rPr>
            </w:pPr>
            <w:r>
              <w:rPr>
                <w:rFonts w:eastAsia="Calibri" w:cs=""/>
                <w:b/>
                <w:b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b/>
                <w:bCs/>
                <w:kern w:val="0"/>
                <w:sz w:val="26"/>
                <w:szCs w:val="22"/>
                <w:lang w:val="ru-RU" w:eastAsia="en-US" w:bidi="ar-SA"/>
              </w:rPr>
              <w:t>–</w:t>
            </w:r>
          </w:p>
        </w:tc>
      </w:tr>
      <w:tr>
        <w:trPr/>
        <w:tc>
          <w:tcPr>
            <w:tcW w:w="1411" w:type="dxa"/>
            <w:tcBorders/>
          </w:tcPr>
          <w:p>
            <w:pPr>
              <w:pStyle w:val="Style31"/>
              <w:widowControl w:val="false"/>
              <w:numPr>
                <w:ilvl w:val="1"/>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numPr>
                <w:ilvl w:val="0"/>
                <w:numId w:val="9"/>
              </w:numPr>
              <w:suppressAutoHyphens w:val="true"/>
              <w:spacing w:before="60" w:after="60"/>
              <w:ind w:hanging="284" w:left="284"/>
              <w:rPr>
                <w:rFonts w:eastAsia="Calibri"/>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_Ref125370156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p>
          <w:p>
            <w:pPr>
              <w:pStyle w:val="Style31"/>
              <w:widowControl w:val="false"/>
              <w:suppressAutoHyphens w:val="true"/>
              <w:spacing w:before="60" w:after="60"/>
              <w:ind w:hanging="0" w:left="219"/>
              <w:rPr>
                <w:rFonts w:eastAsia="Calibri"/>
              </w:rPr>
            </w:pPr>
            <w:r>
              <w:rPr>
                <w:rFonts w:eastAsia="Calibri" w:cs=""/>
                <w:i/>
                <w:iCs/>
                <w:kern w:val="0"/>
                <w:sz w:val="26"/>
                <w:szCs w:val="22"/>
                <w:lang w:val="ru-RU" w:eastAsia="en-US" w:bidi="ar-SA"/>
              </w:rPr>
              <w:t>(в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_Ref138232981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_Ref125552455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Юр</w:t>
            </w:r>
          </w:p>
        </w:tc>
      </w:tr>
      <w:tr>
        <w:trPr/>
        <w:tc>
          <w:tcPr>
            <w:tcW w:w="1411" w:type="dxa"/>
            <w:tcBorders/>
          </w:tcPr>
          <w:p>
            <w:pPr>
              <w:pStyle w:val="Style31"/>
              <w:widowControl w:val="false"/>
              <w:numPr>
                <w:ilvl w:val="1"/>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numPr>
                <w:ilvl w:val="0"/>
                <w:numId w:val="9"/>
              </w:numPr>
              <w:suppressAutoHyphens w:val="true"/>
              <w:spacing w:before="60" w:after="60"/>
              <w:ind w:hanging="284" w:left="284"/>
              <w:rPr>
                <w:rFonts w:eastAsia="Calibri"/>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_Ref125553738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_Ref125552455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r>
        <w:trPr/>
        <w:tc>
          <w:tcPr>
            <w:tcW w:w="1411" w:type="dxa"/>
            <w:tcBorders/>
          </w:tcPr>
          <w:p>
            <w:pPr>
              <w:pStyle w:val="Style31"/>
              <w:widowControl w:val="false"/>
              <w:numPr>
                <w:ilvl w:val="1"/>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numPr>
                <w:ilvl w:val="0"/>
                <w:numId w:val="9"/>
              </w:numPr>
              <w:suppressAutoHyphens w:val="true"/>
              <w:spacing w:before="60" w:after="60"/>
              <w:ind w:hanging="284" w:left="284"/>
              <w:rPr>
                <w:rFonts w:eastAsia="Calibri"/>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_Ref125370162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p>
            <w:pPr>
              <w:pStyle w:val="Style31"/>
              <w:widowControl w:val="false"/>
              <w:suppressAutoHyphens w:val="true"/>
              <w:spacing w:before="60" w:after="60"/>
              <w:ind w:hanging="0" w:left="219"/>
              <w:rPr>
                <w:rFonts w:eastAsia="Calibri"/>
              </w:rPr>
            </w:pPr>
            <w:r>
              <w:rPr>
                <w:rFonts w:eastAsia="Calibri" w:cs=""/>
                <w:i/>
                <w:iCs/>
                <w:kern w:val="0"/>
                <w:sz w:val="26"/>
                <w:szCs w:val="22"/>
                <w:lang w:val="ru-RU" w:eastAsia="en-US" w:bidi="ar-SA"/>
              </w:rPr>
              <w:t>(в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_Ref138232981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_Ref125552455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8.5</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Орг, Тех,</w:t>
              <w:br/>
              <w:t>Юр</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1"/>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6" w:type="dxa"/>
            <w:tcBorders/>
          </w:tcPr>
          <w:p>
            <w:pPr>
              <w:pStyle w:val="Style31"/>
              <w:widowControl w:val="false"/>
              <w:suppressAutoHyphens w:val="true"/>
              <w:spacing w:before="60" w:after="60"/>
              <w:jc w:val="center"/>
              <w:rPr>
                <w:rFonts w:eastAsia="Calibri"/>
              </w:rPr>
            </w:pPr>
            <w:r>
              <w:rPr>
                <w:rFonts w:eastAsia="Calibri" w:cs=""/>
                <w:b/>
                <w:b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b/>
                <w:bCs/>
                <w:kern w:val="0"/>
                <w:sz w:val="26"/>
                <w:szCs w:val="22"/>
                <w:lang w:val="ru-RU" w:eastAsia="en-US" w:bidi="ar-SA"/>
              </w:rPr>
              <w:t>–</w:t>
            </w:r>
          </w:p>
        </w:tc>
      </w:tr>
      <w:tr>
        <w:trPr/>
        <w:tc>
          <w:tcPr>
            <w:tcW w:w="1411" w:type="dxa"/>
            <w:tcBorders/>
          </w:tcPr>
          <w:p>
            <w:pPr>
              <w:pStyle w:val="Style31"/>
              <w:widowControl w:val="false"/>
              <w:numPr>
                <w:ilvl w:val="1"/>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numPr>
                <w:ilvl w:val="0"/>
                <w:numId w:val="9"/>
              </w:numPr>
              <w:suppressAutoHyphens w:val="true"/>
              <w:spacing w:before="60" w:after="60"/>
              <w:ind w:hanging="284" w:left="284"/>
              <w:rPr>
                <w:rFonts w:eastAsia="Calibri"/>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_Ref125370199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8.6</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r>
        <w:trPr/>
        <w:tc>
          <w:tcPr>
            <w:tcW w:w="1411" w:type="dxa"/>
            <w:tcBorders/>
          </w:tcPr>
          <w:p>
            <w:pPr>
              <w:pStyle w:val="Style31"/>
              <w:widowControl w:val="false"/>
              <w:numPr>
                <w:ilvl w:val="1"/>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numPr>
                <w:ilvl w:val="0"/>
                <w:numId w:val="9"/>
              </w:numPr>
              <w:suppressAutoHyphens w:val="true"/>
              <w:spacing w:before="60" w:after="60"/>
              <w:ind w:hanging="284" w:left="284"/>
              <w:rPr>
                <w:rFonts w:eastAsia="Calibri"/>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8.6</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4"/>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Орг, Тех</w:t>
            </w:r>
          </w:p>
        </w:tc>
      </w:tr>
      <w:tr>
        <w:trPr/>
        <w:tc>
          <w:tcPr>
            <w:tcW w:w="9919" w:type="dxa"/>
            <w:gridSpan w:val="2"/>
            <w:tcBorders/>
          </w:tcPr>
          <w:p>
            <w:pPr>
              <w:pStyle w:val="Style31"/>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4"/>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6" w:type="dxa"/>
            <w:tcBorders/>
          </w:tcPr>
          <w:p>
            <w:pPr>
              <w:pStyle w:val="Style31"/>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1"/>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1"/>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исполнения Заказчиком</w:t>
            </w:r>
            <w:r>
              <w:rPr>
                <w:rFonts w:eastAsia="Calibri" w:cs=""/>
                <w:kern w:val="0"/>
                <w:sz w:val="26"/>
                <w:szCs w:val="22"/>
                <w:lang w:val="ru-RU" w:eastAsia="en-US" w:bidi="ar-SA"/>
              </w:rPr>
              <w:t xml:space="preserve"> </w:t>
            </w:r>
            <w:r>
              <w:rPr>
                <w:rFonts w:eastAsia="Calibri" w:cs=""/>
                <w:i/>
                <w:iCs/>
                <w:kern w:val="0"/>
                <w:sz w:val="26"/>
                <w:szCs w:val="22"/>
                <w:lang w:val="ru-RU" w:eastAsia="en-US" w:bidi="ar-SA"/>
              </w:rPr>
              <w:t xml:space="preserve">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_Ref186217606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_Ref186217606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_Ref186217606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4"/>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6" w:type="dxa"/>
            <w:tcBorders/>
          </w:tcPr>
          <w:p>
            <w:pPr>
              <w:pStyle w:val="Style31"/>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4"/>
                  <w:rFonts w:eastAsia="Calibri" w:cs=""/>
                  <w:kern w:val="0"/>
                  <w:sz w:val="26"/>
                  <w:szCs w:val="22"/>
                  <w:lang w:val="ru-RU" w:eastAsia="en-US" w:bidi="ar-SA"/>
                </w:rPr>
                <w:t>Приложение № 2</w:t>
              </w:r>
            </w:hyperlink>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4"/>
                  <w:rFonts w:eastAsia="Calibri" w:cs=""/>
                  <w:kern w:val="0"/>
                  <w:sz w:val="26"/>
                  <w:szCs w:val="22"/>
                  <w:lang w:val="ru-RU" w:eastAsia="en-US" w:bidi="ar-SA"/>
                </w:rPr>
                <w:t>Проекте договора (Приложение № 2)</w:t>
              </w:r>
            </w:hyperlink>
          </w:p>
          <w:p>
            <w:pPr>
              <w:pStyle w:val="Style31"/>
              <w:widowControl w:val="false"/>
              <w:suppressAutoHyphens w:val="true"/>
              <w:spacing w:before="60" w:after="60"/>
              <w:rPr>
                <w:rFonts w:eastAsia="Calibri"/>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6" w:type="dxa"/>
            <w:tcBorders/>
          </w:tcPr>
          <w:p>
            <w:pPr>
              <w:pStyle w:val="Style31"/>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4"/>
                  <w:rFonts w:eastAsia="Calibri" w:cs=""/>
                  <w:kern w:val="0"/>
                  <w:sz w:val="26"/>
                  <w:szCs w:val="22"/>
                  <w:lang w:val="ru-RU" w:eastAsia="en-US" w:bidi="ar-SA"/>
                </w:rPr>
                <w:t>Приложение № 2</w:t>
              </w:r>
            </w:hyperlink>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1"/>
              <w:widowControl w:val="false"/>
              <w:suppressAutoHyphens w:val="true"/>
              <w:spacing w:before="60" w:after="60"/>
              <w:rPr>
                <w:rFonts w:eastAsia="Calibri"/>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6" w:type="dxa"/>
            <w:tcBorders/>
          </w:tcPr>
          <w:p>
            <w:pPr>
              <w:pStyle w:val="Style31"/>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r>
        <w:trPr/>
        <w:tc>
          <w:tcPr>
            <w:tcW w:w="9919" w:type="dxa"/>
            <w:gridSpan w:val="2"/>
            <w:tcBorders/>
          </w:tcPr>
          <w:p>
            <w:pPr>
              <w:pStyle w:val="Style31"/>
              <w:keepNext w:val="true"/>
              <w:widowControl w:val="false"/>
              <w:suppressAutoHyphens w:val="true"/>
              <w:spacing w:before="60" w:after="60"/>
              <w:rPr>
                <w:rFonts w:eastAsia="Calibri"/>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6" w:type="dxa"/>
            <w:tcBorders/>
          </w:tcPr>
          <w:p>
            <w:pPr>
              <w:pStyle w:val="Style31"/>
              <w:widowControl w:val="false"/>
              <w:suppressAutoHyphens w:val="true"/>
              <w:spacing w:before="60" w:after="60"/>
              <w:jc w:val="center"/>
              <w:rPr>
                <w:rFonts w:eastAsia="Calibri"/>
              </w:rPr>
            </w:pPr>
            <w:r>
              <w:rPr>
                <w:rFonts w:eastAsia="Calibri" w:cs=""/>
                <w:b/>
                <w:bCs/>
                <w:kern w:val="0"/>
                <w:sz w:val="26"/>
                <w:szCs w:val="22"/>
                <w:lang w:val="ru-RU" w:eastAsia="en-US" w:bidi="ar-SA"/>
              </w:rPr>
              <w:t>–</w:t>
            </w:r>
          </w:p>
        </w:tc>
        <w:tc>
          <w:tcPr>
            <w:tcW w:w="2090" w:type="dxa"/>
            <w:tcBorders/>
          </w:tcPr>
          <w:p>
            <w:pPr>
              <w:pStyle w:val="Style31"/>
              <w:widowControl w:val="false"/>
              <w:suppressAutoHyphens w:val="true"/>
              <w:spacing w:before="60" w:after="60"/>
              <w:jc w:val="center"/>
              <w:rPr>
                <w:rFonts w:eastAsia="Calibri"/>
              </w:rPr>
            </w:pPr>
            <w:r>
              <w:rPr>
                <w:rFonts w:eastAsia="Calibri" w:cs=""/>
                <w:b/>
                <w:bCs/>
                <w:kern w:val="0"/>
                <w:sz w:val="26"/>
                <w:szCs w:val="22"/>
                <w:lang w:val="ru-RU" w:eastAsia="en-US" w:bidi="ar-SA"/>
              </w:rPr>
              <w:t>–</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6"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1"/>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4"/>
                  <w:rFonts w:eastAsia="Calibri" w:cs=""/>
                  <w:kern w:val="0"/>
                  <w:sz w:val="26"/>
                  <w:szCs w:val="22"/>
                  <w:lang w:val="ru-RU" w:eastAsia="en-US" w:bidi="ar-SA"/>
                </w:rPr>
                <w:t>Приложение № 4</w:t>
              </w:r>
            </w:hyperlink>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Цена</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1"/>
              <w:widowControl w:val="false"/>
              <w:suppressAutoHyphens w:val="true"/>
              <w:spacing w:before="60" w:after="60"/>
              <w:rPr>
                <w:rFonts w:eastAsia="Calibri"/>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_Ref186217606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6" w:type="dxa"/>
            <w:tcBorders/>
          </w:tcPr>
          <w:p>
            <w:pPr>
              <w:pStyle w:val="Style31"/>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_Ref186217606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4_ФормыЗаявки">
              <w:r>
                <w:rPr>
                  <w:rStyle w:val="Style14"/>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r>
        <w:trPr/>
        <w:tc>
          <w:tcPr>
            <w:tcW w:w="1411" w:type="dxa"/>
            <w:tcBorders/>
          </w:tcPr>
          <w:p>
            <w:pPr>
              <w:pStyle w:val="Style31"/>
              <w:widowControl w:val="false"/>
              <w:numPr>
                <w:ilvl w:val="0"/>
                <w:numId w:val="7"/>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 xml:space="preserve">Коммерческому приложению, требованиям, указанным в </w:t>
            </w:r>
            <w:hyperlink w:anchor="Прил01_ТехТребования">
              <w:r>
                <w:rPr>
                  <w:rStyle w:val="Style14"/>
                  <w:rFonts w:eastAsia="Calibri" w:cs=""/>
                  <w:kern w:val="0"/>
                  <w:sz w:val="26"/>
                  <w:szCs w:val="22"/>
                  <w:lang w:val="ru-RU" w:eastAsia="en-US" w:bidi="ar-SA"/>
                </w:rPr>
                <w:t>Технических требованиях (Приложение № 1)</w:t>
              </w:r>
            </w:hyperlink>
          </w:p>
          <w:p>
            <w:pPr>
              <w:pStyle w:val="Style31"/>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4"/>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6" w:type="dxa"/>
            <w:tcBorders/>
          </w:tcPr>
          <w:p>
            <w:pPr>
              <w:pStyle w:val="Style31"/>
              <w:widowControl w:val="false"/>
              <w:suppressAutoHyphens w:val="true"/>
              <w:spacing w:before="60" w:after="60"/>
              <w:jc w:val="center"/>
              <w:rPr/>
            </w:pPr>
            <w:hyperlink w:anchor="Прил01_ТехТребования">
              <w:r>
                <w:rPr>
                  <w:rStyle w:val="Style14"/>
                  <w:rFonts w:eastAsia="Calibri" w:cs=""/>
                  <w:kern w:val="0"/>
                  <w:sz w:val="26"/>
                  <w:szCs w:val="22"/>
                  <w:lang w:val="ru-RU" w:eastAsia="en-US" w:bidi="ar-SA"/>
                </w:rPr>
                <w:t>Приложение № 1</w:t>
              </w:r>
            </w:hyperlink>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Цена</w:t>
            </w:r>
          </w:p>
        </w:tc>
      </w:tr>
    </w:tbl>
    <w:p>
      <w:pPr>
        <w:pStyle w:val="Style26"/>
        <w:rPr>
          <w:rStyle w:val="Style11"/>
          <w:i w:val="false"/>
          <w:i w:val="false"/>
          <w:iCs w:val="false"/>
          <w:shd w:fill="auto" w:val="clear"/>
        </w:rPr>
      </w:pPr>
      <w:bookmarkStart w:id="391" w:name="_Toc228976384"/>
      <w:r>
        <w:rPr>
          <w:rStyle w:val="Style11"/>
          <w:i w:val="false"/>
          <w:iCs w:val="false"/>
          <w:shd w:fill="auto" w:val="clear"/>
        </w:rPr>
        <w:t>Дополнительные критерии проверки заявок на соответствие условиям Документации о закупке</w:t>
      </w:r>
      <w:bookmarkEnd w:id="391"/>
    </w:p>
    <w:p>
      <w:pPr>
        <w:pStyle w:val="Style31"/>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fe"/>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1"/>
        <w:gridCol w:w="8508"/>
        <w:gridCol w:w="3116"/>
        <w:gridCol w:w="2090"/>
      </w:tblGrid>
      <w:tr>
        <w:trPr>
          <w:cnfStyle w:val="100000000000" w:firstRow="1" w:lastRow="0" w:firstColumn="0" w:lastColumn="0" w:oddVBand="0" w:evenVBand="0" w:oddHBand="0" w:evenHBand="0" w:firstRowFirstColumn="0" w:firstRowLastColumn="0" w:lastRowFirstColumn="0" w:lastRowLastColumn="0"/>
        </w:trPr>
        <w:tc>
          <w:tcPr>
            <w:tcW w:w="1411" w:type="dxa"/>
            <w:tcBorders/>
          </w:tcPr>
          <w:p>
            <w:pPr>
              <w:pStyle w:val="Style31"/>
              <w:keepNext w:val="true"/>
              <w:widowControl w:val="false"/>
              <w:suppressAutoHyphens w:val="true"/>
              <w:spacing w:before="60" w:after="60"/>
              <w:jc w:val="center"/>
              <w:rPr>
                <w:rFonts w:eastAsia="Calibri"/>
              </w:rPr>
            </w:pPr>
            <w:r>
              <w:rPr>
                <w:rFonts w:eastAsia="Calibri" w:cs=""/>
                <w:b/>
                <w:kern w:val="0"/>
                <w:sz w:val="26"/>
                <w:szCs w:val="22"/>
                <w:lang w:val="ru-RU" w:eastAsia="en-US" w:bidi="ar-SA"/>
              </w:rPr>
              <w:t>Номер</w:t>
              <w:br/>
              <w:t>критерия</w:t>
            </w:r>
          </w:p>
        </w:tc>
        <w:tc>
          <w:tcPr>
            <w:tcW w:w="8508" w:type="dxa"/>
            <w:tcBorders/>
          </w:tcPr>
          <w:p>
            <w:pPr>
              <w:pStyle w:val="Style31"/>
              <w:keepNext w:val="true"/>
              <w:widowControl w:val="false"/>
              <w:suppressAutoHyphens w:val="true"/>
              <w:spacing w:before="60" w:after="60"/>
              <w:jc w:val="center"/>
              <w:rPr>
                <w:rFonts w:eastAsia="Calibri"/>
              </w:rPr>
            </w:pPr>
            <w:r>
              <w:rPr>
                <w:rFonts w:eastAsia="Calibri" w:cs=""/>
                <w:b/>
                <w:kern w:val="0"/>
                <w:sz w:val="26"/>
                <w:szCs w:val="22"/>
                <w:lang w:val="ru-RU" w:eastAsia="en-US" w:bidi="ar-SA"/>
              </w:rPr>
              <w:t>Наименование</w:t>
              <w:br/>
              <w:t>критерия проверки</w:t>
            </w:r>
          </w:p>
        </w:tc>
        <w:tc>
          <w:tcPr>
            <w:tcW w:w="3116" w:type="dxa"/>
            <w:tcBorders/>
          </w:tcPr>
          <w:p>
            <w:pPr>
              <w:pStyle w:val="Style31"/>
              <w:keepNext w:val="true"/>
              <w:widowControl w:val="false"/>
              <w:suppressAutoHyphens w:val="true"/>
              <w:spacing w:before="60" w:after="60"/>
              <w:jc w:val="center"/>
              <w:rPr>
                <w:rFonts w:eastAsia="Calibri"/>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1"/>
              <w:keepNext w:val="true"/>
              <w:widowControl w:val="false"/>
              <w:suppressAutoHyphens w:val="true"/>
              <w:spacing w:before="60" w:after="60"/>
              <w:jc w:val="center"/>
              <w:rPr>
                <w:rFonts w:eastAsia="Calibri"/>
              </w:rPr>
            </w:pPr>
            <w:r>
              <w:rPr>
                <w:rFonts w:eastAsia="Calibri" w:cs=""/>
                <w:b/>
                <w:kern w:val="0"/>
                <w:sz w:val="26"/>
                <w:szCs w:val="22"/>
                <w:lang w:val="ru-RU" w:eastAsia="en-US" w:bidi="ar-SA"/>
              </w:rPr>
              <w:t>Направления</w:t>
              <w:br/>
              <w:t>оценки заявок*</w:t>
            </w:r>
          </w:p>
        </w:tc>
      </w:tr>
      <w:tr>
        <w:trPr/>
        <w:tc>
          <w:tcPr>
            <w:tcW w:w="1411" w:type="dxa"/>
            <w:tcBorders/>
          </w:tcPr>
          <w:p>
            <w:pPr>
              <w:pStyle w:val="Style31"/>
              <w:widowControl w:val="false"/>
              <w:numPr>
                <w:ilvl w:val="0"/>
                <w:numId w:val="12"/>
              </w:numPr>
              <w:suppressAutoHyphens w:val="true"/>
              <w:spacing w:before="60" w:after="60"/>
              <w:ind w:hanging="0" w:left="170"/>
              <w:jc w:val="center"/>
              <w:rPr>
                <w:rFonts w:eastAsia="Calibri"/>
              </w:rPr>
            </w:pPr>
            <w:r>
              <w:rPr>
                <w:rFonts w:eastAsia="Calibri"/>
              </w:rPr>
            </w:r>
          </w:p>
        </w:tc>
        <w:tc>
          <w:tcPr>
            <w:tcW w:w="8508" w:type="dxa"/>
            <w:tcBorders/>
          </w:tcPr>
          <w:p>
            <w:pPr>
              <w:pStyle w:val="Style31"/>
              <w:widowControl w:val="false"/>
              <w:suppressAutoHyphens w:val="true"/>
              <w:spacing w:before="60" w:after="60"/>
              <w:rPr>
                <w:rFonts w:eastAsia="Calibri"/>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1"/>
              <w:widowControl w:val="false"/>
              <w:suppressAutoHyphens w:val="true"/>
              <w:spacing w:before="60" w:after="60"/>
              <w:rPr>
                <w:rFonts w:eastAsia="Calibri"/>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_Ref186217606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4.13</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6"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_Ref132894106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4.13</w:t>
            </w:r>
            <w:r>
              <w:rPr>
                <w:sz w:val="26"/>
                <w:kern w:val="0"/>
                <w:szCs w:val="22"/>
                <w:rFonts w:eastAsia="Calibri" w:cs=""/>
                <w:lang w:val="ru-RU" w:eastAsia="en-US" w:bidi="ar-SA"/>
              </w:rPr>
              <w:fldChar w:fldCharType="end"/>
            </w:r>
          </w:p>
        </w:tc>
        <w:tc>
          <w:tcPr>
            <w:tcW w:w="2090" w:type="dxa"/>
            <w:tcBorders/>
          </w:tcPr>
          <w:p>
            <w:pPr>
              <w:pStyle w:val="Style31"/>
              <w:widowControl w:val="false"/>
              <w:suppressAutoHyphens w:val="true"/>
              <w:spacing w:before="60" w:after="60"/>
              <w:jc w:val="center"/>
              <w:rPr>
                <w:rFonts w:eastAsia="Calibri"/>
              </w:rPr>
            </w:pPr>
            <w:r>
              <w:rPr>
                <w:rFonts w:eastAsia="Calibri" w:cs=""/>
                <w:kern w:val="0"/>
                <w:sz w:val="26"/>
                <w:szCs w:val="22"/>
                <w:lang w:val="ru-RU" w:eastAsia="en-US" w:bidi="ar-SA"/>
              </w:rPr>
              <w:t>Тех</w:t>
            </w:r>
          </w:p>
        </w:tc>
      </w:tr>
    </w:tbl>
    <w:p>
      <w:pPr>
        <w:pStyle w:val="Style31"/>
        <w:keepNext w:val="true"/>
        <w:tabs>
          <w:tab w:val="clear" w:pos="708"/>
          <w:tab w:val="left" w:pos="851" w:leader="none"/>
        </w:tabs>
        <w:spacing w:before="240" w:after="0"/>
        <w:rPr>
          <w:b/>
          <w:bCs/>
        </w:rPr>
      </w:pPr>
      <w:r>
        <w:rPr>
          <w:b/>
          <w:bCs/>
        </w:rPr>
        <w:t>* Направления оценки заявок:</w:t>
      </w:r>
    </w:p>
    <w:p>
      <w:pPr>
        <w:pStyle w:val="Style31"/>
        <w:tabs>
          <w:tab w:val="clear" w:pos="708"/>
          <w:tab w:val="left" w:pos="1134" w:leader="none"/>
        </w:tabs>
        <w:ind w:hanging="1701" w:left="1701"/>
        <w:rPr/>
      </w:pPr>
      <w:r>
        <w:rPr>
          <w:b/>
          <w:bCs/>
        </w:rPr>
        <w:t>Орг</w:t>
      </w:r>
      <w:r>
        <w:rPr/>
        <w:tab/>
        <w:t>–</w:t>
        <w:tab/>
      </w:r>
      <w:bookmarkStart w:id="392" w:name="_Hlk138342484"/>
      <w:r>
        <w:rPr/>
        <w:t>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w:t>
      </w:r>
      <w:bookmarkEnd w:id="392"/>
      <w:r>
        <w:rPr/>
        <w:t xml:space="preserve">; </w:t>
      </w:r>
      <w:bookmarkStart w:id="393" w:name="_Hlk138342546"/>
      <w:r>
        <w:rPr/>
        <w:t xml:space="preserve">наличия обеспечения обязательств Участника, связанного с подачей заявки, в виде банковской гарантии (в том числе наличие сведений о ней в соответствующем реестре в ЕИС)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w:t>
      </w:r>
      <w:bookmarkEnd w:id="393"/>
      <w:r>
        <w:rPr/>
        <w:t>,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p>
    <w:p>
      <w:pPr>
        <w:pStyle w:val="Style31"/>
        <w:tabs>
          <w:tab w:val="clear" w:pos="708"/>
          <w:tab w:val="left" w:pos="1134" w:leader="none"/>
        </w:tabs>
        <w:ind w:hanging="1701" w:left="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94" w:name="_Hlk207284070"/>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94"/>
      <w:r>
        <w:rPr/>
        <w:t xml:space="preserve">; оценка Технических предложений и сведений, подтверждающих соответствия Участника квалификационным и специальным требованиям; </w:t>
      </w:r>
      <w:bookmarkStart w:id="395" w:name="_Hlk138342998"/>
      <w:r>
        <w:rPr/>
        <w:t>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bookmarkEnd w:id="395"/>
      <w:r>
        <w:rPr/>
        <w:t>;</w:t>
      </w:r>
    </w:p>
    <w:p>
      <w:pPr>
        <w:pStyle w:val="Style31"/>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1"/>
        <w:keepNext w:val="true"/>
        <w:tabs>
          <w:tab w:val="clear" w:pos="708"/>
          <w:tab w:val="left" w:pos="1134" w:leader="none"/>
        </w:tabs>
        <w:ind w:hanging="1701" w:left="1701"/>
        <w:rPr/>
      </w:pPr>
      <w:r>
        <w:rPr>
          <w:b/>
          <w:bCs/>
        </w:rPr>
        <w:t>Цена</w:t>
      </w:r>
      <w:r>
        <w:rPr/>
        <w:tab/>
        <w:t>–</w:t>
        <w:tab/>
      </w:r>
      <w:bookmarkStart w:id="396" w:name="_Hlk207643647"/>
      <w:r>
        <w:rPr/>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w:t>
      </w:r>
      <w:bookmarkEnd w:id="396"/>
      <w:r>
        <w:rPr/>
        <w:t xml:space="preserve"> непревышения ценового предложения участника установленного размера НМЦ;</w:t>
      </w:r>
    </w:p>
    <w:p>
      <w:pPr>
        <w:pStyle w:val="Style31"/>
        <w:tabs>
          <w:tab w:val="clear" w:pos="708"/>
          <w:tab w:val="left" w:pos="1134" w:leader="none"/>
        </w:tabs>
        <w:ind w:hanging="1701" w:left="1701"/>
        <w:rPr/>
      </w:pPr>
      <w:r>
        <w:rPr>
          <w:b/>
          <w:bCs/>
        </w:rPr>
        <w:t>Фин</w:t>
      </w:r>
      <w:r>
        <w:rPr/>
        <w:tab/>
        <w:t>–</w:t>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банковской гарантии)</w:t>
      </w:r>
      <w:r>
        <w:rPr/>
        <w:t>.</w:t>
      </w:r>
    </w:p>
    <w:p>
      <w:pPr>
        <w:sectPr>
          <w:headerReference w:type="default" r:id="rId31"/>
          <w:headerReference w:type="first" r:id="rId32"/>
          <w:footerReference w:type="default" r:id="rId33"/>
          <w:footerReference w:type="first" r:id="rId34"/>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31"/>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5"/>
        <w:rPr/>
      </w:pPr>
      <w:bookmarkStart w:id="397" w:name="_Ref125361648"/>
      <w:bookmarkStart w:id="398" w:name="_Ref125361951"/>
      <w:bookmarkStart w:id="399" w:name="_Ref125366013"/>
      <w:bookmarkStart w:id="400" w:name="_Ref125366280"/>
      <w:bookmarkStart w:id="401" w:name="_Ref125366285"/>
      <w:bookmarkStart w:id="402" w:name="_Ref125368140"/>
      <w:bookmarkStart w:id="403" w:name="_Ref125368150"/>
      <w:bookmarkStart w:id="404" w:name="_Ref125368165"/>
      <w:bookmarkStart w:id="405" w:name="_Ref125368172"/>
      <w:bookmarkStart w:id="406" w:name="_Ref125368184"/>
      <w:bookmarkStart w:id="407" w:name="_Ref125368283"/>
      <w:bookmarkStart w:id="408" w:name="_Ref125368291"/>
      <w:bookmarkStart w:id="409" w:name="_Ref125368302"/>
      <w:bookmarkStart w:id="410" w:name="_Ref125368313"/>
      <w:bookmarkStart w:id="411" w:name="_Ref125368331"/>
      <w:bookmarkStart w:id="412" w:name="_Ref125369021"/>
      <w:bookmarkStart w:id="413" w:name="_Ref125369438"/>
      <w:bookmarkStart w:id="414" w:name="_Toc228976385"/>
      <w:bookmarkStart w:id="415" w:name="Прил08_ПорядокОценки"/>
      <w:bookmarkEnd w:id="415"/>
      <w:r>
        <w:rPr/>
        <w:t>Приложение № 8 – Порядок и критерии оценки и сопоставления заявок</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Style26"/>
        <w:rPr/>
      </w:pPr>
      <w:bookmarkStart w:id="416" w:name="_Toc228976386"/>
      <w:r>
        <w:rPr/>
        <w:t>Порядок и критерии оценки и сопоставления заявок</w:t>
      </w:r>
      <w:bookmarkEnd w:id="416"/>
    </w:p>
    <w:p>
      <w:pPr>
        <w:pStyle w:val="Style27"/>
        <w:rPr/>
      </w:pPr>
      <w:r>
        <w:rPr/>
        <w:t>Расчет итоговой оценки предпочтительности каждой заявки, успешно прошедшей отборочную стадию (подраздел </w:t>
      </w:r>
      <w:r>
        <w:rPr/>
        <w:fldChar w:fldCharType="begin"/>
      </w:r>
      <w:r>
        <w:rPr/>
        <w:instrText xml:space="preserve"> REF _Ref125362364 \w \h </w:instrText>
      </w:r>
      <w:r>
        <w:rPr/>
        <w:fldChar w:fldCharType="separate"/>
      </w:r>
      <w:r>
        <w:rPr/>
        <w:t>4.9</w:t>
      </w:r>
      <w:r>
        <w:rPr/>
        <w:fldChar w:fldCharType="end"/>
      </w:r>
      <w:r>
        <w:rPr/>
        <w:t>), осуществляется по следующим критериям оценки и в соответствии со следующим порядком оценки предпочтительности и сопоставления заявок:</w:t>
      </w:r>
    </w:p>
    <w:tbl>
      <w:tblPr>
        <w:tblStyle w:val="affe"/>
        <w:tblW w:w="15135" w:type="dxa"/>
        <w:jc w:val="left"/>
        <w:tblInd w:w="-1" w:type="dxa"/>
        <w:tblLayout w:type="fixed"/>
        <w:tblCellMar>
          <w:top w:w="0" w:type="dxa"/>
          <w:left w:w="57" w:type="dxa"/>
          <w:bottom w:w="0" w:type="dxa"/>
          <w:right w:w="57" w:type="dxa"/>
        </w:tblCellMar>
        <w:tblLook w:val="04a0" w:noHBand="0" w:noVBand="1" w:firstColumn="1" w:lastRow="0" w:lastColumn="0" w:firstRow="1"/>
      </w:tblPr>
      <w:tblGrid>
        <w:gridCol w:w="1200"/>
        <w:gridCol w:w="1530"/>
        <w:gridCol w:w="1409"/>
        <w:gridCol w:w="1426"/>
        <w:gridCol w:w="1530"/>
        <w:gridCol w:w="1634"/>
        <w:gridCol w:w="6405"/>
      </w:tblGrid>
      <w:tr>
        <w:trPr>
          <w:cnfStyle w:val="100000000000" w:firstRow="1" w:lastRow="0" w:firstColumn="0" w:lastColumn="0" w:oddVBand="0" w:evenVBand="0" w:oddHBand="0" w:evenHBand="0" w:firstRowFirstColumn="0" w:firstRowLastColumn="0" w:lastRowFirstColumn="0" w:lastRowLastColumn="0"/>
        </w:trPr>
        <w:tc>
          <w:tcPr>
            <w:tcW w:w="1200" w:type="dxa"/>
            <w:vMerge w:val="restart"/>
            <w:tcBorders/>
          </w:tcPr>
          <w:p>
            <w:pPr>
              <w:pStyle w:val="Style31"/>
              <w:keepNext w:val="true"/>
              <w:widowControl w:val="false"/>
              <w:suppressAutoHyphens w:val="true"/>
              <w:spacing w:before="40" w:after="40"/>
              <w:jc w:val="center"/>
              <w:rPr>
                <w:sz w:val="18"/>
                <w:szCs w:val="18"/>
              </w:rPr>
            </w:pPr>
            <w:r>
              <w:rPr>
                <w:rFonts w:eastAsia="Calibri" w:cs=""/>
                <w:b/>
                <w:kern w:val="0"/>
                <w:sz w:val="18"/>
                <w:szCs w:val="18"/>
                <w:lang w:val="ru-RU" w:eastAsia="en-US" w:bidi="ar-SA"/>
              </w:rPr>
              <w:t>Номер критерия оценки в</w:t>
            </w:r>
            <w:r>
              <w:rPr>
                <w:rFonts w:eastAsia="Calibri" w:cs=""/>
                <w:b/>
                <w:kern w:val="0"/>
                <w:sz w:val="18"/>
                <w:szCs w:val="18"/>
                <w:lang w:val="en-US" w:eastAsia="en-US" w:bidi="ar-SA"/>
              </w:rPr>
              <w:t> </w:t>
            </w:r>
            <w:r>
              <w:rPr>
                <w:rFonts w:eastAsia="Calibri" w:cs=""/>
                <w:b/>
                <w:kern w:val="0"/>
                <w:sz w:val="18"/>
                <w:szCs w:val="18"/>
                <w:lang w:val="ru-RU" w:eastAsia="en-US" w:bidi="ar-SA"/>
              </w:rPr>
              <w:t>структуре</w:t>
            </w:r>
          </w:p>
        </w:tc>
        <w:tc>
          <w:tcPr>
            <w:tcW w:w="1530" w:type="dxa"/>
            <w:vMerge w:val="restart"/>
            <w:tcBorders/>
          </w:tcPr>
          <w:p>
            <w:pPr>
              <w:pStyle w:val="Style31"/>
              <w:keepNext w:val="true"/>
              <w:widowControl w:val="false"/>
              <w:suppressAutoHyphens w:val="true"/>
              <w:spacing w:before="40" w:after="40"/>
              <w:jc w:val="center"/>
              <w:rPr>
                <w:sz w:val="18"/>
                <w:szCs w:val="18"/>
              </w:rPr>
            </w:pPr>
            <w:r>
              <w:rPr>
                <w:rFonts w:eastAsia="Calibri" w:cs=""/>
                <w:b/>
                <w:kern w:val="0"/>
                <w:sz w:val="18"/>
                <w:szCs w:val="18"/>
                <w:lang w:val="ru-RU" w:eastAsia="en-US" w:bidi="ar-SA"/>
              </w:rPr>
              <w:t>Вид критерия оценки / направление оценки заявок</w:t>
            </w:r>
          </w:p>
        </w:tc>
        <w:tc>
          <w:tcPr>
            <w:tcW w:w="2835" w:type="dxa"/>
            <w:gridSpan w:val="2"/>
            <w:tcBorders/>
          </w:tcPr>
          <w:p>
            <w:pPr>
              <w:pStyle w:val="Style31"/>
              <w:keepNext w:val="true"/>
              <w:widowControl w:val="false"/>
              <w:suppressAutoHyphens w:val="true"/>
              <w:spacing w:before="40" w:after="40"/>
              <w:jc w:val="center"/>
              <w:rPr>
                <w:sz w:val="18"/>
                <w:szCs w:val="18"/>
              </w:rPr>
            </w:pPr>
            <w:r>
              <w:rPr>
                <w:rFonts w:eastAsia="Calibri" w:cs=""/>
                <w:b/>
                <w:kern w:val="0"/>
                <w:sz w:val="18"/>
                <w:szCs w:val="18"/>
                <w:lang w:val="ru-RU" w:eastAsia="en-US" w:bidi="ar-SA"/>
              </w:rPr>
              <w:t>Наименование критерия оценки</w:t>
            </w:r>
          </w:p>
        </w:tc>
        <w:tc>
          <w:tcPr>
            <w:tcW w:w="1530" w:type="dxa"/>
            <w:vMerge w:val="restart"/>
            <w:tcBorders/>
          </w:tcPr>
          <w:p>
            <w:pPr>
              <w:pStyle w:val="Style31"/>
              <w:keepNext w:val="true"/>
              <w:widowControl w:val="false"/>
              <w:suppressAutoHyphens w:val="true"/>
              <w:spacing w:before="40" w:after="40"/>
              <w:jc w:val="center"/>
              <w:rPr>
                <w:sz w:val="18"/>
                <w:szCs w:val="18"/>
              </w:rPr>
            </w:pPr>
            <w:r>
              <w:rPr>
                <w:rFonts w:eastAsia="Calibri" w:cs=""/>
                <w:b/>
                <w:kern w:val="0"/>
                <w:sz w:val="18"/>
                <w:szCs w:val="18"/>
                <w:lang w:val="ru-RU" w:eastAsia="en-US" w:bidi="ar-SA"/>
              </w:rPr>
              <w:t>Значимость</w:t>
              <w:br/>
              <w:t>критерия оценки</w:t>
            </w:r>
          </w:p>
        </w:tc>
        <w:tc>
          <w:tcPr>
            <w:tcW w:w="1634" w:type="dxa"/>
            <w:vMerge w:val="restart"/>
            <w:tcBorders/>
          </w:tcPr>
          <w:p>
            <w:pPr>
              <w:pStyle w:val="Style31"/>
              <w:keepNext w:val="true"/>
              <w:widowControl w:val="false"/>
              <w:suppressAutoHyphens w:val="true"/>
              <w:spacing w:before="40" w:after="40"/>
              <w:jc w:val="center"/>
              <w:rPr>
                <w:sz w:val="18"/>
                <w:szCs w:val="18"/>
              </w:rPr>
            </w:pPr>
            <w:r>
              <w:rPr>
                <w:rFonts w:eastAsia="Calibri" w:cs=""/>
                <w:b/>
                <w:kern w:val="0"/>
                <w:sz w:val="18"/>
                <w:szCs w:val="18"/>
                <w:lang w:val="ru-RU" w:eastAsia="en-US" w:bidi="ar-SA"/>
              </w:rPr>
              <w:t>Содержание частного критерия оценки</w:t>
            </w:r>
          </w:p>
        </w:tc>
        <w:tc>
          <w:tcPr>
            <w:tcW w:w="6405" w:type="dxa"/>
            <w:vMerge w:val="restart"/>
            <w:tcBorders/>
          </w:tcPr>
          <w:p>
            <w:pPr>
              <w:pStyle w:val="Style31"/>
              <w:keepNext w:val="true"/>
              <w:widowControl w:val="false"/>
              <w:suppressAutoHyphens w:val="true"/>
              <w:spacing w:before="40" w:after="40"/>
              <w:jc w:val="center"/>
              <w:rPr>
                <w:sz w:val="18"/>
                <w:szCs w:val="18"/>
              </w:rPr>
            </w:pPr>
            <w:r>
              <w:rPr>
                <w:rFonts w:eastAsia="Calibri" w:cs=""/>
                <w:b/>
                <w:kern w:val="0"/>
                <w:sz w:val="18"/>
                <w:szCs w:val="18"/>
                <w:lang w:val="ru-RU" w:eastAsia="en-US" w:bidi="ar-SA"/>
              </w:rPr>
              <w:t>Расчет оценки предпочтительности заявки</w:t>
            </w:r>
          </w:p>
        </w:tc>
      </w:tr>
      <w:tr>
        <w:trPr/>
        <w:tc>
          <w:tcPr>
            <w:tcW w:w="1200" w:type="dxa"/>
            <w:vMerge w:val="continue"/>
            <w:tcBorders/>
          </w:tcPr>
          <w:p>
            <w:pPr>
              <w:pStyle w:val="Style31"/>
              <w:widowControl w:val="false"/>
              <w:suppressAutoHyphens w:val="true"/>
              <w:spacing w:before="40" w:after="40"/>
              <w:jc w:val="center"/>
              <w:rPr>
                <w:sz w:val="18"/>
                <w:szCs w:val="18"/>
              </w:rPr>
            </w:pPr>
            <w:r>
              <w:rPr>
                <w:sz w:val="18"/>
                <w:szCs w:val="18"/>
              </w:rPr>
            </w:r>
          </w:p>
        </w:tc>
        <w:tc>
          <w:tcPr>
            <w:tcW w:w="1530" w:type="dxa"/>
            <w:vMerge w:val="continue"/>
            <w:tcBorders/>
          </w:tcPr>
          <w:p>
            <w:pPr>
              <w:pStyle w:val="Style31"/>
              <w:widowControl w:val="false"/>
              <w:suppressAutoHyphens w:val="true"/>
              <w:spacing w:before="40" w:after="40"/>
              <w:jc w:val="center"/>
              <w:rPr>
                <w:sz w:val="18"/>
                <w:szCs w:val="18"/>
              </w:rPr>
            </w:pPr>
            <w:r>
              <w:rPr>
                <w:sz w:val="18"/>
                <w:szCs w:val="18"/>
              </w:rPr>
            </w:r>
          </w:p>
        </w:tc>
        <w:tc>
          <w:tcPr>
            <w:tcW w:w="1409" w:type="dxa"/>
            <w:tcBorders/>
          </w:tcPr>
          <w:p>
            <w:pPr>
              <w:pStyle w:val="Style31"/>
              <w:widowControl w:val="false"/>
              <w:suppressAutoHyphens w:val="true"/>
              <w:spacing w:before="40" w:after="40"/>
              <w:jc w:val="center"/>
              <w:rPr>
                <w:b/>
                <w:bCs/>
                <w:sz w:val="18"/>
                <w:szCs w:val="18"/>
              </w:rPr>
            </w:pPr>
            <w:r>
              <w:rPr>
                <w:rFonts w:eastAsia="Calibri" w:cs=""/>
                <w:b/>
                <w:bCs/>
                <w:kern w:val="0"/>
                <w:sz w:val="18"/>
                <w:szCs w:val="18"/>
                <w:lang w:val="ru-RU" w:eastAsia="en-US" w:bidi="ar-SA"/>
              </w:rPr>
              <w:t>критерий оценки первого уровня</w:t>
            </w:r>
          </w:p>
        </w:tc>
        <w:tc>
          <w:tcPr>
            <w:tcW w:w="1426" w:type="dxa"/>
            <w:tcBorders/>
          </w:tcPr>
          <w:p>
            <w:pPr>
              <w:pStyle w:val="Style31"/>
              <w:widowControl w:val="false"/>
              <w:suppressAutoHyphens w:val="true"/>
              <w:spacing w:before="40" w:after="40"/>
              <w:jc w:val="center"/>
              <w:rPr>
                <w:b/>
                <w:bCs/>
                <w:sz w:val="18"/>
                <w:szCs w:val="18"/>
              </w:rPr>
            </w:pPr>
            <w:r>
              <w:rPr>
                <w:rFonts w:eastAsia="Calibri" w:cs=""/>
                <w:b/>
                <w:bCs/>
                <w:kern w:val="0"/>
                <w:sz w:val="18"/>
                <w:szCs w:val="18"/>
                <w:lang w:val="ru-RU" w:eastAsia="en-US" w:bidi="ar-SA"/>
              </w:rPr>
              <w:t>критерий оценки второго уровня</w:t>
            </w:r>
          </w:p>
        </w:tc>
        <w:tc>
          <w:tcPr>
            <w:tcW w:w="1530" w:type="dxa"/>
            <w:vMerge w:val="continue"/>
            <w:tcBorders/>
          </w:tcPr>
          <w:p>
            <w:pPr>
              <w:pStyle w:val="Style31"/>
              <w:widowControl w:val="false"/>
              <w:suppressAutoHyphens w:val="true"/>
              <w:spacing w:before="40" w:after="40"/>
              <w:jc w:val="center"/>
              <w:rPr>
                <w:sz w:val="18"/>
                <w:szCs w:val="18"/>
              </w:rPr>
            </w:pPr>
            <w:r>
              <w:rPr>
                <w:sz w:val="18"/>
                <w:szCs w:val="18"/>
              </w:rPr>
            </w:r>
          </w:p>
        </w:tc>
        <w:tc>
          <w:tcPr>
            <w:tcW w:w="1634" w:type="dxa"/>
            <w:vMerge w:val="continue"/>
            <w:tcBorders/>
          </w:tcPr>
          <w:p>
            <w:pPr>
              <w:pStyle w:val="Style31"/>
              <w:widowControl w:val="false"/>
              <w:suppressAutoHyphens w:val="true"/>
              <w:spacing w:before="40" w:after="40"/>
              <w:jc w:val="center"/>
              <w:rPr>
                <w:sz w:val="18"/>
                <w:szCs w:val="18"/>
              </w:rPr>
            </w:pPr>
            <w:r>
              <w:rPr>
                <w:sz w:val="18"/>
                <w:szCs w:val="18"/>
              </w:rPr>
            </w:r>
          </w:p>
        </w:tc>
        <w:tc>
          <w:tcPr>
            <w:tcW w:w="6405" w:type="dxa"/>
            <w:vMerge w:val="continue"/>
            <w:tcBorders/>
          </w:tcPr>
          <w:p>
            <w:pPr>
              <w:pStyle w:val="Style31"/>
              <w:widowControl w:val="false"/>
              <w:suppressAutoHyphens w:val="true"/>
              <w:spacing w:before="40" w:after="40"/>
              <w:jc w:val="center"/>
              <w:rPr>
                <w:sz w:val="18"/>
                <w:szCs w:val="18"/>
              </w:rPr>
            </w:pPr>
            <w:r>
              <w:rPr>
                <w:sz w:val="18"/>
                <w:szCs w:val="18"/>
              </w:rPr>
            </w:r>
          </w:p>
        </w:tc>
      </w:tr>
      <w:tr>
        <w:trPr/>
        <w:tc>
          <w:tcPr>
            <w:tcW w:w="1200" w:type="dxa"/>
            <w:tcBorders/>
          </w:tcPr>
          <w:p>
            <w:pPr>
              <w:pStyle w:val="Style31"/>
              <w:widowControl w:val="false"/>
              <w:suppressAutoHyphens w:val="true"/>
              <w:spacing w:before="40" w:after="40"/>
              <w:jc w:val="center"/>
              <w:rPr/>
            </w:pPr>
            <w:r>
              <w:rPr>
                <w:rStyle w:val="Style11"/>
                <w:rFonts w:eastAsia="Calibri" w:cs=""/>
                <w:i w:val="false"/>
                <w:iCs w:val="false"/>
                <w:kern w:val="0"/>
                <w:sz w:val="20"/>
                <w:szCs w:val="20"/>
                <w:shd w:fill="auto" w:val="clear"/>
                <w:lang w:val="ru-RU" w:eastAsia="en-US" w:bidi="ar-SA"/>
              </w:rPr>
              <w:t>1</w:t>
            </w:r>
          </w:p>
        </w:tc>
        <w:tc>
          <w:tcPr>
            <w:tcW w:w="1530" w:type="dxa"/>
            <w:tcBorders/>
          </w:tcPr>
          <w:p>
            <w:pPr>
              <w:pStyle w:val="Style31"/>
              <w:widowControl w:val="false"/>
              <w:suppressAutoHyphens w:val="true"/>
              <w:spacing w:before="40" w:after="40"/>
              <w:jc w:val="center"/>
              <w:rPr/>
            </w:pPr>
            <w:r>
              <w:rPr>
                <w:rStyle w:val="Style11"/>
                <w:rFonts w:eastAsia="Calibri" w:cs=""/>
                <w:i w:val="false"/>
                <w:iCs w:val="false"/>
                <w:kern w:val="0"/>
                <w:sz w:val="20"/>
                <w:szCs w:val="20"/>
                <w:shd w:fill="auto" w:val="clear"/>
                <w:lang w:val="ru-RU" w:eastAsia="en-US" w:bidi="ar-SA"/>
              </w:rPr>
              <w:t xml:space="preserve"> </w:t>
            </w:r>
            <w:r>
              <w:rPr>
                <w:rStyle w:val="Style11"/>
                <w:rFonts w:eastAsia="Calibri" w:cs=""/>
                <w:i w:val="false"/>
                <w:iCs w:val="false"/>
                <w:kern w:val="0"/>
                <w:sz w:val="20"/>
                <w:szCs w:val="20"/>
                <w:shd w:fill="auto" w:val="clear"/>
                <w:lang w:val="ru-RU" w:eastAsia="en-US" w:bidi="ar-SA"/>
              </w:rPr>
              <w:t>«Цена»</w:t>
            </w:r>
          </w:p>
        </w:tc>
        <w:tc>
          <w:tcPr>
            <w:tcW w:w="1409" w:type="dxa"/>
            <w:tcBorders/>
          </w:tcPr>
          <w:p>
            <w:pPr>
              <w:pStyle w:val="Style31"/>
              <w:widowControl w:val="false"/>
              <w:suppressAutoHyphens w:val="true"/>
              <w:spacing w:before="40" w:after="40"/>
              <w:jc w:val="center"/>
              <w:rPr/>
            </w:pPr>
            <w:r>
              <w:rPr>
                <w:rStyle w:val="Style11"/>
                <w:rFonts w:eastAsia="Calibri" w:cs=""/>
                <w:i w:val="false"/>
                <w:iCs w:val="false"/>
                <w:kern w:val="0"/>
                <w:sz w:val="20"/>
                <w:szCs w:val="20"/>
                <w:shd w:fill="auto" w:val="clear"/>
                <w:lang w:val="ru-RU" w:eastAsia="en-US" w:bidi="ar-SA"/>
              </w:rPr>
              <w:t>«Цена договора (стоимость заявки)»</w:t>
            </w:r>
            <w:r>
              <w:rPr>
                <w:rStyle w:val="Style11"/>
                <w:rFonts w:eastAsia="Calibri" w:cs=""/>
                <w:i w:val="false"/>
                <w:iCs w:val="false"/>
                <w:kern w:val="0"/>
                <w:sz w:val="20"/>
                <w:szCs w:val="20"/>
                <w:lang w:val="ru-RU" w:eastAsia="en-US" w:bidi="ar-SA"/>
              </w:rPr>
              <w:t xml:space="preserve"> </w:t>
            </w:r>
          </w:p>
        </w:tc>
        <w:tc>
          <w:tcPr>
            <w:tcW w:w="1426" w:type="dxa"/>
            <w:tcBorders/>
          </w:tcPr>
          <w:p>
            <w:pPr>
              <w:pStyle w:val="Style31"/>
              <w:widowControl w:val="false"/>
              <w:suppressAutoHyphens w:val="true"/>
              <w:spacing w:before="40" w:after="40"/>
              <w:jc w:val="center"/>
              <w:rPr/>
            </w:pPr>
            <w:r>
              <w:rPr>
                <w:rStyle w:val="Style11"/>
                <w:rFonts w:eastAsia="Calibri" w:cs=""/>
                <w:i w:val="false"/>
                <w:iCs w:val="false"/>
                <w:kern w:val="0"/>
                <w:sz w:val="20"/>
                <w:szCs w:val="20"/>
                <w:shd w:fill="auto" w:val="clear"/>
                <w:lang w:val="ru-RU" w:eastAsia="en-US" w:bidi="ar-SA"/>
              </w:rPr>
              <w:t xml:space="preserve"> </w:t>
            </w:r>
            <w:r>
              <w:rPr>
                <w:rStyle w:val="Style11"/>
                <w:rFonts w:eastAsia="Calibri" w:cs=""/>
                <w:i w:val="false"/>
                <w:iCs w:val="false"/>
                <w:kern w:val="0"/>
                <w:sz w:val="20"/>
                <w:szCs w:val="20"/>
                <w:shd w:fill="auto" w:val="clear"/>
                <w:lang w:val="ru-RU" w:eastAsia="en-US" w:bidi="ar-SA"/>
              </w:rPr>
              <w:t>отсутствует</w:t>
            </w:r>
          </w:p>
        </w:tc>
        <w:tc>
          <w:tcPr>
            <w:tcW w:w="1530" w:type="dxa"/>
            <w:tcBorders/>
          </w:tcPr>
          <w:p>
            <w:pPr>
              <w:pStyle w:val="Style31"/>
              <w:widowControl w:val="false"/>
              <w:suppressAutoHyphens w:val="true"/>
              <w:spacing w:before="40" w:after="40"/>
              <w:jc w:val="center"/>
              <w:rPr/>
            </w:pPr>
            <w:r>
              <w:rPr>
                <w:rStyle w:val="Style11"/>
                <w:rFonts w:eastAsia="Calibri" w:cs=""/>
                <w:i w:val="false"/>
                <w:iCs w:val="false"/>
                <w:kern w:val="0"/>
                <w:sz w:val="20"/>
                <w:szCs w:val="20"/>
                <w:shd w:fill="auto" w:val="clear"/>
                <w:lang w:val="ru-RU" w:eastAsia="en-US" w:bidi="ar-SA"/>
              </w:rPr>
              <w:t>90% (</w:t>
            </w:r>
            <w:r>
              <w:rPr>
                <w:rStyle w:val="Style11"/>
                <w:rFonts w:eastAsia="Calibri" w:cs=""/>
                <w:i w:val="false"/>
                <w:iCs w:val="false"/>
                <w:kern w:val="0"/>
                <w:sz w:val="20"/>
                <w:szCs w:val="20"/>
                <w:shd w:fill="auto" w:val="clear"/>
                <w:lang w:val="ru-RU" w:eastAsia="ru-RU" w:bidi="ar-SA"/>
              </w:rPr>
              <w:t>В</w:t>
            </w:r>
            <w:r>
              <w:rPr>
                <w:rStyle w:val="Style11"/>
                <w:rFonts w:eastAsia="Calibri" w:cs=""/>
                <w:i w:val="false"/>
                <w:iCs w:val="false"/>
                <w:kern w:val="0"/>
                <w:sz w:val="20"/>
                <w:szCs w:val="20"/>
                <w:shd w:fill="auto" w:val="clear"/>
                <w:vertAlign w:val="subscript"/>
                <w:lang w:val="ru-RU" w:eastAsia="ru-RU" w:bidi="ar-SA"/>
              </w:rPr>
              <w:t>1</w:t>
            </w:r>
            <w:r>
              <w:rPr>
                <w:rStyle w:val="Style11"/>
                <w:rFonts w:eastAsia="Calibri" w:cs=""/>
                <w:i w:val="false"/>
                <w:iCs w:val="false"/>
                <w:kern w:val="0"/>
                <w:sz w:val="20"/>
                <w:szCs w:val="20"/>
                <w:shd w:fill="auto" w:val="clear"/>
                <w:lang w:val="ru-RU" w:eastAsia="en-US" w:bidi="ar-SA"/>
              </w:rPr>
              <w:t>=0,90)</w:t>
            </w:r>
          </w:p>
          <w:p>
            <w:pPr>
              <w:pStyle w:val="Style31"/>
              <w:widowControl w:val="false"/>
              <w:suppressAutoHyphens w:val="true"/>
              <w:spacing w:before="40" w:after="40"/>
              <w:jc w:val="center"/>
              <w:rPr>
                <w:sz w:val="20"/>
                <w:szCs w:val="20"/>
              </w:rPr>
            </w:pPr>
            <w:r>
              <w:rPr>
                <w:sz w:val="20"/>
                <w:szCs w:val="20"/>
              </w:rPr>
            </w:r>
          </w:p>
        </w:tc>
        <w:tc>
          <w:tcPr>
            <w:tcW w:w="1634" w:type="dxa"/>
            <w:tcBorders/>
          </w:tcPr>
          <w:p>
            <w:pPr>
              <w:pStyle w:val="Style31"/>
              <w:widowControl w:val="false"/>
              <w:suppressAutoHyphens w:val="true"/>
              <w:spacing w:before="40" w:after="40"/>
              <w:jc w:val="left"/>
              <w:rPr/>
            </w:pPr>
            <w:r>
              <w:rPr>
                <w:rStyle w:val="Style11"/>
                <w:rFonts w:eastAsia="Calibri" w:cs=""/>
                <w:i w:val="false"/>
                <w:iCs w:val="false"/>
                <w:kern w:val="0"/>
                <w:sz w:val="20"/>
                <w:szCs w:val="20"/>
                <w:shd w:fill="auto" w:val="clear"/>
                <w:lang w:val="ru-RU" w:eastAsia="en-US" w:bidi="ar-SA"/>
              </w:rPr>
              <w:t>«Чем меньше стоимость заявки Участника, тем выше предпочтительность»</w:t>
            </w:r>
            <w:r>
              <w:rPr>
                <w:rStyle w:val="Style11"/>
                <w:rFonts w:eastAsia="Calibri" w:cs=""/>
                <w:i w:val="false"/>
                <w:iCs w:val="false"/>
                <w:kern w:val="0"/>
                <w:sz w:val="20"/>
                <w:szCs w:val="20"/>
                <w:lang w:val="ru-RU" w:eastAsia="en-US" w:bidi="ar-SA"/>
              </w:rPr>
              <w:t xml:space="preserve"> </w:t>
            </w:r>
          </w:p>
        </w:tc>
        <w:tc>
          <w:tcPr>
            <w:tcW w:w="6405" w:type="dxa"/>
            <w:tcBorders/>
          </w:tcPr>
          <w:p>
            <w:pPr>
              <w:pStyle w:val="Style31"/>
              <w:widowControl w:val="false"/>
              <w:suppressAutoHyphens w:val="false"/>
              <w:spacing w:lineRule="auto" w:line="240" w:before="0" w:after="0"/>
              <w:ind w:hanging="0" w:left="0" w:right="0"/>
              <w:jc w:val="left"/>
              <w:rPr/>
            </w:pPr>
            <w:r>
              <w:rPr>
                <w:rStyle w:val="Style11"/>
                <w:rFonts w:eastAsia="Calibri" w:cs=""/>
                <w:i w:val="false"/>
                <w:iCs w:val="false"/>
                <w:kern w:val="0"/>
                <w:sz w:val="20"/>
                <w:szCs w:val="20"/>
                <w:shd w:fill="auto" w:val="clear"/>
                <w:lang w:val="ru-RU" w:eastAsia="en-US" w:bidi="ar-SA"/>
              </w:rPr>
              <w:t>«Расчет оценки предпочтительности по частному критерию по методу «Математическая формула, задающая «функцию ценности»»:</w:t>
            </w:r>
          </w:p>
          <w:p>
            <w:pPr>
              <w:pStyle w:val="Style31"/>
              <w:widowControl w:val="false"/>
              <w:suppressAutoHyphens w:val="false"/>
              <w:spacing w:lineRule="auto" w:line="240" w:before="0" w:after="0"/>
              <w:ind w:hanging="0" w:left="0" w:right="0"/>
              <w:jc w:val="center"/>
              <w:rPr>
                <w:sz w:val="20"/>
                <w:szCs w:val="20"/>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31"/>
              <w:widowControl w:val="false"/>
              <w:suppressAutoHyphens w:val="false"/>
              <w:spacing w:lineRule="auto" w:line="240" w:before="0" w:after="0"/>
              <w:ind w:hanging="0" w:left="0" w:right="0"/>
              <w:jc w:val="left"/>
              <w:rPr/>
            </w:pPr>
            <w:r>
              <w:rPr>
                <w:rStyle w:val="Style11"/>
                <w:rFonts w:eastAsia="Calibri" w:cs=""/>
                <w:i w:val="false"/>
                <w:iCs w:val="false"/>
                <w:kern w:val="0"/>
                <w:sz w:val="20"/>
                <w:szCs w:val="20"/>
                <w:shd w:fill="auto" w:val="clear"/>
                <w:lang w:val="ru-RU" w:eastAsia="en-US" w:bidi="ar-SA"/>
              </w:rPr>
              <w:t>где:</w:t>
            </w:r>
          </w:p>
          <w:p>
            <w:pPr>
              <w:pStyle w:val="Style31"/>
              <w:widowControl w:val="false"/>
              <w:suppressAutoHyphens w:val="false"/>
              <w:spacing w:lineRule="auto" w:line="240" w:before="0" w:after="0"/>
              <w:ind w:hanging="0" w:left="0" w:right="0"/>
              <w:jc w:val="left"/>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oMath>
            <w:r>
              <w:rPr>
                <w:rStyle w:val="Style11"/>
                <w:rFonts w:eastAsia="Calibri" w:cs=""/>
                <w:i w:val="false"/>
                <w:iCs w:val="false"/>
                <w:kern w:val="0"/>
                <w:sz w:val="20"/>
                <w:szCs w:val="20"/>
                <w:shd w:fill="auto" w:val="clear"/>
                <w:lang w:val="ru-RU" w:eastAsia="en-US" w:bidi="ar-SA"/>
              </w:rPr>
              <w:t xml:space="preserve"> – </w:t>
            </w:r>
            <w:r>
              <w:rPr>
                <w:rStyle w:val="Style11"/>
                <w:rFonts w:eastAsia="Calibri" w:cs=""/>
                <w:i w:val="false"/>
                <w:iCs w:val="false"/>
                <w:kern w:val="0"/>
                <w:sz w:val="20"/>
                <w:szCs w:val="20"/>
                <w:shd w:fill="auto" w:val="clear"/>
                <w:lang w:val="ru-RU" w:eastAsia="en-US" w:bidi="ar-SA"/>
              </w:rPr>
              <w:t>рассчитанная оценка предпочтительности по данному частному критерию оценки в баллах;</w:t>
            </w:r>
          </w:p>
          <w:p>
            <w:pPr>
              <w:pStyle w:val="Style31"/>
              <w:widowControl w:val="false"/>
              <w:suppressAutoHyphens w:val="false"/>
              <w:spacing w:lineRule="auto" w:line="240" w:before="0" w:after="0"/>
              <w:ind w:hanging="0" w:left="0" w:right="0"/>
              <w:jc w:val="left"/>
              <w:rPr/>
            </w:pPr>
            <w:r>
              <w:rPr/>
            </w:r>
            <m:oMath xmlns:m="http://schemas.openxmlformats.org/officeDocument/2006/math">
              <m:sSub>
                <m:e>
                  <m:r>
                    <w:rPr>
                      <w:rFonts w:ascii="Cambria Math" w:hAnsi="Cambria Math"/>
                    </w:rPr>
                    <m:t xml:space="preserve">ЦЕНА</m:t>
                  </m:r>
                </m:e>
                <m:sub>
                  <m:r>
                    <w:rPr>
                      <w:rFonts w:ascii="Cambria Math" w:hAnsi="Cambria Math"/>
                    </w:rPr>
                    <m:t xml:space="preserve">i</m:t>
                  </m:r>
                </m:sub>
              </m:sSub>
            </m:oMath>
            <w:r>
              <w:rPr>
                <w:rStyle w:val="Style11"/>
                <w:rFonts w:eastAsia="Calibri" w:cs=""/>
                <w:i w:val="false"/>
                <w:iCs w:val="false"/>
                <w:kern w:val="0"/>
                <w:sz w:val="20"/>
                <w:szCs w:val="20"/>
                <w:shd w:fill="auto" w:val="clear"/>
                <w:lang w:val="ru-RU" w:eastAsia="en-US" w:bidi="ar-SA"/>
              </w:rPr>
              <w:t xml:space="preserve"> – </w:t>
            </w:r>
            <w:r>
              <w:rPr>
                <w:rStyle w:val="Style11"/>
                <w:rFonts w:eastAsia="Calibri" w:cs=""/>
                <w:i w:val="false"/>
                <w:iCs w:val="false"/>
                <w:kern w:val="0"/>
                <w:sz w:val="20"/>
                <w:szCs w:val="20"/>
                <w:shd w:fill="auto" w:val="clear"/>
                <w:lang w:val="ru-RU" w:eastAsia="en-US" w:bidi="ar-SA"/>
              </w:rPr>
              <w:t>цена договора (стоимость заявки), указанная в заявке допущенного участника, руб. без учета НДС;</w:t>
            </w:r>
          </w:p>
          <w:p>
            <w:pPr>
              <w:pStyle w:val="Style31"/>
              <w:widowControl w:val="false"/>
              <w:suppressAutoHyphens w:val="false"/>
              <w:spacing w:lineRule="auto" w:line="240" w:before="0" w:after="0"/>
              <w:ind w:hanging="0" w:left="0" w:right="0"/>
              <w:jc w:val="left"/>
              <w:rPr/>
            </w:pPr>
            <w:r>
              <w:rPr/>
            </w:r>
            <m:oMath xmlns:m="http://schemas.openxmlformats.org/officeDocument/2006/math">
              <m:sSub>
                <m:e>
                  <m:r>
                    <w:rPr>
                      <w:rFonts w:ascii="Cambria Math" w:hAnsi="Cambria Math"/>
                    </w:rPr>
                    <m:t xml:space="preserve">ЦЕНА</m:t>
                  </m:r>
                </m:e>
                <m:sub>
                  <m:r>
                    <w:rPr>
                      <w:rFonts w:ascii="Cambria Math" w:hAnsi="Cambria Math"/>
                    </w:rPr>
                    <m:t xml:space="preserve">min</m:t>
                  </m:r>
                </m:sub>
              </m:sSub>
            </m:oMath>
            <w:r>
              <w:rPr>
                <w:rStyle w:val="Style11"/>
                <w:rFonts w:eastAsia="Calibri" w:cs=""/>
                <w:i w:val="false"/>
                <w:iCs w:val="false"/>
                <w:kern w:val="0"/>
                <w:sz w:val="20"/>
                <w:szCs w:val="20"/>
                <w:shd w:fill="auto" w:val="clear"/>
                <w:lang w:val="ru-RU" w:eastAsia="en-US" w:bidi="ar-SA"/>
              </w:rPr>
              <w:t xml:space="preserve"> – </w:t>
            </w:r>
            <w:r>
              <w:rPr>
                <w:rStyle w:val="Style11"/>
                <w:rFonts w:eastAsia="Calibri" w:cs=""/>
                <w:i w:val="false"/>
                <w:iCs w:val="false"/>
                <w:kern w:val="0"/>
                <w:sz w:val="20"/>
                <w:szCs w:val="20"/>
                <w:shd w:fill="auto" w:val="clear"/>
                <w:lang w:val="ru-RU" w:eastAsia="en-US" w:bidi="ar-SA"/>
              </w:rPr>
              <w:t>минимальная цена договора (стоимость заявки) среди всех допущенных заявок участников, руб. без учета НДС;</w:t>
            </w:r>
          </w:p>
          <w:p>
            <w:pPr>
              <w:pStyle w:val="Style31"/>
              <w:widowControl w:val="false"/>
              <w:suppressAutoHyphens w:val="false"/>
              <w:spacing w:lineRule="auto" w:line="240" w:before="0" w:after="0"/>
              <w:ind w:hanging="0" w:left="0" w:right="0"/>
              <w:jc w:val="left"/>
              <w:rPr/>
            </w:pPr>
            <w:r>
              <w:rPr/>
            </w:r>
            <m:oMath xmlns:m="http://schemas.openxmlformats.org/officeDocument/2006/math">
              <m:r>
                <w:rPr>
                  <w:rFonts w:ascii="Cambria Math" w:hAnsi="Cambria Math"/>
                </w:rPr>
                <m:t xml:space="preserve">Ш</m:t>
              </m:r>
            </m:oMath>
            <w:r>
              <w:rPr>
                <w:rStyle w:val="Style11"/>
                <w:rFonts w:eastAsia="Calibri" w:cs=""/>
                <w:i w:val="false"/>
                <w:iCs w:val="false"/>
                <w:kern w:val="0"/>
                <w:sz w:val="20"/>
                <w:szCs w:val="20"/>
                <w:shd w:fill="auto" w:val="clear"/>
                <w:lang w:val="ru-RU" w:eastAsia="en-US" w:bidi="ar-SA"/>
              </w:rPr>
              <w:t xml:space="preserve"> – </w:t>
            </w:r>
            <w:r>
              <w:rPr>
                <w:rStyle w:val="Style11"/>
                <w:rFonts w:eastAsia="Calibri" w:cs=""/>
                <w:i w:val="false"/>
                <w:iCs w:val="false"/>
                <w:kern w:val="0"/>
                <w:sz w:val="20"/>
                <w:szCs w:val="20"/>
                <w:shd w:fill="auto" w:val="clear"/>
                <w:lang w:val="ru-RU" w:eastAsia="en-US" w:bidi="ar-SA"/>
              </w:rPr>
              <w:t>максимально возможный балл (максимальная возможная оценка предпочтительности) по шкале оценок</w:t>
              <w:br/>
              <w:t>(</w:t>
            </w:r>
            <w:r>
              <w:rPr/>
            </w:r>
            <m:oMath xmlns:m="http://schemas.openxmlformats.org/officeDocument/2006/math">
              <m:r>
                <w:rPr>
                  <w:rFonts w:ascii="Cambria Math" w:hAnsi="Cambria Math"/>
                </w:rPr>
                <m:t xml:space="preserve">Ш</m:t>
              </m:r>
              <m:r>
                <w:rPr>
                  <w:rFonts w:ascii="Cambria Math" w:hAnsi="Cambria Math"/>
                </w:rPr>
                <m:t xml:space="preserve">=</m:t>
              </m:r>
              <m:r>
                <w:rPr>
                  <w:rFonts w:ascii="Cambria Math" w:hAnsi="Cambria Math"/>
                </w:rPr>
                <m:t xml:space="preserve">5</m:t>
              </m:r>
            </m:oMath>
            <w:r>
              <w:rPr>
                <w:rStyle w:val="Style11"/>
                <w:rFonts w:eastAsia="Calibri" w:cs=""/>
                <w:i w:val="false"/>
                <w:iCs w:val="false"/>
                <w:kern w:val="0"/>
                <w:sz w:val="20"/>
                <w:szCs w:val="20"/>
                <w:shd w:fill="auto" w:val="clear"/>
                <w:lang w:val="ru-RU" w:eastAsia="en-US" w:bidi="ar-SA"/>
              </w:rPr>
              <w:t>)]</w:t>
            </w:r>
            <w:r>
              <w:rPr>
                <w:rFonts w:eastAsia="Calibri" w:cs=""/>
                <w:kern w:val="0"/>
                <w:sz w:val="20"/>
                <w:szCs w:val="20"/>
                <w:lang w:val="ru-RU" w:eastAsia="en-US" w:bidi="ar-SA"/>
              </w:rPr>
              <w:t>.</w:t>
            </w:r>
          </w:p>
          <w:p>
            <w:pPr>
              <w:pStyle w:val="Style31"/>
              <w:widowControl w:val="false"/>
              <w:suppressAutoHyphens w:val="false"/>
              <w:spacing w:lineRule="auto" w:line="240" w:before="0" w:after="0"/>
              <w:ind w:hanging="0" w:left="0" w:right="0"/>
              <w:jc w:val="left"/>
              <w:rPr/>
            </w:pPr>
            <w:r>
              <w:rPr>
                <w:rStyle w:val="Style11"/>
                <w:rFonts w:eastAsia="Calibri" w:cs=""/>
                <w:i w:val="false"/>
                <w:iCs w:val="false"/>
                <w:kern w:val="0"/>
                <w:sz w:val="20"/>
                <w:szCs w:val="20"/>
                <w:shd w:fill="auto" w:val="clear"/>
                <w:lang w:val="ru-RU" w:eastAsia="en-US" w:bidi="ar-SA"/>
              </w:rPr>
              <w:t>«Оценка предпочтительности заявок осуществляется в едином базисе сопоставления ценовых (стоимостных) предложений: без учета НДС»</w:t>
            </w:r>
            <w:r>
              <w:rPr>
                <w:rFonts w:eastAsia="Calibri" w:cs=""/>
                <w:kern w:val="0"/>
                <w:sz w:val="20"/>
                <w:szCs w:val="20"/>
                <w:lang w:val="ru-RU" w:eastAsia="en-US" w:bidi="ar-SA"/>
              </w:rPr>
              <w:t>.</w:t>
            </w:r>
          </w:p>
          <w:p>
            <w:pPr>
              <w:pStyle w:val="Style31"/>
              <w:widowControl w:val="false"/>
              <w:suppressAutoHyphens w:val="false"/>
              <w:spacing w:lineRule="auto" w:line="240" w:before="0" w:after="0"/>
              <w:ind w:hanging="0" w:left="0" w:right="0"/>
              <w:jc w:val="left"/>
              <w:rPr>
                <w:sz w:val="20"/>
                <w:szCs w:val="20"/>
              </w:rPr>
            </w:pPr>
            <w:r>
              <w:rPr>
                <w:rFonts w:eastAsia="Calibri" w:cs=""/>
                <w:kern w:val="0"/>
                <w:sz w:val="20"/>
                <w:szCs w:val="20"/>
                <w:lang w:val="ru-RU" w:eastAsia="en-US" w:bidi="ar-SA"/>
              </w:rPr>
              <w:t>Шкала оценок от 0 до 5 баллов.</w:t>
            </w:r>
          </w:p>
        </w:tc>
      </w:tr>
      <w:tr>
        <w:trPr/>
        <w:tc>
          <w:tcPr>
            <w:tcW w:w="1200" w:type="dxa"/>
            <w:tcBorders/>
          </w:tcPr>
          <w:p>
            <w:pPr>
              <w:pStyle w:val="3"/>
              <w:widowControl w:val="false"/>
              <w:numPr>
                <w:ilvl w:val="7"/>
                <w:numId w:val="19"/>
              </w:numPr>
              <w:suppressAutoHyphens w:val="false"/>
              <w:spacing w:lineRule="auto" w:line="240" w:before="40" w:after="40"/>
              <w:jc w:val="center"/>
              <w:rPr>
                <w:sz w:val="20"/>
                <w:szCs w:val="20"/>
              </w:rPr>
            </w:pPr>
            <w:r>
              <w:rPr>
                <w:rFonts w:cs=""/>
                <w:kern w:val="0"/>
                <w:sz w:val="20"/>
                <w:szCs w:val="20"/>
                <w:lang w:val="ru-RU" w:eastAsia="ru-RU" w:bidi="ar-SA"/>
              </w:rPr>
              <w:t>2.</w:t>
            </w:r>
          </w:p>
        </w:tc>
        <w:tc>
          <w:tcPr>
            <w:tcW w:w="1530" w:type="dxa"/>
            <w:tcBorders/>
          </w:tcPr>
          <w:p>
            <w:pPr>
              <w:pStyle w:val="3"/>
              <w:widowControl w:val="false"/>
              <w:numPr>
                <w:ilvl w:val="7"/>
                <w:numId w:val="19"/>
              </w:numPr>
              <w:suppressAutoHyphens w:val="false"/>
              <w:spacing w:lineRule="auto" w:line="240" w:before="40" w:after="40"/>
              <w:jc w:val="center"/>
              <w:rPr>
                <w:sz w:val="20"/>
                <w:szCs w:val="20"/>
              </w:rPr>
            </w:pPr>
            <w:r>
              <w:rPr>
                <w:rFonts w:cs=""/>
                <w:kern w:val="0"/>
                <w:sz w:val="20"/>
                <w:szCs w:val="20"/>
                <w:lang w:val="ru-RU" w:eastAsia="ru-RU" w:bidi="ar-SA"/>
              </w:rPr>
              <w:t>Неценовой критерий оценки первого уровня / ТЕХ</w:t>
            </w:r>
          </w:p>
        </w:tc>
        <w:tc>
          <w:tcPr>
            <w:tcW w:w="1409" w:type="dxa"/>
            <w:tcBorders/>
          </w:tcPr>
          <w:p>
            <w:pPr>
              <w:pStyle w:val="3"/>
              <w:widowControl w:val="false"/>
              <w:numPr>
                <w:ilvl w:val="7"/>
                <w:numId w:val="19"/>
              </w:numPr>
              <w:suppressAutoHyphens w:val="false"/>
              <w:spacing w:lineRule="auto" w:line="240" w:before="40" w:after="40"/>
              <w:jc w:val="center"/>
              <w:rPr>
                <w:sz w:val="20"/>
                <w:szCs w:val="20"/>
              </w:rPr>
            </w:pPr>
            <w:r>
              <w:rPr>
                <w:rFonts w:cs=""/>
                <w:kern w:val="0"/>
                <w:sz w:val="20"/>
                <w:szCs w:val="20"/>
                <w:lang w:val="ru-RU" w:eastAsia="ru-RU" w:bidi="ar-SA"/>
              </w:rPr>
              <w:t>Квалификация (предпочти-тельность) Участника</w:t>
            </w:r>
          </w:p>
        </w:tc>
        <w:tc>
          <w:tcPr>
            <w:tcW w:w="1426" w:type="dxa"/>
            <w:tcBorders/>
          </w:tcPr>
          <w:p>
            <w:pPr>
              <w:pStyle w:val="3"/>
              <w:widowControl w:val="false"/>
              <w:numPr>
                <w:ilvl w:val="7"/>
                <w:numId w:val="19"/>
              </w:numPr>
              <w:suppressAutoHyphens w:val="false"/>
              <w:spacing w:lineRule="auto" w:line="240" w:before="40" w:after="40"/>
              <w:jc w:val="center"/>
              <w:rPr>
                <w:sz w:val="20"/>
                <w:szCs w:val="20"/>
              </w:rPr>
            </w:pPr>
            <w:r>
              <w:rPr>
                <w:rFonts w:cs=""/>
                <w:i w:val="false"/>
                <w:iCs w:val="false"/>
                <w:kern w:val="0"/>
                <w:sz w:val="20"/>
                <w:szCs w:val="20"/>
                <w:lang w:val="ru-RU" w:eastAsia="ru-RU" w:bidi="ar-SA"/>
              </w:rPr>
              <w:t>отсутствует</w:t>
            </w:r>
          </w:p>
        </w:tc>
        <w:tc>
          <w:tcPr>
            <w:tcW w:w="1530" w:type="dxa"/>
            <w:tcBorders/>
          </w:tcPr>
          <w:p>
            <w:pPr>
              <w:pStyle w:val="3"/>
              <w:widowControl w:val="false"/>
              <w:numPr>
                <w:ilvl w:val="7"/>
                <w:numId w:val="19"/>
              </w:numPr>
              <w:suppressAutoHyphens w:val="false"/>
              <w:spacing w:lineRule="auto" w:line="240" w:before="40" w:after="40"/>
              <w:jc w:val="center"/>
              <w:rPr>
                <w:sz w:val="20"/>
                <w:szCs w:val="20"/>
              </w:rPr>
            </w:pPr>
            <w:r>
              <w:rPr>
                <w:rFonts w:cs=""/>
                <w:kern w:val="0"/>
                <w:sz w:val="20"/>
                <w:szCs w:val="20"/>
                <w:lang w:val="en-US" w:eastAsia="ru-RU" w:bidi="ar-SA"/>
              </w:rPr>
              <w:t>10</w:t>
            </w:r>
            <w:r>
              <w:rPr>
                <w:rFonts w:cs=""/>
                <w:kern w:val="0"/>
                <w:sz w:val="20"/>
                <w:szCs w:val="20"/>
                <w:lang w:val="ru-RU" w:eastAsia="ru-RU" w:bidi="ar-SA"/>
              </w:rPr>
              <w:t>%</w:t>
              <w:br/>
              <w:t>(В</w:t>
            </w:r>
            <w:r>
              <w:rPr>
                <w:rFonts w:cs=""/>
                <w:kern w:val="0"/>
                <w:sz w:val="20"/>
                <w:szCs w:val="20"/>
                <w:vertAlign w:val="subscript"/>
                <w:lang w:val="ru-RU" w:eastAsia="ru-RU" w:bidi="ar-SA"/>
              </w:rPr>
              <w:t>2</w:t>
            </w:r>
            <w:r>
              <w:rPr>
                <w:rFonts w:cs=""/>
                <w:kern w:val="0"/>
                <w:sz w:val="20"/>
                <w:szCs w:val="20"/>
                <w:lang w:val="ru-RU" w:eastAsia="ru-RU" w:bidi="ar-SA"/>
              </w:rPr>
              <w:t xml:space="preserve"> = 0,1</w:t>
            </w:r>
            <w:bookmarkStart w:id="417" w:name="_GoBack"/>
            <w:bookmarkEnd w:id="417"/>
            <w:r>
              <w:rPr>
                <w:rFonts w:cs=""/>
                <w:kern w:val="0"/>
                <w:sz w:val="20"/>
                <w:szCs w:val="20"/>
                <w:lang w:val="ru-RU" w:eastAsia="ru-RU" w:bidi="ar-SA"/>
              </w:rPr>
              <w:t>0)</w:t>
            </w:r>
          </w:p>
        </w:tc>
        <w:tc>
          <w:tcPr>
            <w:tcW w:w="1634" w:type="dxa"/>
            <w:tcBorders/>
          </w:tcPr>
          <w:p>
            <w:pPr>
              <w:pStyle w:val="3"/>
              <w:widowControl w:val="false"/>
              <w:numPr>
                <w:ilvl w:val="7"/>
                <w:numId w:val="19"/>
              </w:numPr>
              <w:suppressAutoHyphens w:val="false"/>
              <w:spacing w:lineRule="auto" w:line="240" w:before="40" w:after="40"/>
              <w:jc w:val="center"/>
              <w:rPr>
                <w:sz w:val="20"/>
                <w:szCs w:val="20"/>
              </w:rPr>
            </w:pPr>
            <w:r>
              <w:rPr>
                <w:rFonts w:cs=""/>
                <w:kern w:val="0"/>
                <w:sz w:val="20"/>
                <w:szCs w:val="20"/>
                <w:lang w:val="ru-RU" w:eastAsia="ru-RU" w:bidi="ar-SA"/>
              </w:rPr>
              <w:t>Чем больше опыт (до оцениваемого предела), тем выше предпочтительность</w:t>
            </w:r>
          </w:p>
        </w:tc>
        <w:tc>
          <w:tcPr>
            <w:tcW w:w="6405" w:type="dxa"/>
            <w:tcBorders/>
          </w:tcPr>
          <w:p>
            <w:pPr>
              <w:pStyle w:val="3"/>
              <w:widowControl w:val="false"/>
              <w:numPr>
                <w:ilvl w:val="7"/>
                <w:numId w:val="19"/>
              </w:numPr>
              <w:suppressAutoHyphens w:val="false"/>
              <w:spacing w:lineRule="auto" w:line="240" w:before="0" w:after="0"/>
              <w:ind w:hanging="0" w:left="0" w:right="0"/>
              <w:jc w:val="left"/>
              <w:rPr>
                <w:sz w:val="20"/>
                <w:szCs w:val="20"/>
              </w:rPr>
            </w:pPr>
            <w:r>
              <w:rPr>
                <w:rFonts w:cs=""/>
                <w:kern w:val="0"/>
                <w:sz w:val="20"/>
                <w:szCs w:val="20"/>
                <w:lang w:val="ru-RU" w:eastAsia="ru-RU"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3"/>
              <w:widowControl w:val="false"/>
              <w:numPr>
                <w:ilvl w:val="7"/>
                <w:numId w:val="19"/>
              </w:numPr>
              <w:suppressAutoHyphens w:val="false"/>
              <w:spacing w:lineRule="auto" w:line="240" w:before="0" w:after="0"/>
              <w:ind w:hanging="0" w:left="0" w:right="0"/>
              <w:jc w:val="left"/>
              <w:rPr>
                <w:sz w:val="20"/>
                <w:szCs w:val="20"/>
              </w:rPr>
            </w:pPr>
            <w:r>
              <w:rPr>
                <w:rFonts w:cs=""/>
                <w:kern w:val="0"/>
                <w:sz w:val="20"/>
                <w:szCs w:val="20"/>
                <w:lang w:val="ru-RU" w:eastAsia="ru-RU" w:bidi="ar-SA"/>
              </w:rPr>
              <w:t xml:space="preserve">Порядок осуществления оценки (значение оцениваемого параметра), в зависимости от предоставленных в </w:t>
            </w:r>
            <w:r>
              <w:rPr>
                <w:rFonts w:cs=""/>
                <w:i/>
                <w:kern w:val="0"/>
                <w:sz w:val="20"/>
                <w:szCs w:val="20"/>
                <w:lang w:val="en-US" w:eastAsia="ru-RU" w:bidi="ar-SA"/>
              </w:rPr>
              <w:t>i</w:t>
            </w:r>
            <w:r>
              <w:rPr>
                <w:rFonts w:cs=""/>
                <w:kern w:val="0"/>
                <w:sz w:val="20"/>
                <w:szCs w:val="20"/>
                <w:lang w:val="ru-RU" w:eastAsia="ru-RU" w:bidi="ar-SA"/>
              </w:rPr>
              <w:t>-ой исполненных договоров и актов выполненных работ, подписанных с обеих сторон, подтверждающих опыт, требуемый в соответствии п. (8.</w:t>
            </w:r>
            <w:r>
              <w:rPr>
                <w:rFonts w:cs=""/>
                <w:kern w:val="0"/>
                <w:sz w:val="20"/>
                <w:szCs w:val="20"/>
                <w:lang w:val="ru-RU" w:eastAsia="ru-RU" w:bidi="ar-SA"/>
              </w:rPr>
              <w:t>4</w:t>
            </w:r>
            <w:r>
              <w:rPr>
                <w:rFonts w:cs=""/>
                <w:kern w:val="0"/>
                <w:sz w:val="20"/>
                <w:szCs w:val="20"/>
                <w:lang w:val="ru-RU" w:eastAsia="ru-RU" w:bidi="ar-SA"/>
              </w:rPr>
              <w:t>) документации о закупке, на общую сумму:</w:t>
            </w:r>
          </w:p>
          <w:tbl>
            <w:tblPr>
              <w:tblW w:w="630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83"/>
              <w:gridCol w:w="5416"/>
            </w:tblGrid>
            <w:tr>
              <w:trPr>
                <w:cantSplit w:val="true"/>
              </w:trPr>
              <w:tc>
                <w:tcPr>
                  <w:tcW w:w="883" w:type="dxa"/>
                  <w:tcBorders>
                    <w:bottom w:val="single" w:sz="4" w:space="0" w:color="000000"/>
                    <w:right w:val="single" w:sz="4" w:space="0" w:color="000000"/>
                  </w:tcBorders>
                </w:tcPr>
                <w:p>
                  <w:pPr>
                    <w:pStyle w:val="3"/>
                    <w:widowControl w:val="false"/>
                    <w:numPr>
                      <w:ilvl w:val="7"/>
                      <w:numId w:val="20"/>
                    </w:numPr>
                    <w:suppressAutoHyphens w:val="false"/>
                    <w:spacing w:lineRule="auto" w:line="240" w:before="0" w:after="0"/>
                    <w:ind w:hanging="0" w:left="0" w:right="0"/>
                    <w:jc w:val="center"/>
                    <w:rPr>
                      <w:sz w:val="20"/>
                      <w:szCs w:val="20"/>
                    </w:rPr>
                  </w:pPr>
                  <w:r>
                    <w:rPr>
                      <w:sz w:val="20"/>
                      <w:szCs w:val="20"/>
                      <w:lang w:eastAsia="ru-RU"/>
                    </w:rPr>
                    <w:t>Б</w:t>
                  </w:r>
                  <w:r>
                    <w:rPr>
                      <w:sz w:val="20"/>
                      <w:szCs w:val="20"/>
                      <w:vertAlign w:val="subscript"/>
                      <w:lang w:eastAsia="ru-RU"/>
                    </w:rPr>
                    <w:t>2</w:t>
                  </w:r>
                  <w:r>
                    <w:rPr>
                      <w:sz w:val="20"/>
                      <w:szCs w:val="20"/>
                      <w:lang w:eastAsia="ru-RU"/>
                    </w:rPr>
                    <w:t xml:space="preserve"> = 0</w:t>
                  </w:r>
                </w:p>
              </w:tc>
              <w:tc>
                <w:tcPr>
                  <w:tcW w:w="5416" w:type="dxa"/>
                  <w:tcBorders>
                    <w:left w:val="single" w:sz="4" w:space="0" w:color="000000"/>
                    <w:bottom w:val="single" w:sz="4" w:space="0" w:color="000000"/>
                  </w:tcBorders>
                </w:tcPr>
                <w:p>
                  <w:pPr>
                    <w:pStyle w:val="-3"/>
                    <w:widowControl w:val="false"/>
                    <w:numPr>
                      <w:ilvl w:val="4"/>
                      <w:numId w:val="21"/>
                    </w:numPr>
                    <w:suppressAutoHyphens w:val="false"/>
                    <w:bidi w:val="0"/>
                    <w:spacing w:lineRule="auto" w:line="240" w:before="0" w:after="0"/>
                    <w:ind w:hanging="0" w:left="0" w:right="0"/>
                    <w:jc w:val="left"/>
                    <w:rPr>
                      <w:sz w:val="20"/>
                      <w:szCs w:val="20"/>
                    </w:rPr>
                  </w:pPr>
                  <w:r>
                    <w:rPr>
                      <w:color w:val="000000"/>
                      <w:sz w:val="20"/>
                      <w:szCs w:val="20"/>
                    </w:rPr>
                    <w:t xml:space="preserve">от </w:t>
                  </w:r>
                  <w:r>
                    <w:rPr>
                      <w:color w:val="000000"/>
                      <w:sz w:val="20"/>
                      <w:szCs w:val="20"/>
                      <w:shd w:fill="FFFFFF" w:val="clear"/>
                    </w:rPr>
                    <w:t>30</w:t>
                  </w:r>
                  <w:r>
                    <w:rPr>
                      <w:color w:val="000000"/>
                      <w:sz w:val="20"/>
                      <w:szCs w:val="20"/>
                    </w:rPr>
                    <w:t xml:space="preserve"> % от НМЦ, без учета НДС, до </w:t>
                  </w:r>
                  <w:r>
                    <w:rPr>
                      <w:color w:val="000000"/>
                      <w:sz w:val="20"/>
                      <w:szCs w:val="20"/>
                      <w:shd w:fill="FFFFFF" w:val="clear"/>
                    </w:rPr>
                    <w:t xml:space="preserve">40 </w:t>
                  </w:r>
                  <w:r>
                    <w:rPr>
                      <w:color w:val="000000"/>
                      <w:sz w:val="20"/>
                      <w:szCs w:val="20"/>
                    </w:rPr>
                    <w:t>% (включительно) от НМЦ, без учета НДС за последние 5 лет;</w:t>
                  </w:r>
                </w:p>
              </w:tc>
            </w:tr>
            <w:tr>
              <w:trPr>
                <w:cantSplit w:val="true"/>
              </w:trPr>
              <w:tc>
                <w:tcPr>
                  <w:tcW w:w="883" w:type="dxa"/>
                  <w:tcBorders>
                    <w:top w:val="single" w:sz="4" w:space="0" w:color="000000"/>
                    <w:bottom w:val="single" w:sz="4" w:space="0" w:color="000000"/>
                    <w:right w:val="single" w:sz="4" w:space="0" w:color="000000"/>
                  </w:tcBorders>
                </w:tcPr>
                <w:p>
                  <w:pPr>
                    <w:pStyle w:val="3"/>
                    <w:widowControl w:val="false"/>
                    <w:numPr>
                      <w:ilvl w:val="7"/>
                      <w:numId w:val="20"/>
                    </w:numPr>
                    <w:suppressAutoHyphens w:val="false"/>
                    <w:spacing w:lineRule="auto" w:line="240" w:before="0" w:after="0"/>
                    <w:ind w:hanging="0" w:left="0" w:right="0"/>
                    <w:jc w:val="center"/>
                    <w:rPr>
                      <w:sz w:val="20"/>
                      <w:szCs w:val="20"/>
                    </w:rPr>
                  </w:pPr>
                  <w:r>
                    <w:rPr>
                      <w:sz w:val="20"/>
                      <w:szCs w:val="20"/>
                      <w:lang w:eastAsia="ru-RU"/>
                    </w:rPr>
                    <w:t>Б</w:t>
                  </w:r>
                  <w:r>
                    <w:rPr>
                      <w:sz w:val="20"/>
                      <w:szCs w:val="20"/>
                      <w:vertAlign w:val="subscript"/>
                      <w:lang w:eastAsia="ru-RU"/>
                    </w:rPr>
                    <w:t>2</w:t>
                  </w:r>
                  <w:r>
                    <w:rPr>
                      <w:sz w:val="20"/>
                      <w:szCs w:val="20"/>
                      <w:lang w:eastAsia="ru-RU"/>
                    </w:rPr>
                    <w:t xml:space="preserve"> = 1</w:t>
                  </w:r>
                </w:p>
              </w:tc>
              <w:tc>
                <w:tcPr>
                  <w:tcW w:w="5416" w:type="dxa"/>
                  <w:tcBorders>
                    <w:top w:val="single" w:sz="4" w:space="0" w:color="000000"/>
                    <w:left w:val="single" w:sz="4" w:space="0" w:color="000000"/>
                    <w:bottom w:val="single" w:sz="4" w:space="0" w:color="000000"/>
                  </w:tcBorders>
                </w:tcPr>
                <w:p>
                  <w:pPr>
                    <w:pStyle w:val="-3"/>
                    <w:widowControl w:val="false"/>
                    <w:tabs>
                      <w:tab w:val="clear" w:pos="360"/>
                    </w:tabs>
                    <w:suppressAutoHyphens w:val="false"/>
                    <w:spacing w:lineRule="auto" w:line="240" w:before="0" w:after="0"/>
                    <w:ind w:hanging="0" w:left="0" w:right="0"/>
                    <w:jc w:val="left"/>
                    <w:rPr>
                      <w:sz w:val="20"/>
                      <w:szCs w:val="20"/>
                    </w:rPr>
                  </w:pPr>
                  <w:r>
                    <w:rPr>
                      <w:color w:val="000000"/>
                      <w:sz w:val="20"/>
                      <w:szCs w:val="20"/>
                    </w:rPr>
                    <w:t>- от 4</w:t>
                  </w:r>
                  <w:r>
                    <w:rPr>
                      <w:color w:val="000000"/>
                      <w:sz w:val="20"/>
                      <w:szCs w:val="20"/>
                      <w:shd w:fill="FFFFFF" w:val="clear"/>
                    </w:rPr>
                    <w:t>0</w:t>
                  </w:r>
                  <w:r>
                    <w:rPr>
                      <w:color w:val="000000"/>
                      <w:sz w:val="20"/>
                      <w:szCs w:val="20"/>
                    </w:rPr>
                    <w:t xml:space="preserve"> % от НМЦ, без учета НДС, до 5</w:t>
                  </w:r>
                  <w:r>
                    <w:rPr>
                      <w:color w:val="000000"/>
                      <w:sz w:val="20"/>
                      <w:szCs w:val="20"/>
                      <w:shd w:fill="FFFFFF" w:val="clear"/>
                    </w:rPr>
                    <w:t xml:space="preserve">0 </w:t>
                  </w:r>
                  <w:r>
                    <w:rPr>
                      <w:color w:val="000000"/>
                      <w:sz w:val="20"/>
                      <w:szCs w:val="20"/>
                    </w:rPr>
                    <w:t>% (включительно) от НМЦ, без учета НДС за последние 5 лет;</w:t>
                  </w:r>
                </w:p>
              </w:tc>
            </w:tr>
            <w:tr>
              <w:trPr>
                <w:cantSplit w:val="true"/>
              </w:trPr>
              <w:tc>
                <w:tcPr>
                  <w:tcW w:w="883" w:type="dxa"/>
                  <w:tcBorders>
                    <w:top w:val="single" w:sz="4" w:space="0" w:color="000000"/>
                    <w:bottom w:val="single" w:sz="4" w:space="0" w:color="000000"/>
                    <w:right w:val="single" w:sz="4" w:space="0" w:color="000000"/>
                  </w:tcBorders>
                </w:tcPr>
                <w:p>
                  <w:pPr>
                    <w:pStyle w:val="3"/>
                    <w:widowControl w:val="false"/>
                    <w:numPr>
                      <w:ilvl w:val="7"/>
                      <w:numId w:val="20"/>
                    </w:numPr>
                    <w:suppressAutoHyphens w:val="false"/>
                    <w:spacing w:lineRule="auto" w:line="240" w:before="0" w:after="0"/>
                    <w:ind w:hanging="0" w:left="0" w:right="0"/>
                    <w:jc w:val="center"/>
                    <w:rPr>
                      <w:sz w:val="20"/>
                      <w:szCs w:val="20"/>
                    </w:rPr>
                  </w:pPr>
                  <w:r>
                    <w:rPr>
                      <w:sz w:val="20"/>
                      <w:szCs w:val="20"/>
                      <w:lang w:eastAsia="ru-RU"/>
                    </w:rPr>
                    <w:t>Б</w:t>
                  </w:r>
                  <w:r>
                    <w:rPr>
                      <w:sz w:val="20"/>
                      <w:szCs w:val="20"/>
                      <w:vertAlign w:val="subscript"/>
                      <w:lang w:eastAsia="ru-RU"/>
                    </w:rPr>
                    <w:t>2</w:t>
                  </w:r>
                  <w:r>
                    <w:rPr>
                      <w:sz w:val="20"/>
                      <w:szCs w:val="20"/>
                      <w:lang w:eastAsia="ru-RU"/>
                    </w:rPr>
                    <w:t xml:space="preserve"> = 2</w:t>
                  </w:r>
                </w:p>
              </w:tc>
              <w:tc>
                <w:tcPr>
                  <w:tcW w:w="5416" w:type="dxa"/>
                  <w:tcBorders>
                    <w:top w:val="single" w:sz="4" w:space="0" w:color="000000"/>
                    <w:left w:val="single" w:sz="4" w:space="0" w:color="000000"/>
                    <w:bottom w:val="single" w:sz="4" w:space="0" w:color="000000"/>
                  </w:tcBorders>
                </w:tcPr>
                <w:p>
                  <w:pPr>
                    <w:pStyle w:val="-3"/>
                    <w:widowControl w:val="false"/>
                    <w:numPr>
                      <w:ilvl w:val="4"/>
                      <w:numId w:val="21"/>
                    </w:numPr>
                    <w:suppressAutoHyphens w:val="false"/>
                    <w:spacing w:lineRule="auto" w:line="240" w:before="0" w:after="0"/>
                    <w:ind w:hanging="0" w:left="0" w:right="0"/>
                    <w:jc w:val="left"/>
                    <w:rPr>
                      <w:sz w:val="20"/>
                      <w:szCs w:val="20"/>
                    </w:rPr>
                  </w:pPr>
                  <w:r>
                    <w:rPr>
                      <w:color w:val="000000"/>
                      <w:sz w:val="20"/>
                      <w:szCs w:val="20"/>
                    </w:rPr>
                    <w:t>от 5</w:t>
                  </w:r>
                  <w:r>
                    <w:rPr>
                      <w:color w:val="000000"/>
                      <w:sz w:val="20"/>
                      <w:szCs w:val="20"/>
                      <w:shd w:fill="FFFFFF" w:val="clear"/>
                    </w:rPr>
                    <w:t>0</w:t>
                  </w:r>
                  <w:r>
                    <w:rPr>
                      <w:color w:val="000000"/>
                      <w:sz w:val="20"/>
                      <w:szCs w:val="20"/>
                    </w:rPr>
                    <w:t xml:space="preserve"> % от НМЦ, без учета НДС, до 6</w:t>
                  </w:r>
                  <w:r>
                    <w:rPr>
                      <w:color w:val="000000"/>
                      <w:sz w:val="20"/>
                      <w:szCs w:val="20"/>
                      <w:shd w:fill="FFFFFF" w:val="clear"/>
                    </w:rPr>
                    <w:t xml:space="preserve">0 </w:t>
                  </w:r>
                  <w:r>
                    <w:rPr>
                      <w:color w:val="000000"/>
                      <w:sz w:val="20"/>
                      <w:szCs w:val="20"/>
                    </w:rPr>
                    <w:t>% (включительно) от НМЦ, без учета НДС за последние 5 лет;</w:t>
                  </w:r>
                </w:p>
              </w:tc>
            </w:tr>
            <w:tr>
              <w:trPr>
                <w:cantSplit w:val="true"/>
              </w:trPr>
              <w:tc>
                <w:tcPr>
                  <w:tcW w:w="883" w:type="dxa"/>
                  <w:tcBorders>
                    <w:top w:val="single" w:sz="4" w:space="0" w:color="000000"/>
                    <w:bottom w:val="single" w:sz="4" w:space="0" w:color="000000"/>
                    <w:right w:val="single" w:sz="4" w:space="0" w:color="000000"/>
                  </w:tcBorders>
                </w:tcPr>
                <w:p>
                  <w:pPr>
                    <w:pStyle w:val="3"/>
                    <w:widowControl w:val="false"/>
                    <w:numPr>
                      <w:ilvl w:val="7"/>
                      <w:numId w:val="20"/>
                    </w:numPr>
                    <w:suppressAutoHyphens w:val="false"/>
                    <w:spacing w:lineRule="auto" w:line="240" w:before="0" w:after="0"/>
                    <w:ind w:hanging="0" w:left="0" w:right="0"/>
                    <w:jc w:val="center"/>
                    <w:rPr>
                      <w:sz w:val="20"/>
                      <w:szCs w:val="20"/>
                    </w:rPr>
                  </w:pPr>
                  <w:r>
                    <w:rPr>
                      <w:sz w:val="20"/>
                      <w:szCs w:val="20"/>
                      <w:lang w:eastAsia="ru-RU"/>
                    </w:rPr>
                    <w:t>Б</w:t>
                  </w:r>
                  <w:r>
                    <w:rPr>
                      <w:sz w:val="20"/>
                      <w:szCs w:val="20"/>
                      <w:vertAlign w:val="subscript"/>
                      <w:lang w:eastAsia="ru-RU"/>
                    </w:rPr>
                    <w:t>2</w:t>
                  </w:r>
                  <w:r>
                    <w:rPr>
                      <w:sz w:val="20"/>
                      <w:szCs w:val="20"/>
                      <w:lang w:eastAsia="ru-RU"/>
                    </w:rPr>
                    <w:t xml:space="preserve"> = 3</w:t>
                  </w:r>
                </w:p>
              </w:tc>
              <w:tc>
                <w:tcPr>
                  <w:tcW w:w="5416" w:type="dxa"/>
                  <w:tcBorders>
                    <w:top w:val="single" w:sz="4" w:space="0" w:color="000000"/>
                    <w:left w:val="single" w:sz="4" w:space="0" w:color="000000"/>
                    <w:bottom w:val="single" w:sz="4" w:space="0" w:color="000000"/>
                  </w:tcBorders>
                </w:tcPr>
                <w:p>
                  <w:pPr>
                    <w:pStyle w:val="-3"/>
                    <w:widowControl w:val="false"/>
                    <w:tabs>
                      <w:tab w:val="clear" w:pos="360"/>
                    </w:tabs>
                    <w:suppressAutoHyphens w:val="false"/>
                    <w:spacing w:lineRule="auto" w:line="240" w:before="0" w:after="0"/>
                    <w:ind w:hanging="0" w:left="0" w:right="0"/>
                    <w:jc w:val="left"/>
                    <w:rPr>
                      <w:sz w:val="20"/>
                      <w:szCs w:val="20"/>
                    </w:rPr>
                  </w:pPr>
                  <w:r>
                    <w:rPr>
                      <w:color w:val="000000"/>
                      <w:sz w:val="20"/>
                      <w:szCs w:val="20"/>
                    </w:rPr>
                    <w:t xml:space="preserve"> </w:t>
                  </w:r>
                  <w:r>
                    <w:rPr>
                      <w:color w:val="000000"/>
                      <w:sz w:val="20"/>
                      <w:szCs w:val="20"/>
                    </w:rPr>
                    <w:t>-от 6</w:t>
                  </w:r>
                  <w:r>
                    <w:rPr>
                      <w:color w:val="000000"/>
                      <w:sz w:val="20"/>
                      <w:szCs w:val="20"/>
                      <w:shd w:fill="FFFFFF" w:val="clear"/>
                    </w:rPr>
                    <w:t>0</w:t>
                  </w:r>
                  <w:r>
                    <w:rPr>
                      <w:color w:val="000000"/>
                      <w:sz w:val="20"/>
                      <w:szCs w:val="20"/>
                    </w:rPr>
                    <w:t xml:space="preserve"> % от НМЦ, без учета НДС, до 7</w:t>
                  </w:r>
                  <w:r>
                    <w:rPr>
                      <w:color w:val="000000"/>
                      <w:sz w:val="20"/>
                      <w:szCs w:val="20"/>
                      <w:shd w:fill="FFFFFF" w:val="clear"/>
                    </w:rPr>
                    <w:t xml:space="preserve">0 </w:t>
                  </w:r>
                  <w:r>
                    <w:rPr>
                      <w:color w:val="000000"/>
                      <w:sz w:val="20"/>
                      <w:szCs w:val="20"/>
                    </w:rPr>
                    <w:t>% (включительно) от НМЦ, без учета НДС за последние 5 лет;</w:t>
                  </w:r>
                </w:p>
              </w:tc>
            </w:tr>
            <w:tr>
              <w:trPr>
                <w:cantSplit w:val="true"/>
              </w:trPr>
              <w:tc>
                <w:tcPr>
                  <w:tcW w:w="883" w:type="dxa"/>
                  <w:tcBorders>
                    <w:top w:val="single" w:sz="4" w:space="0" w:color="000000"/>
                    <w:bottom w:val="single" w:sz="4" w:space="0" w:color="000000"/>
                    <w:right w:val="single" w:sz="4" w:space="0" w:color="000000"/>
                  </w:tcBorders>
                </w:tcPr>
                <w:p>
                  <w:pPr>
                    <w:pStyle w:val="3"/>
                    <w:widowControl w:val="false"/>
                    <w:numPr>
                      <w:ilvl w:val="7"/>
                      <w:numId w:val="20"/>
                    </w:numPr>
                    <w:suppressAutoHyphens w:val="false"/>
                    <w:spacing w:lineRule="auto" w:line="240" w:before="0" w:after="0"/>
                    <w:ind w:hanging="0" w:left="0" w:right="0"/>
                    <w:jc w:val="center"/>
                    <w:rPr>
                      <w:sz w:val="20"/>
                      <w:szCs w:val="20"/>
                    </w:rPr>
                  </w:pPr>
                  <w:r>
                    <w:rPr>
                      <w:sz w:val="20"/>
                      <w:szCs w:val="20"/>
                      <w:lang w:eastAsia="ru-RU"/>
                    </w:rPr>
                    <w:t>Б</w:t>
                  </w:r>
                  <w:r>
                    <w:rPr>
                      <w:sz w:val="20"/>
                      <w:szCs w:val="20"/>
                      <w:vertAlign w:val="subscript"/>
                      <w:lang w:eastAsia="ru-RU"/>
                    </w:rPr>
                    <w:t>2</w:t>
                  </w:r>
                  <w:r>
                    <w:rPr>
                      <w:sz w:val="20"/>
                      <w:szCs w:val="20"/>
                      <w:lang w:eastAsia="ru-RU"/>
                    </w:rPr>
                    <w:t xml:space="preserve"> = 4</w:t>
                  </w:r>
                </w:p>
              </w:tc>
              <w:tc>
                <w:tcPr>
                  <w:tcW w:w="5416" w:type="dxa"/>
                  <w:tcBorders>
                    <w:top w:val="single" w:sz="4" w:space="0" w:color="000000"/>
                    <w:left w:val="single" w:sz="4" w:space="0" w:color="000000"/>
                    <w:bottom w:val="single" w:sz="4" w:space="0" w:color="000000"/>
                  </w:tcBorders>
                </w:tcPr>
                <w:p>
                  <w:pPr>
                    <w:pStyle w:val="-3"/>
                    <w:widowControl w:val="false"/>
                    <w:tabs>
                      <w:tab w:val="clear" w:pos="360"/>
                    </w:tabs>
                    <w:suppressAutoHyphens w:val="false"/>
                    <w:spacing w:lineRule="auto" w:line="240" w:before="0" w:after="0"/>
                    <w:ind w:hanging="0" w:left="0" w:right="0"/>
                    <w:jc w:val="left"/>
                    <w:rPr>
                      <w:sz w:val="20"/>
                      <w:szCs w:val="20"/>
                    </w:rPr>
                  </w:pPr>
                  <w:r>
                    <w:rPr>
                      <w:color w:val="000000"/>
                      <w:sz w:val="20"/>
                      <w:szCs w:val="20"/>
                    </w:rPr>
                    <w:t xml:space="preserve"> </w:t>
                  </w:r>
                  <w:r>
                    <w:rPr>
                      <w:color w:val="000000"/>
                      <w:sz w:val="20"/>
                      <w:szCs w:val="20"/>
                    </w:rPr>
                    <w:t>-от 7</w:t>
                  </w:r>
                  <w:r>
                    <w:rPr>
                      <w:color w:val="000000"/>
                      <w:sz w:val="20"/>
                      <w:szCs w:val="20"/>
                      <w:shd w:fill="FFFFFF" w:val="clear"/>
                    </w:rPr>
                    <w:t>0</w:t>
                  </w:r>
                  <w:r>
                    <w:rPr>
                      <w:color w:val="000000"/>
                      <w:sz w:val="20"/>
                      <w:szCs w:val="20"/>
                    </w:rPr>
                    <w:t xml:space="preserve"> % от НМЦ, без учета НДС, до 8</w:t>
                  </w:r>
                  <w:r>
                    <w:rPr>
                      <w:color w:val="000000"/>
                      <w:sz w:val="20"/>
                      <w:szCs w:val="20"/>
                      <w:shd w:fill="FFFFFF" w:val="clear"/>
                    </w:rPr>
                    <w:t xml:space="preserve">0 </w:t>
                  </w:r>
                  <w:r>
                    <w:rPr>
                      <w:color w:val="000000"/>
                      <w:sz w:val="20"/>
                      <w:szCs w:val="20"/>
                    </w:rPr>
                    <w:t>% (включительно) от НМЦ, без учета НДС за последние 5 лет;</w:t>
                  </w:r>
                </w:p>
              </w:tc>
            </w:tr>
            <w:tr>
              <w:trPr>
                <w:cantSplit w:val="true"/>
              </w:trPr>
              <w:tc>
                <w:tcPr>
                  <w:tcW w:w="883" w:type="dxa"/>
                  <w:tcBorders>
                    <w:top w:val="single" w:sz="4" w:space="0" w:color="000000"/>
                    <w:right w:val="single" w:sz="4" w:space="0" w:color="000000"/>
                  </w:tcBorders>
                </w:tcPr>
                <w:p>
                  <w:pPr>
                    <w:pStyle w:val="3"/>
                    <w:widowControl w:val="false"/>
                    <w:numPr>
                      <w:ilvl w:val="7"/>
                      <w:numId w:val="20"/>
                    </w:numPr>
                    <w:suppressAutoHyphens w:val="false"/>
                    <w:spacing w:lineRule="auto" w:line="240" w:before="0" w:after="0"/>
                    <w:ind w:hanging="0" w:left="0" w:right="0"/>
                    <w:jc w:val="center"/>
                    <w:rPr>
                      <w:sz w:val="20"/>
                      <w:szCs w:val="20"/>
                    </w:rPr>
                  </w:pPr>
                  <w:r>
                    <w:rPr>
                      <w:sz w:val="20"/>
                      <w:szCs w:val="20"/>
                      <w:lang w:eastAsia="ru-RU"/>
                    </w:rPr>
                    <w:t>Б</w:t>
                  </w:r>
                  <w:r>
                    <w:rPr>
                      <w:sz w:val="20"/>
                      <w:szCs w:val="20"/>
                      <w:vertAlign w:val="subscript"/>
                      <w:lang w:eastAsia="ru-RU"/>
                    </w:rPr>
                    <w:t>2</w:t>
                  </w:r>
                  <w:r>
                    <w:rPr>
                      <w:sz w:val="20"/>
                      <w:szCs w:val="20"/>
                      <w:lang w:eastAsia="ru-RU"/>
                    </w:rPr>
                    <w:t xml:space="preserve"> = 5</w:t>
                  </w:r>
                </w:p>
              </w:tc>
              <w:tc>
                <w:tcPr>
                  <w:tcW w:w="5416" w:type="dxa"/>
                  <w:tcBorders>
                    <w:top w:val="single" w:sz="4" w:space="0" w:color="000000"/>
                    <w:left w:val="single" w:sz="4" w:space="0" w:color="000000"/>
                  </w:tcBorders>
                </w:tcPr>
                <w:p>
                  <w:pPr>
                    <w:pStyle w:val="-3"/>
                    <w:widowControl w:val="false"/>
                    <w:tabs>
                      <w:tab w:val="clear" w:pos="360"/>
                    </w:tabs>
                    <w:suppressAutoHyphens w:val="false"/>
                    <w:spacing w:lineRule="auto" w:line="240" w:before="0" w:after="0"/>
                    <w:ind w:hanging="0" w:left="0" w:right="0"/>
                    <w:jc w:val="left"/>
                    <w:rPr>
                      <w:sz w:val="20"/>
                      <w:szCs w:val="20"/>
                    </w:rPr>
                  </w:pPr>
                  <w:r>
                    <w:rPr>
                      <w:sz w:val="20"/>
                      <w:szCs w:val="20"/>
                      <w:lang w:eastAsia="ru-RU"/>
                    </w:rPr>
                    <w:t>- более</w:t>
                  </w:r>
                  <w:r>
                    <w:rPr>
                      <w:sz w:val="20"/>
                      <w:szCs w:val="20"/>
                      <w:shd w:fill="FFFFFF" w:val="clear"/>
                      <w:lang w:eastAsia="ru-RU"/>
                    </w:rPr>
                    <w:t xml:space="preserve"> </w:t>
                  </w:r>
                  <w:r>
                    <w:rPr>
                      <w:color w:val="000000"/>
                      <w:sz w:val="20"/>
                      <w:szCs w:val="20"/>
                      <w:shd w:fill="FFFFFF" w:val="clear"/>
                      <w:lang w:eastAsia="ru-RU"/>
                    </w:rPr>
                    <w:t>80</w:t>
                  </w:r>
                  <w:r>
                    <w:rPr>
                      <w:sz w:val="20"/>
                      <w:szCs w:val="20"/>
                      <w:lang w:eastAsia="ru-RU"/>
                    </w:rPr>
                    <w:t xml:space="preserve"> % </w:t>
                  </w:r>
                  <w:r>
                    <w:rPr>
                      <w:color w:val="000000"/>
                      <w:sz w:val="20"/>
                      <w:szCs w:val="20"/>
                      <w:lang w:eastAsia="ru-RU"/>
                    </w:rPr>
                    <w:t>от НМЦ, без учета НДС за последние 5 лет</w:t>
                  </w:r>
                  <w:r>
                    <w:rPr>
                      <w:sz w:val="20"/>
                      <w:szCs w:val="20"/>
                      <w:lang w:eastAsia="ru-RU"/>
                    </w:rPr>
                    <w:t>.</w:t>
                  </w:r>
                </w:p>
              </w:tc>
            </w:tr>
          </w:tbl>
          <w:p>
            <w:pPr>
              <w:pStyle w:val="2"/>
              <w:widowControl w:val="false"/>
              <w:numPr>
                <w:ilvl w:val="6"/>
                <w:numId w:val="19"/>
              </w:numPr>
              <w:suppressAutoHyphens w:val="false"/>
              <w:spacing w:lineRule="auto" w:line="240" w:before="0" w:after="0"/>
              <w:ind w:hanging="0" w:left="0" w:right="0"/>
              <w:jc w:val="left"/>
              <w:rPr>
                <w:sz w:val="20"/>
                <w:szCs w:val="20"/>
              </w:rPr>
            </w:pPr>
            <w:r>
              <w:rPr>
                <w:rFonts w:cs=""/>
                <w:kern w:val="0"/>
                <w:sz w:val="20"/>
                <w:szCs w:val="20"/>
                <w:lang w:val="ru-RU" w:eastAsia="ru-RU" w:bidi="ar-SA"/>
              </w:rPr>
              <w:t>где:</w:t>
            </w:r>
          </w:p>
          <w:p>
            <w:pPr>
              <w:pStyle w:val="2"/>
              <w:widowControl w:val="false"/>
              <w:numPr>
                <w:ilvl w:val="6"/>
                <w:numId w:val="19"/>
              </w:numPr>
              <w:tabs>
                <w:tab w:val="clear" w:pos="708"/>
                <w:tab w:val="left" w:pos="742" w:leader="none"/>
                <w:tab w:val="left" w:pos="1167" w:leader="none"/>
              </w:tabs>
              <w:suppressAutoHyphens w:val="false"/>
              <w:spacing w:lineRule="auto" w:line="240" w:before="0" w:after="0"/>
              <w:ind w:hanging="0" w:left="0" w:right="0"/>
              <w:jc w:val="left"/>
              <w:rPr>
                <w:sz w:val="20"/>
                <w:szCs w:val="20"/>
              </w:rPr>
            </w:pPr>
            <w:r>
              <w:rPr>
                <w:rFonts w:cs=""/>
                <w:kern w:val="0"/>
                <w:sz w:val="20"/>
                <w:szCs w:val="20"/>
                <w:lang w:val="ru-RU" w:eastAsia="ru-RU" w:bidi="ar-SA"/>
              </w:rPr>
              <w:t>Б</w:t>
            </w:r>
            <w:r>
              <w:rPr>
                <w:rFonts w:cs=""/>
                <w:kern w:val="0"/>
                <w:sz w:val="20"/>
                <w:szCs w:val="20"/>
                <w:vertAlign w:val="subscript"/>
                <w:lang w:val="ru-RU" w:eastAsia="ru-RU" w:bidi="ar-SA"/>
              </w:rPr>
              <w:t>2</w:t>
            </w:r>
            <w:r>
              <w:rPr>
                <w:rFonts w:cs=""/>
                <w:kern w:val="0"/>
                <w:sz w:val="20"/>
                <w:szCs w:val="20"/>
                <w:lang w:val="ru-RU" w:eastAsia="ru-RU" w:bidi="ar-SA"/>
              </w:rPr>
              <w:tab/>
              <w:t>–</w:t>
              <w:tab/>
              <w:t>рассчитанная оценка предпочтительности по данному частному критерию оценки в баллах.</w:t>
            </w:r>
          </w:p>
          <w:p>
            <w:pPr>
              <w:pStyle w:val="Normal"/>
              <w:keepNext w:val="true"/>
              <w:widowControl w:val="false"/>
              <w:suppressAutoHyphens w:val="false"/>
              <w:spacing w:lineRule="auto" w:line="240" w:before="0" w:after="0"/>
              <w:ind w:hanging="0" w:left="0" w:right="0"/>
              <w:jc w:val="left"/>
              <w:rPr>
                <w:sz w:val="20"/>
                <w:szCs w:val="20"/>
              </w:rPr>
            </w:pPr>
            <w:r>
              <w:rPr>
                <w:rFonts w:eastAsia="Calibri" w:cs=""/>
                <w:kern w:val="0"/>
                <w:sz w:val="20"/>
                <w:szCs w:val="20"/>
                <w:lang w:val="ru-RU" w:eastAsia="en-US" w:bidi="ar-SA"/>
              </w:rPr>
              <w:t>Опыт, несоответствующий установленным в документации о закупке требованиям (Таблица 2. Перечень квалификационных требований), не оценивается.</w:t>
            </w:r>
          </w:p>
          <w:p>
            <w:pPr>
              <w:pStyle w:val="3"/>
              <w:widowControl w:val="false"/>
              <w:numPr>
                <w:ilvl w:val="7"/>
                <w:numId w:val="19"/>
              </w:numPr>
              <w:suppressAutoHyphens w:val="false"/>
              <w:spacing w:lineRule="auto" w:line="240" w:before="0" w:after="0"/>
              <w:ind w:hanging="0" w:left="0" w:right="0"/>
              <w:jc w:val="left"/>
              <w:rPr>
                <w:sz w:val="20"/>
                <w:szCs w:val="20"/>
              </w:rPr>
            </w:pPr>
            <w:r>
              <w:rPr>
                <w:rFonts w:cs=""/>
                <w:kern w:val="0"/>
                <w:sz w:val="20"/>
                <w:szCs w:val="20"/>
                <w:lang w:val="ru-RU" w:eastAsia="ru-RU" w:bidi="ar-SA"/>
              </w:rPr>
              <w:t>Шкала оценок от 0 до 5 баллов.</w:t>
            </w:r>
          </w:p>
        </w:tc>
      </w:tr>
      <w:tr>
        <w:trPr/>
        <w:tc>
          <w:tcPr>
            <w:tcW w:w="5565" w:type="dxa"/>
            <w:gridSpan w:val="4"/>
            <w:tcBorders/>
          </w:tcPr>
          <w:p>
            <w:pPr>
              <w:pStyle w:val="Style31"/>
              <w:widowControl w:val="false"/>
              <w:suppressAutoHyphens w:val="true"/>
              <w:spacing w:before="40" w:after="40"/>
              <w:jc w:val="left"/>
              <w:rPr>
                <w:sz w:val="20"/>
                <w:szCs w:val="20"/>
              </w:rPr>
            </w:pPr>
            <w:r>
              <w:rPr>
                <w:rFonts w:eastAsia="Calibri" w:cs=""/>
                <w:kern w:val="0"/>
                <w:sz w:val="20"/>
                <w:szCs w:val="20"/>
                <w:lang w:val="ru-RU" w:eastAsia="en-US" w:bidi="ar-SA"/>
              </w:rPr>
              <w:t>Итоговая оценка предпочтительности заявки:</w:t>
            </w:r>
          </w:p>
        </w:tc>
        <w:tc>
          <w:tcPr>
            <w:tcW w:w="9569" w:type="dxa"/>
            <w:gridSpan w:val="3"/>
            <w:tcBorders/>
          </w:tcPr>
          <w:p>
            <w:pPr>
              <w:pStyle w:val="Normal"/>
              <w:widowControl w:val="false"/>
              <w:suppressAutoHyphens w:val="true"/>
              <w:spacing w:lineRule="auto" w:line="240" w:before="0" w:after="0"/>
              <w:ind w:hanging="0" w:left="0" w:right="0"/>
              <w:jc w:val="left"/>
              <w:rPr>
                <w:sz w:val="20"/>
                <w:szCs w:val="20"/>
              </w:rPr>
            </w:pPr>
            <w:r>
              <w:rPr>
                <w:rFonts w:eastAsia="Calibri" w:cs=""/>
                <w:kern w:val="0"/>
                <w:sz w:val="20"/>
                <w:szCs w:val="20"/>
                <w:lang w:val="ru-RU" w:eastAsia="en-US" w:bidi="ar-SA"/>
              </w:rPr>
              <w:t xml:space="preserve">Расчет итоговой оценки предпочтительности </w:t>
            </w:r>
            <w:r>
              <w:rPr>
                <w:rFonts w:eastAsia="Calibri" w:cs=""/>
                <w:i/>
                <w:kern w:val="0"/>
                <w:sz w:val="20"/>
                <w:szCs w:val="20"/>
                <w:lang w:val="en-US" w:eastAsia="en-US" w:bidi="ar-SA"/>
              </w:rPr>
              <w:t>i</w:t>
            </w:r>
            <w:r>
              <w:rPr>
                <w:rFonts w:eastAsia="Calibri" w:cs=""/>
                <w:kern w:val="0"/>
                <w:sz w:val="20"/>
                <w:szCs w:val="20"/>
                <w:lang w:val="ru-RU" w:eastAsia="en-US" w:bidi="ar-SA"/>
              </w:rPr>
              <w:t>-ой заявки:</w:t>
            </w:r>
          </w:p>
          <w:p>
            <w:pPr>
              <w:pStyle w:val="Normal"/>
              <w:keepNext w:val="true"/>
              <w:widowControl w:val="false"/>
              <w:suppressAutoHyphens w:val="true"/>
              <w:spacing w:lineRule="auto" w:line="240" w:before="0" w:after="0"/>
              <w:ind w:hanging="0" w:left="0" w:right="0"/>
              <w:jc w:val="center"/>
              <w:rPr>
                <w:sz w:val="20"/>
                <w:szCs w:val="20"/>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r>
                          <w:rPr>
                            <w:rFonts w:ascii="Cambria Math" w:hAnsi="Cambria Math"/>
                          </w:rPr>
                          <m:t xml:space="preserve">×</m:t>
                        </m:r>
                        <m:sSub>
                          <m:e>
                            <m:r>
                              <w:rPr>
                                <w:rFonts w:ascii="Cambria Math" w:hAnsi="Cambria Math"/>
                              </w:rPr>
                              <m:t xml:space="preserve">В</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e>
                    </m:d>
                  </m:e>
                </m:nary>
                <m:r>
                  <w:rPr>
                    <w:rFonts w:ascii="Cambria Math" w:hAnsi="Cambria Math"/>
                  </w:rPr>
                  <m:t xml:space="preserve">,</m:t>
                </m:r>
              </m:oMath>
            </m:oMathPara>
          </w:p>
          <w:p>
            <w:pPr>
              <w:pStyle w:val="Normal"/>
              <w:keepNext w:val="true"/>
              <w:widowControl w:val="false"/>
              <w:suppressAutoHyphens w:val="true"/>
              <w:spacing w:lineRule="auto" w:line="240" w:before="0" w:after="0"/>
              <w:ind w:hanging="0" w:left="0" w:right="0"/>
              <w:jc w:val="left"/>
              <w:rPr>
                <w:sz w:val="20"/>
                <w:szCs w:val="20"/>
              </w:rPr>
            </w:pPr>
            <w:r>
              <w:rPr>
                <w:rFonts w:eastAsia="Calibri" w:cs=""/>
                <w:kern w:val="0"/>
                <w:sz w:val="20"/>
                <w:szCs w:val="20"/>
                <w:lang w:val="ru-RU" w:eastAsia="en-US" w:bidi="ar-SA"/>
              </w:rPr>
              <w:t>где:</w:t>
            </w:r>
          </w:p>
          <w:p>
            <w:pPr>
              <w:pStyle w:val="Normal"/>
              <w:widowControl w:val="false"/>
              <w:tabs>
                <w:tab w:val="clear" w:pos="708"/>
                <w:tab w:val="left" w:pos="742" w:leader="none"/>
                <w:tab w:val="left" w:pos="1167" w:leader="none"/>
              </w:tabs>
              <w:suppressAutoHyphens w:val="true"/>
              <w:spacing w:lineRule="auto" w:line="240" w:before="0" w:after="0"/>
              <w:ind w:hanging="0" w:left="0" w:right="0"/>
              <w:jc w:val="left"/>
              <w:rPr>
                <w:sz w:val="20"/>
                <w:szCs w:val="20"/>
              </w:rPr>
            </w:pPr>
            <w:r>
              <w:rPr>
                <w:rFonts w:eastAsia="Calibri" w:cs=""/>
                <w:kern w:val="0"/>
                <w:sz w:val="20"/>
                <w:szCs w:val="20"/>
                <w:lang w:val="ru-RU" w:eastAsia="en-US" w:bidi="ar-SA"/>
              </w:rPr>
              <w:t>Б</w:t>
            </w:r>
            <w:r>
              <w:rPr>
                <w:rFonts w:eastAsia="Calibri" w:cs=""/>
                <w:kern w:val="0"/>
                <w:sz w:val="20"/>
                <w:szCs w:val="20"/>
                <w:vertAlign w:val="subscript"/>
                <w:lang w:val="ru-RU" w:eastAsia="en-US" w:bidi="ar-SA"/>
              </w:rPr>
              <w:t>ИТОГ</w:t>
            </w:r>
            <w:r>
              <w:rPr>
                <w:rFonts w:eastAsia="Calibri" w:cs=""/>
                <w:kern w:val="0"/>
                <w:sz w:val="20"/>
                <w:szCs w:val="20"/>
                <w:lang w:val="ru-RU" w:eastAsia="en-US" w:bidi="ar-SA"/>
              </w:rPr>
              <w:tab/>
              <w:t>–</w:t>
              <w:tab/>
              <w:t>рассчитанная итоговая оценка предпочтительности в баллах;</w:t>
            </w:r>
          </w:p>
          <w:p>
            <w:pPr>
              <w:pStyle w:val="Normal"/>
              <w:widowControl w:val="false"/>
              <w:tabs>
                <w:tab w:val="clear" w:pos="708"/>
                <w:tab w:val="left" w:pos="742" w:leader="none"/>
                <w:tab w:val="left" w:pos="1167" w:leader="none"/>
              </w:tabs>
              <w:suppressAutoHyphens w:val="true"/>
              <w:spacing w:lineRule="auto" w:line="240" w:before="0" w:after="0"/>
              <w:ind w:hanging="0" w:left="0" w:right="0"/>
              <w:jc w:val="left"/>
              <w:rPr>
                <w:sz w:val="20"/>
                <w:szCs w:val="20"/>
              </w:rPr>
            </w:pPr>
            <w:r>
              <w:rPr>
                <w:rFonts w:eastAsia="Calibri" w:cs=""/>
                <w:kern w:val="0"/>
                <w:sz w:val="20"/>
                <w:szCs w:val="20"/>
                <w:lang w:val="ru-RU" w:eastAsia="en-US" w:bidi="ar-SA"/>
              </w:rPr>
              <w:t>Б</w:t>
            </w:r>
            <w:r>
              <w:rPr>
                <w:rFonts w:eastAsia="Calibri" w:cs=""/>
                <w:kern w:val="0"/>
                <w:sz w:val="20"/>
                <w:szCs w:val="20"/>
                <w:vertAlign w:val="subscript"/>
                <w:lang w:val="ru-RU" w:eastAsia="en-US" w:bidi="ar-SA"/>
              </w:rPr>
              <w:t>1 уровень k</w:t>
            </w:r>
            <w:r>
              <w:rPr>
                <w:rFonts w:eastAsia="Calibri" w:cs=""/>
                <w:kern w:val="0"/>
                <w:sz w:val="20"/>
                <w:szCs w:val="20"/>
                <w:lang w:val="ru-RU" w:eastAsia="en-US" w:bidi="ar-SA"/>
              </w:rPr>
              <w:tab/>
              <w:t>–</w:t>
              <w:tab/>
              <w:t>оценка предпочтительности по k-тому критерию оценки первого уровня в баллах;</w:t>
            </w:r>
          </w:p>
          <w:p>
            <w:pPr>
              <w:pStyle w:val="2"/>
              <w:widowControl w:val="false"/>
              <w:tabs>
                <w:tab w:val="clear" w:pos="708"/>
                <w:tab w:val="left" w:pos="742" w:leader="none"/>
                <w:tab w:val="left" w:pos="1167" w:leader="none"/>
              </w:tabs>
              <w:suppressAutoHyphens w:val="true"/>
              <w:spacing w:lineRule="auto" w:line="240" w:before="0" w:after="0"/>
              <w:ind w:hanging="0" w:left="0" w:right="0"/>
              <w:jc w:val="left"/>
              <w:rPr>
                <w:sz w:val="20"/>
                <w:szCs w:val="20"/>
              </w:rPr>
            </w:pPr>
            <w:r>
              <w:rPr>
                <w:rFonts w:cs=""/>
                <w:kern w:val="0"/>
                <w:sz w:val="20"/>
                <w:szCs w:val="20"/>
                <w:lang w:val="ru-RU" w:eastAsia="en-US" w:bidi="ar-SA"/>
              </w:rPr>
              <w:t>В</w:t>
            </w:r>
            <w:r>
              <w:rPr>
                <w:rFonts w:cs=""/>
                <w:kern w:val="0"/>
                <w:sz w:val="20"/>
                <w:szCs w:val="20"/>
                <w:vertAlign w:val="subscript"/>
                <w:lang w:val="ru-RU" w:eastAsia="en-US" w:bidi="ar-SA"/>
              </w:rPr>
              <w:t>1 уровень k</w:t>
            </w:r>
            <w:r>
              <w:rPr>
                <w:rFonts w:cs=""/>
                <w:kern w:val="0"/>
                <w:sz w:val="20"/>
                <w:szCs w:val="20"/>
                <w:lang w:val="ru-RU" w:eastAsia="en-US" w:bidi="ar-SA"/>
              </w:rPr>
              <w:tab/>
              <w:t>–</w:t>
              <w:tab/>
              <w:t>значимость k-ого критерия оценки первого уровня, выраженная в диапазоне от 1% до 100% (или от 0,01 до 1,00) – вес k-ого критерия оценки первого уровня.</w:t>
            </w:r>
          </w:p>
          <w:p>
            <w:pPr>
              <w:pStyle w:val="2"/>
              <w:widowControl w:val="false"/>
              <w:tabs>
                <w:tab w:val="clear" w:pos="708"/>
                <w:tab w:val="left" w:pos="742" w:leader="none"/>
                <w:tab w:val="left" w:pos="1167" w:leader="none"/>
              </w:tabs>
              <w:suppressAutoHyphens w:val="true"/>
              <w:spacing w:lineRule="auto" w:line="240" w:before="0" w:after="0"/>
              <w:ind w:hanging="0" w:left="0" w:right="0"/>
              <w:jc w:val="left"/>
              <w:rPr>
                <w:sz w:val="20"/>
                <w:szCs w:val="20"/>
              </w:rPr>
            </w:pPr>
            <w:r>
              <w:rPr>
                <w:rFonts w:cs=""/>
                <w:i w:val="false"/>
                <w:iCs w:val="false"/>
                <w:kern w:val="0"/>
                <w:sz w:val="20"/>
                <w:szCs w:val="20"/>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7"/>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7"/>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_Ref130985951 \r \h </w:instrText>
      </w:r>
      <w:r>
        <w:rPr/>
        <w:fldChar w:fldCharType="separate"/>
      </w:r>
      <w:r>
        <w:rPr/>
        <w:t>4.13</w:t>
      </w:r>
      <w:r>
        <w:rPr/>
        <w:fldChar w:fldCharType="end"/>
      </w:r>
      <w:r>
        <w:rPr/>
        <w:t>.</w:t>
      </w:r>
    </w:p>
    <w:p>
      <w:pPr>
        <w:sectPr>
          <w:headerReference w:type="default" r:id="rId35"/>
          <w:headerReference w:type="first" r:id="rId36"/>
          <w:footerReference w:type="default" r:id="rId37"/>
          <w:footerReference w:type="first" r:id="rId38"/>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7"/>
        <w:rPr/>
      </w:pPr>
      <w:r>
        <w:rPr/>
        <w:t>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p>
    <w:p>
      <w:pPr>
        <w:pStyle w:val="Style25"/>
        <w:rPr/>
      </w:pPr>
      <w:bookmarkStart w:id="418" w:name="_Ref125360420"/>
      <w:bookmarkStart w:id="419" w:name="Прил09_ОбоснованиеНМЦ"/>
      <w:bookmarkStart w:id="420" w:name="_Toc228976388"/>
      <w:bookmarkStart w:id="421" w:name="_Toc136249260"/>
      <w:bookmarkStart w:id="422" w:name="_Toc136261689"/>
      <w:bookmarkStart w:id="423" w:name="_Toc136261766"/>
      <w:bookmarkStart w:id="424" w:name="_Toc136249261"/>
      <w:bookmarkStart w:id="425" w:name="_Toc136261690"/>
      <w:bookmarkStart w:id="426" w:name="_Toc136261767"/>
      <w:bookmarkStart w:id="427" w:name="_Toc136249262"/>
      <w:bookmarkStart w:id="428" w:name="_Toc136261691"/>
      <w:bookmarkStart w:id="429" w:name="_Toc136261768"/>
      <w:bookmarkStart w:id="430" w:name="_Toc136249263"/>
      <w:bookmarkStart w:id="431" w:name="_Toc136261692"/>
      <w:bookmarkStart w:id="432" w:name="_Toc136261769"/>
      <w:bookmarkEnd w:id="421"/>
      <w:bookmarkEnd w:id="422"/>
      <w:bookmarkEnd w:id="423"/>
      <w:bookmarkEnd w:id="424"/>
      <w:bookmarkEnd w:id="425"/>
      <w:bookmarkEnd w:id="426"/>
      <w:bookmarkEnd w:id="427"/>
      <w:bookmarkEnd w:id="428"/>
      <w:bookmarkEnd w:id="429"/>
      <w:bookmarkEnd w:id="430"/>
      <w:bookmarkEnd w:id="431"/>
      <w:bookmarkEnd w:id="432"/>
      <w:r>
        <w:rPr/>
        <w:t>Приложение № 9 – Обоснование НМЦ</w:t>
      </w:r>
      <w:bookmarkEnd w:id="418"/>
      <w:bookmarkEnd w:id="419"/>
      <w:bookmarkEnd w:id="420"/>
    </w:p>
    <w:p>
      <w:pPr>
        <w:pStyle w:val="Style26"/>
        <w:rPr/>
      </w:pPr>
      <w:bookmarkStart w:id="433" w:name="_Toc228976389"/>
      <w:r>
        <w:rPr/>
        <w:t>Пояснения к Обоснованию НМЦ</w:t>
      </w:r>
      <w:bookmarkEnd w:id="433"/>
    </w:p>
    <w:p>
      <w:pPr>
        <w:pStyle w:val="Style27"/>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5"/>
        <w:rPr/>
      </w:pPr>
      <w:bookmarkStart w:id="434" w:name="_Toc228976390"/>
      <w:bookmarkStart w:id="435" w:name="Прил10_ЗаявкаНаАккредитацию"/>
      <w:bookmarkEnd w:id="435"/>
      <w:r>
        <w:rPr/>
        <w:t>Приложение № 10 – Форма Заявки на аккредитацию</w:t>
      </w:r>
      <w:bookmarkEnd w:id="434"/>
    </w:p>
    <w:p>
      <w:pPr>
        <w:pStyle w:val="Style26"/>
        <w:rPr/>
      </w:pPr>
      <w:bookmarkStart w:id="436" w:name="_Toc228976391"/>
      <w:r>
        <w:rPr/>
        <w:t>Пояснения к форме Заявки на аккредитацию</w:t>
      </w:r>
      <w:bookmarkEnd w:id="436"/>
    </w:p>
    <w:p>
      <w:pPr>
        <w:pStyle w:val="Style27"/>
        <w:rPr/>
      </w:pPr>
      <w:r>
        <w:rPr/>
        <w:t>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w:t>
      </w:r>
    </w:p>
    <w:p>
      <w:pPr>
        <w:pStyle w:val="Style27"/>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43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437"/>
      <w:r>
        <w:rPr/>
        <w:t>.</w:t>
      </w:r>
    </w:p>
    <w:p>
      <w:pPr>
        <w:pStyle w:val="Style31"/>
        <w:jc w:val="center"/>
        <w:rPr/>
      </w:pPr>
      <w:r>
        <w:rPr/>
        <w:object>
          <v:shapetype id="_x0000_tole_rId39" coordsize="21600,21600" o:spt="ole_rId3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9" type="_x0000_tole_rId39" style="width:78.75pt;height:48.75pt;mso-wrap-distance-right:0pt" filled="f" o:ole="">
            <v:imagedata r:id="rId40" o:title=""/>
          </v:shape>
          <o:OLEObject Type="Embed" ProgID="Excel.Sheet.12" ShapeID="ole_rId39" DrawAspect="Icon" ObjectID="_416944953" r:id="rId39"/>
        </w:object>
      </w:r>
    </w:p>
    <w:p>
      <w:pPr>
        <w:pStyle w:val="Style25"/>
        <w:rPr/>
      </w:pPr>
      <w:bookmarkStart w:id="438" w:name="_Toc228976392"/>
      <w:bookmarkStart w:id="439" w:name="Прил11_Данные_бухотчетность"/>
      <w:r>
        <w:rPr/>
        <w:t xml:space="preserve">Приложение № 11 </w:t>
      </w:r>
      <w:bookmarkEnd w:id="439"/>
      <w:r>
        <w:rPr/>
        <w:t>– форма Данных бухгалтерской (финансовой) отчетности</w:t>
      </w:r>
      <w:bookmarkEnd w:id="438"/>
    </w:p>
    <w:p>
      <w:pPr>
        <w:pStyle w:val="Style26"/>
        <w:rPr/>
      </w:pPr>
      <w:bookmarkStart w:id="440" w:name="_Toc228976393"/>
      <w:r>
        <w:rPr/>
        <w:t>Пояснения к форме Данных бухгалтерской (финансовой) отчетности</w:t>
      </w:r>
      <w:bookmarkEnd w:id="440"/>
      <w:r>
        <w:rPr/>
        <w:t xml:space="preserve"> </w:t>
      </w:r>
    </w:p>
    <w:p>
      <w:pPr>
        <w:pStyle w:val="Style2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41" w:name="_MON_1821256687"/>
      <w:bookmarkStart w:id="442" w:name="_MON_1821256687"/>
      <w:bookmarkEnd w:id="442"/>
    </w:p>
    <w:p>
      <w:pPr>
        <w:pStyle w:val="Normal"/>
        <w:jc w:val="center"/>
        <w:rPr/>
      </w:pPr>
      <w:bookmarkStart w:id="443" w:name="_Hlk210644436"/>
      <w:bookmarkStart w:id="444" w:name="_MON_1821256687_Копия_1"/>
      <w:bookmarkEnd w:id="444"/>
      <w:r>
        <w:rPr/>
        <w:object>
          <v:shapetype id="_x0000_tole_rId41" coordsize="21600,21600" o:spt="ole_rId4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1" type="_x0000_tole_rId41" style="width:78pt;height:49.5pt;mso-wrap-distance-right:0pt" filled="f" o:ole="">
            <v:imagedata r:id="rId42" o:title=""/>
          </v:shape>
          <o:OLEObject Type="Embed" ProgID="Word.Document.12" ShapeID="ole_rId41" DrawAspect="Icon" ObjectID="_1027656893" r:id="rId41"/>
        </w:object>
      </w:r>
      <w:bookmarkEnd w:id="443"/>
    </w:p>
    <w:p>
      <w:pPr>
        <w:pStyle w:val="Normal"/>
        <w:jc w:val="center"/>
        <w:rPr/>
      </w:pPr>
      <w:r>
        <w:rPr/>
      </w:r>
    </w:p>
    <w:sectPr>
      <w:headerReference w:type="default" r:id="rId43"/>
      <w:headerReference w:type="first" r:id="rId44"/>
      <w:footerReference w:type="default" r:id="rId45"/>
      <w:footerReference w:type="first" r:id="rId46"/>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Segoe UI">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9707148"/>
    </w:sdtPr>
    <w:sdtContent>
      <w:p>
        <w:pPr>
          <w:pStyle w:val="Footer"/>
          <w:spacing w:before="120" w:after="0"/>
          <w:rPr/>
        </w:pPr>
        <w:r>
          <w:rPr/>
          <w:fldChar w:fldCharType="begin"/>
        </w:r>
        <w:r>
          <w:rPr/>
          <w:instrText xml:space="preserve"> PAGE </w:instrText>
        </w:r>
        <w:r>
          <w:rPr/>
          <w:fldChar w:fldCharType="separate"/>
        </w:r>
        <w:r>
          <w:rPr/>
          <w:t>22</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63018915"/>
    </w:sdtPr>
    <w:sdtContent>
      <w:p>
        <w:pPr>
          <w:pStyle w:val="Footer"/>
          <w:spacing w:before="120" w:after="0"/>
          <w:rPr/>
        </w:pPr>
        <w:r>
          <w:rPr/>
          <w:fldChar w:fldCharType="begin"/>
        </w:r>
        <w:r>
          <w:rPr/>
          <w:instrText xml:space="preserve"> PAGE </w:instrText>
        </w:r>
        <w:r>
          <w:rPr/>
          <w:fldChar w:fldCharType="separate"/>
        </w:r>
        <w:r>
          <w:rPr/>
          <w:t>25</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67041557"/>
    </w:sdtPr>
    <w:sdtContent>
      <w:p>
        <w:pPr>
          <w:pStyle w:val="Footer"/>
          <w:spacing w:before="120" w:after="0"/>
          <w:rPr/>
        </w:pPr>
        <w:r>
          <w:rPr/>
          <w:fldChar w:fldCharType="begin"/>
        </w:r>
        <w:r>
          <w:rPr/>
          <w:instrText xml:space="preserve"> PAGE </w:instrText>
        </w:r>
        <w:r>
          <w:rPr/>
          <w:fldChar w:fldCharType="separate"/>
        </w:r>
        <w:r>
          <w:rPr/>
          <w:t>56</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76774370"/>
    </w:sdtPr>
    <w:sdtContent>
      <w:p>
        <w:pPr>
          <w:pStyle w:val="Footer"/>
          <w:spacing w:before="120" w:after="0"/>
          <w:rPr/>
        </w:pPr>
        <w:r>
          <w:rPr/>
          <w:fldChar w:fldCharType="begin"/>
        </w:r>
        <w:r>
          <w:rPr/>
          <w:instrText xml:space="preserve"> PAGE </w:instrText>
        </w:r>
        <w:r>
          <w:rPr/>
          <w:fldChar w:fldCharType="separate"/>
        </w:r>
        <w:r>
          <w:rPr/>
          <w:t>58</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19186215"/>
    </w:sdtPr>
    <w:sdtContent>
      <w:p>
        <w:pPr>
          <w:pStyle w:val="Footer"/>
          <w:spacing w:before="120" w:after="0"/>
          <w:rPr/>
        </w:pPr>
        <w:r>
          <w:rPr/>
          <w:fldChar w:fldCharType="begin"/>
        </w:r>
        <w:r>
          <w:rPr/>
          <w:instrText xml:space="preserve"> PAGE </w:instrText>
        </w:r>
        <w:r>
          <w:rPr/>
          <w:fldChar w:fldCharType="separate"/>
        </w:r>
        <w:r>
          <w:rPr/>
          <w:t>68</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347011020"/>
    </w:sdtPr>
    <w:sdtContent>
      <w:p>
        <w:pPr>
          <w:pStyle w:val="Footer"/>
          <w:spacing w:before="120" w:after="0"/>
          <w:rPr/>
        </w:pPr>
        <w:r>
          <w:rPr/>
          <w:fldChar w:fldCharType="begin"/>
        </w:r>
        <w:r>
          <w:rPr/>
          <w:instrText xml:space="preserve"> PAGE </w:instrText>
        </w:r>
        <w:r>
          <w:rPr/>
          <w:fldChar w:fldCharType="separate"/>
        </w:r>
        <w:r>
          <w:rPr/>
          <w:t>75</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53899680"/>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38419287"/>
    </w:sdtPr>
    <w:sdtContent>
      <w:p>
        <w:pPr>
          <w:pStyle w:val="Footer"/>
          <w:spacing w:before="120" w:after="0"/>
          <w:rPr/>
        </w:pPr>
        <w:r>
          <w:rPr/>
          <w:fldChar w:fldCharType="begin"/>
        </w:r>
        <w:r>
          <w:rPr/>
          <w:instrText xml:space="preserve"> PAGE </w:instrText>
        </w:r>
        <w:r>
          <w:rPr/>
          <w:fldChar w:fldCharType="separate"/>
        </w:r>
        <w:r>
          <w:rPr/>
          <w:t>81</w:t>
        </w:r>
        <w:r>
          <w:rPr/>
          <w:fldChar w:fldCharType="end"/>
        </w:r>
      </w:p>
    </w:sdtContent>
  </w:sdt>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3"/>
        <w:spacing w:before="80" w:after="0"/>
        <w:ind w:hanging="567" w:left="567"/>
        <w:jc w:val="both"/>
        <w:rPr/>
      </w:pPr>
      <w:r>
        <w:rPr>
          <w:rStyle w:val="Style13"/>
        </w:rPr>
        <w:footnoteRef/>
      </w:r>
      <w:r>
        <w:rPr/>
        <w:tab/>
        <w:t>Информационной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footnote>
  <w:footnote w:id="3">
    <w:p>
      <w:pPr>
        <w:pStyle w:val="Style33"/>
        <w:spacing w:before="80" w:after="0"/>
        <w:ind w:hanging="567" w:left="567"/>
        <w:jc w:val="both"/>
        <w:rPr/>
      </w:pPr>
      <w:r>
        <w:rPr>
          <w:rStyle w:val="Style13"/>
        </w:rPr>
        <w:footnoteRef/>
      </w:r>
      <w:r>
        <w:rPr/>
        <w:tab/>
        <w:t>Определенные в соответствии с Законом 422-ФЗ.</w:t>
      </w:r>
    </w:p>
  </w:footnote>
  <w:footnote w:id="4">
    <w:p>
      <w:pPr>
        <w:pStyle w:val="Style33"/>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3"/>
        <w:spacing w:before="80" w:after="0"/>
        <w:ind w:hanging="567" w:left="567"/>
        <w:jc w:val="both"/>
        <w:rPr/>
      </w:pPr>
      <w:r>
        <w:rPr>
          <w:rStyle w:val="Style13"/>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4.12</w:t>
      </w:r>
      <w:r>
        <w:rPr/>
        <w:fldChar w:fldCharType="end"/>
      </w:r>
      <w:r>
        <w:rPr/>
        <w:t>), не допускается.</w:t>
      </w:r>
    </w:p>
  </w:footnote>
  <w:footnote w:id="6">
    <w:p>
      <w:pPr>
        <w:pStyle w:val="Style33"/>
        <w:spacing w:before="80" w:after="0"/>
        <w:ind w:hanging="567" w:left="567"/>
        <w:jc w:val="both"/>
        <w:rPr/>
      </w:pPr>
      <w:r>
        <w:rPr>
          <w:rStyle w:val="Style13"/>
        </w:rPr>
        <w:footnoteRef/>
      </w:r>
      <w:r>
        <w:rPr/>
        <w:tab/>
        <w:t>С учетом пункта </w:t>
      </w:r>
      <w:r>
        <w:rPr/>
        <w:fldChar w:fldCharType="begin"/>
      </w:r>
      <w:r>
        <w:rPr/>
        <w:instrText xml:space="preserve"> REF _Ref125365558 \w \h </w:instrText>
      </w:r>
      <w:r>
        <w:rPr/>
        <w:fldChar w:fldCharType="separate"/>
      </w:r>
      <w:r>
        <w:rPr/>
        <w:t>Ошибка: источник перекрёстной ссылки не найден</w:t>
      </w:r>
      <w:r>
        <w:rPr/>
        <w:fldChar w:fldCharType="end"/>
      </w:r>
      <w:r>
        <w:rPr/>
        <w:t>.</w:t>
      </w:r>
    </w:p>
  </w:footnote>
  <w:footnote w:id="7">
    <w:p>
      <w:pPr>
        <w:pStyle w:val="Style33"/>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8">
    <w:p>
      <w:pPr>
        <w:pStyle w:val="Style33"/>
        <w:spacing w:before="80" w:after="0"/>
        <w:ind w:hanging="567" w:left="567"/>
        <w:jc w:val="both"/>
        <w:rPr/>
      </w:pPr>
      <w:r>
        <w:rPr>
          <w:rStyle w:val="Style13"/>
        </w:rPr>
        <w:footnoteRef/>
      </w:r>
      <w:r>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9">
    <w:p>
      <w:pPr>
        <w:pStyle w:val="Style33"/>
        <w:spacing w:before="80" w:after="0"/>
        <w:rPr>
          <w:szCs w:val="22"/>
        </w:rPr>
      </w:pPr>
      <w:r>
        <w:rPr>
          <w:rStyle w:val="Style13"/>
        </w:rPr>
        <w:footnoteRef/>
      </w:r>
      <w:r>
        <w:rPr>
          <w:szCs w:val="22"/>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10">
    <w:p>
      <w:pPr>
        <w:pStyle w:val="Style33"/>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1">
    <w:p>
      <w:pPr>
        <w:pStyle w:val="Style33"/>
        <w:spacing w:before="80" w:after="0"/>
        <w:ind w:hanging="567" w:left="567"/>
        <w:jc w:val="both"/>
        <w:rPr/>
      </w:pPr>
      <w:r>
        <w:rPr>
          <w:rStyle w:val="Style13"/>
        </w:rPr>
        <w:footnoteRef/>
      </w:r>
      <w:r>
        <w:rPr/>
        <w:tab/>
        <w:t>https://minfin.gov.ru/ru/perfomance/tax_relations/policy/bankwarranty/</w:t>
      </w:r>
    </w:p>
  </w:footnote>
  <w:footnote w:id="12">
    <w:p>
      <w:pPr>
        <w:pStyle w:val="Normal"/>
        <w:spacing w:before="120" w:after="0"/>
        <w:jc w:val="both"/>
        <w:rPr>
          <w:sz w:val="22"/>
        </w:rPr>
      </w:pPr>
      <w:r>
        <w:rPr>
          <w:rStyle w:val="Style13"/>
        </w:rPr>
        <w:footnoteRef/>
      </w:r>
      <w:r>
        <w:rPr/>
        <w:t xml:space="preserve"> </w:t>
      </w:r>
      <w:r>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3">
    <w:p>
      <w:pPr>
        <w:pStyle w:val="Style33"/>
        <w:spacing w:before="80" w:after="0"/>
        <w:ind w:hanging="567" w:left="567"/>
        <w:jc w:val="both"/>
        <w:rPr/>
      </w:pPr>
      <w:r>
        <w:rPr>
          <w:rStyle w:val="Style13"/>
        </w:rPr>
        <w:footnoteRef/>
      </w:r>
      <w:r>
        <w:rPr/>
        <w:tab/>
        <w:t>Коллективный участник предоставляет указанные документы на каждого члена.</w:t>
      </w:r>
    </w:p>
  </w:footnote>
  <w:footnote w:id="14">
    <w:p>
      <w:pPr>
        <w:pStyle w:val="Style33"/>
        <w:spacing w:before="80" w:after="0"/>
        <w:ind w:hanging="567" w:left="567"/>
        <w:jc w:val="both"/>
        <w:rPr/>
      </w:pPr>
      <w:r>
        <w:rPr>
          <w:rStyle w:val="Style13"/>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Победителя.</w:t>
      </w:r>
    </w:p>
  </w:footnote>
  <w:footnote w:id="15">
    <w:p>
      <w:pPr>
        <w:pStyle w:val="Style33"/>
        <w:spacing w:before="80" w:after="0"/>
        <w:ind w:hanging="567" w:left="567"/>
        <w:jc w:val="both"/>
        <w:rPr/>
      </w:pPr>
      <w:r>
        <w:rPr>
          <w:rStyle w:val="Style13"/>
        </w:rPr>
        <w:footnoteRef/>
      </w:r>
      <w:bookmarkStart w:id="445" w:name="_Hlk139028796_Копия_1_Копия_1_Копия_1_Ко"/>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45"/>
    </w:p>
  </w:footnote>
  <w:footnote w:id="16">
    <w:p>
      <w:pPr>
        <w:pStyle w:val="Style33"/>
        <w:spacing w:before="80" w:after="0"/>
        <w:ind w:hanging="567" w:left="567"/>
        <w:jc w:val="both"/>
        <w:rPr/>
      </w:pPr>
      <w:r>
        <w:rPr>
          <w:rStyle w:val="Style13"/>
        </w:rPr>
        <w:footnoteRef/>
      </w:r>
      <w:bookmarkStart w:id="446" w:name="_Hlk139028803_Копия_1_Копия_1_Копия_1_Ко"/>
      <w:bookmarkStart w:id="447" w:name="_Hlk139028804_Копия_1_Копия_1_Копия_1_Ко"/>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_Ref138232981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46"/>
      <w:bookmarkEnd w:id="447"/>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5"/>
      <w:numFmt w:val="decimal"/>
      <w:lvlText w:val="%1."/>
      <w:lvlJc w:val="left"/>
      <w:pPr>
        <w:tabs>
          <w:tab w:val="num" w:pos="1134"/>
        </w:tabs>
        <w:ind w:left="1134" w:hanging="1134"/>
      </w:pPr>
      <w:rPr/>
    </w:lvl>
    <w:lvl w:ilvl="1">
      <w:start w:val="1"/>
      <w:pStyle w:val="Style26"/>
      <w:numFmt w:val="decimal"/>
      <w:lvlText w:val="%1.%2"/>
      <w:lvlJc w:val="left"/>
      <w:pPr>
        <w:tabs>
          <w:tab w:val="num" w:pos="1134"/>
        </w:tabs>
        <w:ind w:left="1134" w:hanging="1134"/>
      </w:pPr>
      <w:rPr/>
    </w:lvl>
    <w:lvl w:ilvl="2">
      <w:start w:val="1"/>
      <w:pStyle w:val="Style27"/>
      <w:numFmt w:val="decimal"/>
      <w:lvlText w:val="%1.%2.%3"/>
      <w:lvlJc w:val="left"/>
      <w:pPr>
        <w:tabs>
          <w:tab w:val="num" w:pos="1134"/>
        </w:tabs>
        <w:ind w:left="1134" w:hanging="1134"/>
      </w:pPr>
      <w:rPr/>
    </w:lvl>
    <w:lvl w:ilvl="3">
      <w:start w:val="1"/>
      <w:pStyle w:val="Style28"/>
      <w:numFmt w:val="russianLower"/>
      <w:lvlText w:val="%4)"/>
      <w:lvlJc w:val="left"/>
      <w:pPr>
        <w:tabs>
          <w:tab w:val="num" w:pos="1701"/>
        </w:tabs>
        <w:ind w:left="1701" w:hanging="567"/>
      </w:pPr>
      <w:rPr/>
    </w:lvl>
    <w:lvl w:ilvl="4">
      <w:start w:val="1"/>
      <w:pStyle w:val="Style29"/>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russianLower"/>
      <w:lvlText w:val="%1)"/>
      <w:lvlJc w:val="left"/>
      <w:pPr>
        <w:tabs>
          <w:tab w:val="num" w:pos="0"/>
        </w:tabs>
        <w:ind w:left="1918" w:hanging="360"/>
      </w:pPr>
      <w:rPr/>
    </w:lvl>
    <w:lvl w:ilvl="1">
      <w:start w:val="1"/>
      <w:numFmt w:val="lowerLetter"/>
      <w:lvlText w:val="%2."/>
      <w:lvlJc w:val="left"/>
      <w:pPr>
        <w:tabs>
          <w:tab w:val="num" w:pos="0"/>
        </w:tabs>
        <w:ind w:left="2638" w:hanging="360"/>
      </w:pPr>
      <w:rPr/>
    </w:lvl>
    <w:lvl w:ilvl="2">
      <w:start w:val="1"/>
      <w:numFmt w:val="lowerRoman"/>
      <w:lvlText w:val="%3."/>
      <w:lvlJc w:val="right"/>
      <w:pPr>
        <w:tabs>
          <w:tab w:val="num" w:pos="0"/>
        </w:tabs>
        <w:ind w:left="3358" w:hanging="180"/>
      </w:pPr>
      <w:rPr/>
    </w:lvl>
    <w:lvl w:ilvl="3">
      <w:start w:val="1"/>
      <w:numFmt w:val="decimal"/>
      <w:lvlText w:val="%4."/>
      <w:lvlJc w:val="left"/>
      <w:pPr>
        <w:tabs>
          <w:tab w:val="num" w:pos="0"/>
        </w:tabs>
        <w:ind w:left="4078" w:hanging="360"/>
      </w:pPr>
      <w:rPr/>
    </w:lvl>
    <w:lvl w:ilvl="4">
      <w:start w:val="1"/>
      <w:numFmt w:val="lowerLetter"/>
      <w:lvlText w:val="%5."/>
      <w:lvlJc w:val="left"/>
      <w:pPr>
        <w:tabs>
          <w:tab w:val="num" w:pos="0"/>
        </w:tabs>
        <w:ind w:left="4798" w:hanging="360"/>
      </w:pPr>
      <w:rPr/>
    </w:lvl>
    <w:lvl w:ilvl="5">
      <w:start w:val="1"/>
      <w:numFmt w:val="lowerRoman"/>
      <w:lvlText w:val="%6."/>
      <w:lvlJc w:val="right"/>
      <w:pPr>
        <w:tabs>
          <w:tab w:val="num" w:pos="0"/>
        </w:tabs>
        <w:ind w:left="5518" w:hanging="180"/>
      </w:pPr>
      <w:rPr/>
    </w:lvl>
    <w:lvl w:ilvl="6">
      <w:start w:val="1"/>
      <w:numFmt w:val="decimal"/>
      <w:lvlText w:val="%7."/>
      <w:lvlJc w:val="left"/>
      <w:pPr>
        <w:tabs>
          <w:tab w:val="num" w:pos="0"/>
        </w:tabs>
        <w:ind w:left="6238" w:hanging="360"/>
      </w:pPr>
      <w:rPr/>
    </w:lvl>
    <w:lvl w:ilvl="7">
      <w:start w:val="1"/>
      <w:numFmt w:val="lowerLetter"/>
      <w:lvlText w:val="%8."/>
      <w:lvlJc w:val="left"/>
      <w:pPr>
        <w:tabs>
          <w:tab w:val="num" w:pos="0"/>
        </w:tabs>
        <w:ind w:left="6958" w:hanging="360"/>
      </w:pPr>
      <w:rPr/>
    </w:lvl>
    <w:lvl w:ilvl="8">
      <w:start w:val="1"/>
      <w:numFmt w:val="lowerRoman"/>
      <w:lvlText w:val="%9."/>
      <w:lvlJc w:val="right"/>
      <w:pPr>
        <w:tabs>
          <w:tab w:val="num" w:pos="0"/>
        </w:tabs>
        <w:ind w:left="7678" w:hanging="180"/>
      </w:pPr>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9">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0">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uiPriority="9" w:semiHidden="1" w:unhideWhenUsed="1" w:qFormat="1"/>
    <w:lsdException w:name="heading 3" w:locked="0" w:uiPriority="9" w:semiHidden="1" w:unhideWhenUsed="1" w:qFormat="1"/>
    <w:lsdException w:name="heading 4" w:locked="0" w:uiPriority="9"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9" w:customStyle="1">
    <w:name w:val="Верхний колонтитул Знак"/>
    <w:basedOn w:val="DefaultParagraphFont"/>
    <w:uiPriority w:val="99"/>
    <w:qFormat/>
    <w:rsid w:val="00c95e18"/>
    <w:rPr/>
  </w:style>
  <w:style w:type="character" w:styleId="Style10" w:customStyle="1">
    <w:name w:val="Нижний колонтитул Знак"/>
    <w:basedOn w:val="DefaultParagraphFont"/>
    <w:uiPriority w:val="99"/>
    <w:qFormat/>
    <w:rsid w:val="008364e8"/>
    <w:rPr/>
  </w:style>
  <w:style w:type="character" w:styleId="Style11" w:customStyle="1">
    <w:name w:val="[РГ] Инструкция для организатора"/>
    <w:basedOn w:val="DefaultParagraphFont"/>
    <w:uiPriority w:val="1"/>
    <w:qFormat/>
    <w:rsid w:val="00277346"/>
    <w:rPr>
      <w:i/>
      <w:iCs/>
      <w:shd w:fill="FFFF99" w:val="clear"/>
      <w:lang w:val="ru-RU"/>
    </w:rPr>
  </w:style>
  <w:style w:type="character" w:styleId="Style12" w:customStyle="1">
    <w:name w:val="Текст сноски Знак"/>
    <w:basedOn w:val="DefaultParagraphFont"/>
    <w:uiPriority w:val="99"/>
    <w:semiHidden/>
    <w:qFormat/>
    <w:rsid w:val="006608d1"/>
    <w:rPr>
      <w:sz w:val="20"/>
      <w:szCs w:val="20"/>
    </w:rPr>
  </w:style>
  <w:style w:type="character" w:styleId="Style13" w:customStyle="1">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customStyle="1">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4"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5" w:customStyle="1">
    <w:name w:val="Текст примечания Знак"/>
    <w:basedOn w:val="DefaultParagraphFont"/>
    <w:link w:val="Annotationtext"/>
    <w:uiPriority w:val="99"/>
    <w:qFormat/>
    <w:rsid w:val="007e365e"/>
    <w:rPr>
      <w:sz w:val="20"/>
      <w:szCs w:val="20"/>
    </w:rPr>
  </w:style>
  <w:style w:type="character" w:styleId="Style16" w:customStyle="1">
    <w:name w:val="Тема примечания Знак"/>
    <w:basedOn w:val="Style15"/>
    <w:link w:val="Annotationsubject"/>
    <w:uiPriority w:val="99"/>
    <w:semiHidden/>
    <w:qFormat/>
    <w:rsid w:val="007e365e"/>
    <w:rPr>
      <w:b/>
      <w:bCs/>
      <w:sz w:val="20"/>
      <w:szCs w:val="20"/>
    </w:rPr>
  </w:style>
  <w:style w:type="character" w:styleId="Style17"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Style18" w:customStyle="1">
    <w:name w:val="Текст выноски Знак"/>
    <w:basedOn w:val="DefaultParagraphFont"/>
    <w:link w:val="BalloonText"/>
    <w:uiPriority w:val="99"/>
    <w:semiHidden/>
    <w:qFormat/>
    <w:rsid w:val="0079507d"/>
    <w:rPr>
      <w:rFonts w:ascii="Segoe UI" w:hAnsi="Segoe UI" w:cs="Segoe UI"/>
      <w:sz w:val="18"/>
      <w:szCs w:val="18"/>
    </w:rPr>
  </w:style>
  <w:style w:type="character" w:styleId="Style19" w:customStyle="1">
    <w:name w:val="РГ_ЕПоЗ_а) Знак"/>
    <w:basedOn w:val="DefaultParagraphFont"/>
    <w:link w:val="Style35"/>
    <w:qFormat/>
    <w:rsid w:val="00883208"/>
    <w:rPr>
      <w:rFonts w:eastAsia="Calibri" w:cs="Times New Roman"/>
      <w:sz w:val="28"/>
      <w:szCs w:val="28"/>
    </w:rPr>
  </w:style>
  <w:style w:type="character" w:styleId="-" w:customStyle="1">
    <w:name w:val="РГ_ЕПоЗ_- Знак"/>
    <w:basedOn w:val="DefaultParagraphFont"/>
    <w:link w:val="-2"/>
    <w:qFormat/>
    <w:rsid w:val="00883208"/>
    <w:rPr>
      <w:rFonts w:eastAsia="Times New Roman" w:cs="Times New Roman"/>
      <w:sz w:val="28"/>
      <w:szCs w:val="20"/>
      <w:lang w:eastAsia="ru-RU"/>
    </w:rPr>
  </w:style>
  <w:style w:type="character" w:styleId="Style20" w:customStyle="1">
    <w:name w:val="Ссылка указателя"/>
    <w:qFormat/>
    <w:rPr/>
  </w:style>
  <w:style w:type="character" w:styleId="Style21" w:customStyle="1">
    <w:name w:val="Символ концевой сноски"/>
    <w:qFormat/>
    <w:rPr>
      <w:vertAlign w:val="superscript"/>
    </w:rPr>
  </w:style>
  <w:style w:type="character" w:styleId="EndnoteReference">
    <w:name w:val="Endnote Reference"/>
    <w:rPr>
      <w:vertAlign w:val="superscript"/>
    </w:rPr>
  </w:style>
  <w:style w:type="character" w:styleId="-1" w:customStyle="1">
    <w:name w:val="УРОВЕНЬ_- Знак"/>
    <w:link w:val="-3"/>
    <w:qFormat/>
    <w:locked/>
    <w:rsid w:val="0097220c"/>
    <w:rPr>
      <w:rFonts w:eastAsia="Calibri" w:cs="Times New Roman"/>
      <w:color w:val="00000A"/>
      <w:szCs w:val="28"/>
    </w:rPr>
  </w:style>
  <w:style w:type="character" w:styleId="Style22">
    <w:name w:val="комментарий"/>
    <w:qFormat/>
    <w:rPr>
      <w:b/>
      <w:i/>
      <w:shd w:fill="FFFF99" w:val="clear"/>
    </w:rPr>
  </w:style>
  <w:style w:type="paragraph" w:styleId="Style2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4">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PT Sans" w:hAnsi="PT Sans" w:eastAsia="Noto Sans CJK SC" w:cs="Arial Unicode MS"/>
      <w:sz w:val="28"/>
      <w:szCs w:val="28"/>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rFonts w:cs="Arial Unicode MS"/>
    </w:rPr>
  </w:style>
  <w:style w:type="paragraph" w:styleId="Style25" w:customStyle="1">
    <w:name w:val="[РГ] Раздел"/>
    <w:basedOn w:val="Normal"/>
    <w:next w:val="Style26"/>
    <w:qFormat/>
    <w:rsid w:val="00c95e18"/>
    <w:pPr>
      <w:keepNext w:val="true"/>
      <w:pageBreakBefore/>
      <w:numPr>
        <w:ilvl w:val="0"/>
        <w:numId w:val="1"/>
      </w:numPr>
      <w:spacing w:before="0" w:after="360"/>
      <w:jc w:val="both"/>
      <w:outlineLvl w:val="0"/>
    </w:pPr>
    <w:rPr>
      <w:b/>
      <w:bCs/>
      <w:caps/>
    </w:rPr>
  </w:style>
  <w:style w:type="paragraph" w:styleId="Style26" w:customStyle="1">
    <w:name w:val="[РГ] Подраздел"/>
    <w:basedOn w:val="Normal"/>
    <w:next w:val="Style27"/>
    <w:qFormat/>
    <w:rsid w:val="00891546"/>
    <w:pPr>
      <w:keepNext w:val="true"/>
      <w:numPr>
        <w:ilvl w:val="1"/>
        <w:numId w:val="1"/>
      </w:numPr>
      <w:spacing w:before="360" w:after="0"/>
      <w:jc w:val="both"/>
      <w:outlineLvl w:val="1"/>
    </w:pPr>
    <w:rPr>
      <w:b/>
      <w:bCs/>
    </w:rPr>
  </w:style>
  <w:style w:type="paragraph" w:styleId="Style27" w:customStyle="1">
    <w:name w:val="[РГ] Пункт"/>
    <w:basedOn w:val="Normal"/>
    <w:qFormat/>
    <w:rsid w:val="00891546"/>
    <w:pPr>
      <w:numPr>
        <w:ilvl w:val="2"/>
        <w:numId w:val="1"/>
      </w:numPr>
      <w:jc w:val="both"/>
      <w:outlineLvl w:val="2"/>
    </w:pPr>
    <w:rPr/>
  </w:style>
  <w:style w:type="paragraph" w:styleId="Style28" w:customStyle="1">
    <w:name w:val="[РГ] Подпункт"/>
    <w:basedOn w:val="Normal"/>
    <w:qFormat/>
    <w:rsid w:val="00891546"/>
    <w:pPr>
      <w:numPr>
        <w:ilvl w:val="3"/>
        <w:numId w:val="1"/>
      </w:numPr>
      <w:jc w:val="both"/>
      <w:outlineLvl w:val="3"/>
    </w:pPr>
    <w:rPr/>
  </w:style>
  <w:style w:type="paragraph" w:styleId="Style29" w:customStyle="1">
    <w:name w:val="[РГ] Перечисление"/>
    <w:basedOn w:val="Normal"/>
    <w:qFormat/>
    <w:rsid w:val="00891546"/>
    <w:pPr>
      <w:numPr>
        <w:ilvl w:val="4"/>
        <w:numId w:val="1"/>
      </w:numPr>
      <w:jc w:val="both"/>
      <w:outlineLvl w:val="4"/>
    </w:pPr>
    <w:rPr/>
  </w:style>
  <w:style w:type="paragraph" w:styleId="Style30" w:customStyle="1">
    <w:name w:val="[РГ] Заголовок"/>
    <w:basedOn w:val="Normal"/>
    <w:next w:val="Style31"/>
    <w:qFormat/>
    <w:rsid w:val="00f87384"/>
    <w:pPr>
      <w:keepNext w:val="true"/>
      <w:pageBreakBefore/>
      <w:spacing w:before="0" w:after="360"/>
      <w:jc w:val="both"/>
    </w:pPr>
    <w:rPr>
      <w:b/>
      <w:bCs/>
      <w:caps/>
    </w:rPr>
  </w:style>
  <w:style w:type="paragraph" w:styleId="Style31" w:customStyle="1">
    <w:name w:val="[РГ] Текст"/>
    <w:basedOn w:val="Normal"/>
    <w:qFormat/>
    <w:rsid w:val="00891546"/>
    <w:pPr>
      <w:jc w:val="both"/>
    </w:pPr>
    <w:rPr/>
  </w:style>
  <w:style w:type="paragraph" w:styleId="Style32" w:customStyle="1">
    <w:name w:val="Колонтитул"/>
    <w:basedOn w:val="Normal"/>
    <w:qFormat/>
    <w:pPr/>
    <w:rPr/>
  </w:style>
  <w:style w:type="paragraph" w:styleId="Header">
    <w:name w:val="Header"/>
    <w:basedOn w:val="Normal"/>
    <w:link w:val="Style9"/>
    <w:uiPriority w:val="99"/>
    <w:unhideWhenUsed/>
    <w:rsid w:val="00c95e18"/>
    <w:pPr>
      <w:spacing w:before="0" w:after="120"/>
      <w:jc w:val="center"/>
    </w:pPr>
    <w:rPr/>
  </w:style>
  <w:style w:type="paragraph" w:styleId="Footer">
    <w:name w:val="Footer"/>
    <w:basedOn w:val="Normal"/>
    <w:link w:val="Style10"/>
    <w:uiPriority w:val="99"/>
    <w:unhideWhenUsed/>
    <w:rsid w:val="008364e8"/>
    <w:pPr>
      <w:jc w:val="right"/>
    </w:pPr>
    <w:rPr/>
  </w:style>
  <w:style w:type="paragraph" w:styleId="FootnoteText">
    <w:name w:val="Footnote Text"/>
    <w:basedOn w:val="Normal"/>
    <w:link w:val="Style12"/>
    <w:uiPriority w:val="99"/>
    <w:semiHidden/>
    <w:unhideWhenUsed/>
    <w:rsid w:val="006608d1"/>
    <w:pPr>
      <w:spacing w:before="0" w:after="0"/>
    </w:pPr>
    <w:rPr>
      <w:sz w:val="20"/>
      <w:szCs w:val="20"/>
    </w:rPr>
  </w:style>
  <w:style w:type="paragraph" w:styleId="Style33"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hanging="0"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hanging="0"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hanging="0"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hanging="0"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hanging="0"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hanging="0"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hanging="0"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5"/>
    <w:uiPriority w:val="99"/>
    <w:unhideWhenUsed/>
    <w:qFormat/>
    <w:rsid w:val="007e365e"/>
    <w:pPr/>
    <w:rPr>
      <w:sz w:val="20"/>
      <w:szCs w:val="20"/>
    </w:rPr>
  </w:style>
  <w:style w:type="paragraph" w:styleId="Annotationsubject">
    <w:name w:val="annotation subject"/>
    <w:basedOn w:val="Annotationtext"/>
    <w:next w:val="Annotationtext"/>
    <w:link w:val="Style16"/>
    <w:uiPriority w:val="99"/>
    <w:semiHidden/>
    <w:unhideWhenUsed/>
    <w:qFormat/>
    <w:rsid w:val="007e365e"/>
    <w:pPr/>
    <w:rPr>
      <w:b/>
      <w:bCs/>
    </w:rPr>
  </w:style>
  <w:style w:type="paragraph" w:styleId="Style34" w:customStyle="1">
    <w:name w:val="[РГ] Альтернатива / Дополнение"/>
    <w:basedOn w:val="Style31"/>
    <w:next w:val="Style31"/>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hanging="0" w:left="720"/>
      <w:contextualSpacing/>
    </w:pPr>
    <w:rPr/>
  </w:style>
  <w:style w:type="paragraph" w:styleId="BalloonText">
    <w:name w:val="Balloon Text"/>
    <w:basedOn w:val="Normal"/>
    <w:link w:val="Style18"/>
    <w:uiPriority w:val="99"/>
    <w:semiHidden/>
    <w:unhideWhenUsed/>
    <w:qFormat/>
    <w:rsid w:val="0079507d"/>
    <w:pPr>
      <w:spacing w:before="0" w:after="0"/>
    </w:pPr>
    <w:rPr>
      <w:rFonts w:ascii="Segoe UI" w:hAnsi="Segoe UI" w:cs="Segoe UI"/>
      <w:sz w:val="18"/>
      <w:szCs w:val="18"/>
    </w:rPr>
  </w:style>
  <w:style w:type="paragraph" w:styleId="1" w:customStyle="1">
    <w:name w:val="РГ_ЕПоЗ_1."/>
    <w:basedOn w:val="Normal"/>
    <w:qFormat/>
    <w:rsid w:val="00883208"/>
    <w:pPr>
      <w:keepNext w:val="true"/>
      <w:numPr>
        <w:ilvl w:val="0"/>
        <w:numId w:val="16"/>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 w:customStyle="1">
    <w:name w:val="РГ_ЕПоЗ_1.1"/>
    <w:basedOn w:val="Normal"/>
    <w:qFormat/>
    <w:rsid w:val="00883208"/>
    <w:pPr>
      <w:keepNext w:val="true"/>
      <w:numPr>
        <w:ilvl w:val="1"/>
        <w:numId w:val="16"/>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5" w:customStyle="1">
    <w:name w:val="РГ_ЕПоЗ_а)"/>
    <w:basedOn w:val="ListParagraph"/>
    <w:link w:val="Style19"/>
    <w:qFormat/>
    <w:rsid w:val="00883208"/>
    <w:pPr>
      <w:numPr>
        <w:ilvl w:val="4"/>
        <w:numId w:val="16"/>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883208"/>
    <w:pPr>
      <w:numPr>
        <w:ilvl w:val="3"/>
        <w:numId w:val="16"/>
      </w:numPr>
      <w:tabs>
        <w:tab w:val="clear" w:pos="708"/>
        <w:tab w:val="left" w:pos="1843" w:leader="none"/>
      </w:tabs>
      <w:jc w:val="both"/>
    </w:pPr>
    <w:rPr>
      <w:rFonts w:eastAsia="Times New Roman" w:cs="Times New Roman"/>
      <w:sz w:val="28"/>
      <w:szCs w:val="28"/>
      <w:lang w:eastAsia="ru-RU"/>
    </w:rPr>
  </w:style>
  <w:style w:type="paragraph" w:styleId="-2" w:customStyle="1">
    <w:name w:val="РГ_ЕПоЗ_-"/>
    <w:basedOn w:val="Normal"/>
    <w:link w:val="-"/>
    <w:qFormat/>
    <w:rsid w:val="00883208"/>
    <w:pPr>
      <w:numPr>
        <w:ilvl w:val="5"/>
        <w:numId w:val="16"/>
      </w:numPr>
      <w:tabs>
        <w:tab w:val="clear" w:pos="708"/>
        <w:tab w:val="left" w:pos="2552" w:leader="none"/>
      </w:tabs>
      <w:spacing w:before="0" w:after="0"/>
      <w:jc w:val="both"/>
    </w:pPr>
    <w:rPr>
      <w:rFonts w:eastAsia="Times New Roman" w:cs="Times New Roman"/>
      <w:sz w:val="28"/>
      <w:szCs w:val="20"/>
      <w:lang w:eastAsia="ru-RU"/>
    </w:rPr>
  </w:style>
  <w:style w:type="paragraph" w:styleId="111" w:customStyle="1">
    <w:name w:val="РГ_ЕПоЗ_1.1.1"/>
    <w:basedOn w:val="Normal"/>
    <w:qFormat/>
    <w:rsid w:val="00883208"/>
    <w:pPr>
      <w:numPr>
        <w:ilvl w:val="2"/>
        <w:numId w:val="16"/>
      </w:numPr>
      <w:tabs>
        <w:tab w:val="clear" w:pos="708"/>
        <w:tab w:val="left" w:pos="1134" w:leader="none"/>
      </w:tabs>
      <w:jc w:val="both"/>
    </w:pPr>
    <w:rPr>
      <w:rFonts w:eastAsia="Times New Roman" w:cs="Times New Roman"/>
      <w:sz w:val="28"/>
      <w:szCs w:val="28"/>
      <w:lang w:eastAsia="ru-RU"/>
    </w:rPr>
  </w:style>
  <w:style w:type="paragraph" w:styleId="3" w:customStyle="1">
    <w:name w:val="УРОВЕНЬ_Абзац_тип3"/>
    <w:basedOn w:val="ListParagraph"/>
    <w:qFormat/>
    <w:pPr>
      <w:spacing w:lineRule="exact" w:line="360" w:before="120" w:after="0"/>
      <w:ind w:hanging="360" w:left="5760"/>
      <w:contextualSpacing w:val="false"/>
    </w:pPr>
    <w:rPr>
      <w:rFonts w:eastAsia="Calibri"/>
    </w:rPr>
  </w:style>
  <w:style w:type="paragraph" w:styleId="2" w:customStyle="1">
    <w:name w:val="УРОВЕНЬ_Абзац_тип2"/>
    <w:basedOn w:val="ListParagraph"/>
    <w:qFormat/>
    <w:pPr>
      <w:spacing w:lineRule="exact" w:line="360" w:before="120" w:after="0"/>
      <w:contextualSpacing w:val="false"/>
    </w:pPr>
    <w:rPr>
      <w:rFonts w:eastAsia="Calibri"/>
    </w:rPr>
  </w:style>
  <w:style w:type="paragraph" w:styleId="-3" w:customStyle="1">
    <w:name w:val="УРОВЕНЬ_-"/>
    <w:basedOn w:val="ListParagraph"/>
    <w:link w:val="-1"/>
    <w:qFormat/>
    <w:rsid w:val="0097220c"/>
    <w:pPr>
      <w:tabs>
        <w:tab w:val="clear" w:pos="708"/>
        <w:tab w:val="left" w:pos="360" w:leader="none"/>
      </w:tabs>
      <w:suppressAutoHyphens w:val="false"/>
      <w:spacing w:lineRule="exact" w:line="360" w:before="120" w:after="0"/>
      <w:ind w:firstLine="567" w:left="720"/>
      <w:contextualSpacing w:val="false"/>
      <w:jc w:val="both"/>
      <w:outlineLvl w:val="4"/>
    </w:pPr>
    <w:rPr>
      <w:rFonts w:eastAsia="Calibri" w:cs="Times New Roman"/>
      <w:color w:val="00000A"/>
      <w:szCs w:val="28"/>
    </w:rPr>
  </w:style>
  <w:style w:type="paragraph" w:styleId="Style36">
    <w:name w:val="Содержимое таблицы"/>
    <w:basedOn w:val="Normal"/>
    <w:qFormat/>
    <w:pPr>
      <w:widowControl w:val="false"/>
      <w:suppressLineNumbers/>
    </w:pPr>
    <w:rPr/>
  </w:style>
  <w:style w:type="paragraph" w:styleId="Style37">
    <w:name w:val="Заголовок таблицы"/>
    <w:basedOn w:val="Style36"/>
    <w:qFormat/>
    <w:pPr>
      <w:suppressLineNumbers/>
      <w:jc w:val="center"/>
    </w:pPr>
    <w:rPr>
      <w:b/>
      <w:bCs/>
    </w:rPr>
  </w:style>
  <w:style w:type="numbering" w:styleId="NoList" w:default="1">
    <w:name w:val="No List"/>
    <w:uiPriority w:val="99"/>
    <w:semiHidden/>
    <w:unhideWhenUsed/>
    <w:qFormat/>
  </w:style>
  <w:style w:type="table" w:default="1" w:styleId="a7">
    <w:name w:val="Normal Table"/>
    <w:uiPriority w:val="99"/>
    <w:semiHidden/>
    <w:unhideWhenUsed/>
    <w:tblPr>
      <w:tblCellMar>
        <w:top w:w="0" w:type="dxa"/>
        <w:left w:w="108" w:type="dxa"/>
        <w:bottom w:w="0" w:type="dxa"/>
        <w:right w:w="108" w:type="dxa"/>
      </w:tblCellMar>
    </w:tblPr>
  </w:style>
  <w:style w:type="table" w:customStyle="1" w:styleId="affe">
    <w:name w:val="[РГ] Таблица"/>
    <w:basedOn w:val="a7"/>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ff">
    <w:name w:val="Table Grid"/>
    <w:basedOn w:val="a7"/>
    <w:uiPriority w:val="39"/>
    <w:rsid w:val="006173b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nder.lot-online.ru/" TargetMode="External"/><Relationship Id="rId3" Type="http://schemas.openxmlformats.org/officeDocument/2006/relationships/hyperlink" Target="https://tender.lot-online.ru/etp/reglament_223.pdf" TargetMode="External"/><Relationship Id="rId4" Type="http://schemas.openxmlformats.org/officeDocument/2006/relationships/hyperlink" Target="mailto:kkges@rushydro.ru" TargetMode="External"/><Relationship Id="rId5" Type="http://schemas.openxmlformats.org/officeDocument/2006/relationships/hyperlink" Target="mailto:kkges@rushydro.ru" TargetMode="External"/><Relationship Id="rId6" Type="http://schemas.openxmlformats.org/officeDocument/2006/relationships/hyperlink" Target="mailto:KarpovaLI@rushydro.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package" Target="embeddings/oleObject1.docx"/><Relationship Id="rId14" Type="http://schemas.openxmlformats.org/officeDocument/2006/relationships/image" Target="media/image1.wmf"/><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2.wmf"/><Relationship Id="rId25" Type="http://schemas.openxmlformats.org/officeDocument/2006/relationships/package" Target="embeddings/oleObject3.docx"/><Relationship Id="rId26" Type="http://schemas.openxmlformats.org/officeDocument/2006/relationships/image" Target="media/image3.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eader" Target="header10.xml"/><Relationship Id="rId32" Type="http://schemas.openxmlformats.org/officeDocument/2006/relationships/header" Target="header11.xml"/><Relationship Id="rId33" Type="http://schemas.openxmlformats.org/officeDocument/2006/relationships/footer" Target="footer10.xml"/><Relationship Id="rId34" Type="http://schemas.openxmlformats.org/officeDocument/2006/relationships/footer" Target="footer11.xml"/><Relationship Id="rId35" Type="http://schemas.openxmlformats.org/officeDocument/2006/relationships/header" Target="header12.xml"/><Relationship Id="rId36" Type="http://schemas.openxmlformats.org/officeDocument/2006/relationships/header" Target="header13.xml"/><Relationship Id="rId37" Type="http://schemas.openxmlformats.org/officeDocument/2006/relationships/footer" Target="footer12.xml"/><Relationship Id="rId38" Type="http://schemas.openxmlformats.org/officeDocument/2006/relationships/footer" Target="footer13.xml"/><Relationship Id="rId39" Type="http://schemas.openxmlformats.org/officeDocument/2006/relationships/package" Target="embeddings/oleObject4.xlsx"/><Relationship Id="rId40" Type="http://schemas.openxmlformats.org/officeDocument/2006/relationships/image" Target="media/image4.wmf"/><Relationship Id="rId41" Type="http://schemas.openxmlformats.org/officeDocument/2006/relationships/package" Target="embeddings/oleObject5.docx"/><Relationship Id="rId42" Type="http://schemas.openxmlformats.org/officeDocument/2006/relationships/image" Target="media/image5.wmf"/><Relationship Id="rId43" Type="http://schemas.openxmlformats.org/officeDocument/2006/relationships/header" Target="header14.xml"/><Relationship Id="rId44" Type="http://schemas.openxmlformats.org/officeDocument/2006/relationships/header" Target="header15.xml"/><Relationship Id="rId45" Type="http://schemas.openxmlformats.org/officeDocument/2006/relationships/footer" Target="footer14.xml"/><Relationship Id="rId46" Type="http://schemas.openxmlformats.org/officeDocument/2006/relationships/footer" Target="footer15.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Relationship Id="rId5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CBA64-77A5-4D45-89C6-A8707DE0A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TotalTime>
  <Application>AlterOffice/2026.2.0.0$Linux_X86_64 LibreOffice_project/bc4ef1adf80b36c7a6365f8ed6cbf29021361edd</Application>
  <AppVersion>15.0000</AppVersion>
  <Pages>81</Pages>
  <Words>19920</Words>
  <Characters>138503</Characters>
  <CharactersWithSpaces>156397</CharactersWithSpaces>
  <Paragraphs>1122</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2023-06-27T10:22:00Z</dcterms:created>
  <dc:creator>Владимир Щербаков</dc:creator>
  <dc:description/>
  <cp:keywords>Типовая форма</cp:keywords>
  <dc:language>ru-RU</dc:language>
  <cp:lastModifiedBy>dudkinanv@corp.gidroogk.com</cp:lastModifiedBy>
  <dcterms:modified xsi:type="dcterms:W3CDTF">2026-10-01T08:12:35Z</dcterms:modified>
  <cp:revision>208</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