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document.xml.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theme/theme1.xml" ContentType="application/vnd.openxmlformats-officedocument.theme+xml"/>
  <Override PartName="/word/header1.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header4.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comments.xml" ContentType="application/vnd.openxmlformats-officedocument.wordprocessingml.comment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keepNext w:val="true"/>
        <w:keepLines/>
        <w:jc w:val="center"/>
        <w:rPr>
          <w:rFonts w:eastAsia="Calibri"/>
          <w:b/>
          <w:b/>
          <w:sz w:val="26"/>
          <w:szCs w:val="26"/>
        </w:rPr>
      </w:pPr>
      <w:r>
        <w:rPr>
          <w:rFonts w:eastAsia="Calibri"/>
          <w:b/>
          <w:sz w:val="26"/>
          <w:szCs w:val="26"/>
        </w:rPr>
      </w:r>
    </w:p>
    <w:p>
      <w:pPr>
        <w:pStyle w:val="Normal"/>
        <w:keepNext w:val="true"/>
        <w:keepLines/>
        <w:jc w:val="center"/>
        <w:rPr>
          <w:rFonts w:eastAsia="Calibri"/>
          <w:b/>
          <w:b/>
          <w:sz w:val="26"/>
          <w:szCs w:val="26"/>
        </w:rPr>
      </w:pPr>
      <w:r>
        <w:rPr>
          <w:rFonts w:eastAsia="Calibri"/>
          <w:b/>
          <w:sz w:val="26"/>
          <w:szCs w:val="26"/>
        </w:rPr>
      </w:r>
    </w:p>
    <w:p>
      <w:pPr>
        <w:pStyle w:val="Normal"/>
        <w:keepNext w:val="true"/>
        <w:keepLines/>
        <w:jc w:val="center"/>
        <w:rPr>
          <w:rFonts w:eastAsia="Calibri"/>
          <w:b/>
          <w:b/>
          <w:sz w:val="26"/>
          <w:szCs w:val="26"/>
        </w:rPr>
      </w:pPr>
      <w:r>
        <w:rPr>
          <w:rFonts w:eastAsia="Calibri"/>
          <w:b/>
          <w:sz w:val="26"/>
          <w:szCs w:val="26"/>
        </w:rPr>
      </w:r>
    </w:p>
    <w:p>
      <w:pPr>
        <w:pStyle w:val="Normal"/>
        <w:keepNext w:val="true"/>
        <w:keepLines/>
        <w:jc w:val="center"/>
        <w:rPr>
          <w:rFonts w:eastAsia="Calibri"/>
          <w:b/>
          <w:b/>
          <w:sz w:val="26"/>
          <w:szCs w:val="26"/>
        </w:rPr>
      </w:pPr>
      <w:r>
        <w:rPr>
          <w:rFonts w:eastAsia="Calibri"/>
          <w:b/>
          <w:sz w:val="26"/>
          <w:szCs w:val="26"/>
        </w:rPr>
      </w:r>
    </w:p>
    <w:p>
      <w:pPr>
        <w:pStyle w:val="Normal"/>
        <w:keepNext w:val="true"/>
        <w:keepLines/>
        <w:jc w:val="center"/>
        <w:rPr>
          <w:rFonts w:eastAsia="Calibri"/>
          <w:b/>
          <w:b/>
          <w:sz w:val="26"/>
          <w:szCs w:val="26"/>
        </w:rPr>
      </w:pPr>
      <w:r>
        <w:rPr>
          <w:rFonts w:eastAsia="Calibri"/>
          <w:b/>
          <w:sz w:val="26"/>
          <w:szCs w:val="26"/>
        </w:rPr>
      </w:r>
    </w:p>
    <w:p>
      <w:pPr>
        <w:pStyle w:val="Normal"/>
        <w:keepNext w:val="true"/>
        <w:keepLines/>
        <w:jc w:val="center"/>
        <w:rPr>
          <w:rFonts w:eastAsia="Calibri"/>
          <w:b/>
          <w:b/>
          <w:sz w:val="26"/>
          <w:szCs w:val="26"/>
        </w:rPr>
      </w:pPr>
      <w:r>
        <w:rPr>
          <w:rFonts w:eastAsia="Calibri"/>
          <w:b/>
          <w:sz w:val="26"/>
          <w:szCs w:val="26"/>
        </w:rPr>
      </w:r>
    </w:p>
    <w:p>
      <w:pPr>
        <w:pStyle w:val="Normal"/>
        <w:keepNext w:val="true"/>
        <w:keepLines/>
        <w:jc w:val="center"/>
        <w:rPr>
          <w:rFonts w:eastAsia="Calibri"/>
          <w:b/>
          <w:b/>
          <w:sz w:val="26"/>
          <w:szCs w:val="26"/>
        </w:rPr>
      </w:pPr>
      <w:bookmarkStart w:id="0" w:name="_Toc139856287"/>
      <w:bookmarkStart w:id="1" w:name="_Toc137554584"/>
      <w:bookmarkStart w:id="2" w:name="_Toc141696704"/>
      <w:bookmarkStart w:id="3" w:name="_Toc139856287"/>
      <w:bookmarkStart w:id="4" w:name="_Toc137554584"/>
      <w:bookmarkStart w:id="5" w:name="_Toc141696704"/>
      <w:bookmarkEnd w:id="3"/>
      <w:bookmarkEnd w:id="4"/>
      <w:bookmarkEnd w:id="5"/>
      <w:r>
        <w:rPr>
          <w:rFonts w:eastAsia="Calibri"/>
          <w:b/>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jc w:val="center"/>
        <w:rPr>
          <w:rFonts w:eastAsia="Calibri"/>
          <w:b/>
          <w:b/>
          <w:sz w:val="26"/>
          <w:szCs w:val="26"/>
        </w:rPr>
      </w:pPr>
      <w:r>
        <w:rPr>
          <w:rFonts w:eastAsia="Calibri"/>
          <w:b/>
          <w:sz w:val="26"/>
          <w:szCs w:val="26"/>
        </w:rPr>
        <w:t xml:space="preserve">ТЕХНИЧЕСКИЕ ТРЕБОВАНИЯ </w:t>
      </w:r>
    </w:p>
    <w:p>
      <w:pPr>
        <w:pStyle w:val="Normal"/>
        <w:keepNext w:val="true"/>
        <w:keepLines/>
        <w:jc w:val="center"/>
        <w:rPr>
          <w:rFonts w:eastAsia="Calibri"/>
          <w:b/>
          <w:b/>
          <w:sz w:val="26"/>
          <w:szCs w:val="26"/>
        </w:rPr>
      </w:pPr>
      <w:r>
        <w:rPr>
          <w:rFonts w:eastAsia="Calibri"/>
          <w:b/>
          <w:sz w:val="26"/>
          <w:szCs w:val="26"/>
        </w:rPr>
      </w:r>
    </w:p>
    <w:p>
      <w:pPr>
        <w:pStyle w:val="Normal"/>
        <w:keepNext w:val="true"/>
        <w:keepLines/>
        <w:jc w:val="center"/>
        <w:rPr>
          <w:rFonts w:eastAsia="Calibri"/>
          <w:b/>
          <w:b/>
          <w:sz w:val="26"/>
          <w:szCs w:val="26"/>
        </w:rPr>
      </w:pPr>
      <w:r>
        <w:rPr>
          <w:rFonts w:eastAsia="Calibri"/>
          <w:b/>
          <w:sz w:val="26"/>
          <w:szCs w:val="26"/>
        </w:rPr>
        <w:t xml:space="preserve">на закупку </w:t>
      </w:r>
      <w:r>
        <w:rPr>
          <w:rFonts w:eastAsia="Microsoft YaHei"/>
          <w:b/>
          <w:sz w:val="26"/>
          <w:szCs w:val="26"/>
        </w:rPr>
        <w:t>«ОКПД2 80.10.12. Услуги по обеспечению физической охраны административных и производственных объектов филиала АО «ДРСК» «Приморские электрические сети»</w:t>
      </w:r>
    </w:p>
    <w:p>
      <w:pPr>
        <w:pStyle w:val="Normal"/>
        <w:keepNext w:val="true"/>
        <w:keepLines/>
        <w:jc w:val="center"/>
        <w:rPr>
          <w:rFonts w:eastAsia="Calibri"/>
          <w:b/>
          <w:b/>
          <w:sz w:val="26"/>
          <w:szCs w:val="26"/>
        </w:rPr>
      </w:pPr>
      <w:r>
        <w:rPr>
          <w:rFonts w:eastAsia="Calibri"/>
          <w:b/>
          <w:sz w:val="26"/>
          <w:szCs w:val="26"/>
        </w:rPr>
      </w:r>
    </w:p>
    <w:p>
      <w:pPr>
        <w:pStyle w:val="Normal"/>
        <w:keepNext w:val="true"/>
        <w:keepLines/>
        <w:jc w:val="center"/>
        <w:rPr>
          <w:rFonts w:eastAsia="Calibri"/>
          <w:b/>
          <w:b/>
          <w:i/>
          <w:i/>
          <w:sz w:val="26"/>
          <w:szCs w:val="26"/>
        </w:rPr>
      </w:pPr>
      <w:r>
        <w:rPr>
          <w:rFonts w:eastAsia="Calibri"/>
          <w:b/>
          <w:i/>
          <w:sz w:val="26"/>
          <w:szCs w:val="26"/>
        </w:rPr>
      </w:r>
    </w:p>
    <w:p>
      <w:pPr>
        <w:pStyle w:val="Normal"/>
        <w:keepNext w:val="true"/>
        <w:keepLines/>
        <w:jc w:val="center"/>
        <w:rPr>
          <w:b/>
          <w:b/>
          <w:sz w:val="26"/>
          <w:szCs w:val="26"/>
        </w:rPr>
      </w:pPr>
      <w:r>
        <w:rPr/>
      </w:r>
    </w:p>
    <w:p>
      <w:pPr>
        <w:pStyle w:val="Normal"/>
        <w:keepNext w:val="true"/>
        <w:keepLines/>
        <w:jc w:val="both"/>
        <w:rPr>
          <w:sz w:val="26"/>
          <w:szCs w:val="26"/>
        </w:rPr>
      </w:pPr>
      <w:r>
        <w:rPr>
          <w:sz w:val="26"/>
          <w:szCs w:val="26"/>
        </w:rPr>
      </w:r>
    </w:p>
    <w:p>
      <w:pPr>
        <w:pStyle w:val="Normal"/>
        <w:rPr>
          <w:sz w:val="26"/>
          <w:szCs w:val="26"/>
        </w:rPr>
      </w:pPr>
      <w:r>
        <w:rPr>
          <w:sz w:val="26"/>
          <w:szCs w:val="26"/>
        </w:rPr>
      </w:r>
      <w:r>
        <w:br w:type="page"/>
      </w:r>
    </w:p>
    <w:p>
      <w:pPr>
        <w:pStyle w:val="Normal"/>
        <w:rPr>
          <w:b/>
          <w:b/>
        </w:rPr>
      </w:pPr>
      <w:r>
        <w:rPr>
          <w:b/>
        </w:rPr>
      </w:r>
    </w:p>
    <w:p>
      <w:pPr>
        <w:pStyle w:val="Normal"/>
        <w:jc w:val="center"/>
        <w:rPr/>
      </w:pPr>
      <w:r>
        <w:rPr>
          <w:b/>
        </w:rPr>
        <w:t>СОДЕРЖАНИЕ</w:t>
      </w:r>
    </w:p>
    <w:p>
      <w:pPr>
        <w:pStyle w:val="16"/>
        <w:tabs>
          <w:tab w:val="left" w:pos="560" w:leader="none"/>
          <w:tab w:val="right" w:pos="9911" w:leader="dot"/>
        </w:tabs>
        <w:rPr>
          <w:rFonts w:ascii="Calibri" w:hAnsi="Calibri" w:eastAsia="新細明體" w:cs="Arial" w:asciiTheme="minorHAnsi" w:cstheme="minorBidi" w:eastAsiaTheme="minorEastAsia" w:hAnsiTheme="minorHAnsi"/>
          <w:b w:val="false"/>
          <w:b w:val="false"/>
          <w:bCs w:val="false"/>
        </w:rPr>
      </w:pPr>
      <w:r>
        <w:fldChar w:fldCharType="begin"/>
      </w:r>
      <w:r>
        <w:instrText> TOC \z \o "1-4" \u \h</w:instrText>
      </w:r>
      <w:r>
        <w:fldChar w:fldCharType="separate"/>
      </w:r>
      <w:hyperlink w:anchor="_Toc54643694">
        <w:r>
          <w:rPr>
            <w:webHidden/>
            <w:rStyle w:val="Style20"/>
          </w:rPr>
          <w:t>1.</w:t>
        </w:r>
        <w:r>
          <w:rPr>
            <w:rStyle w:val="Style20"/>
            <w:rFonts w:eastAsia="新細明體" w:cs="Arial" w:ascii="Calibri" w:hAnsi="Calibri" w:asciiTheme="minorHAnsi" w:cstheme="minorBidi" w:eastAsiaTheme="minorEastAsia" w:hAnsiTheme="minorHAnsi"/>
            <w:b w:val="false"/>
            <w:bCs w:val="false"/>
          </w:rPr>
          <w:tab/>
        </w:r>
        <w:r>
          <w:rPr>
            <w:rStyle w:val="Style20"/>
          </w:rPr>
          <w:t>Общие сведения</w:t>
        </w:r>
        <w:r>
          <w:rPr>
            <w:webHidden/>
          </w:rPr>
          <w:fldChar w:fldCharType="begin"/>
        </w:r>
        <w:r>
          <w:rPr>
            <w:webHidden/>
          </w:rPr>
          <w:instrText>PAGEREF _Toc54643694 \h</w:instrText>
        </w:r>
        <w:r>
          <w:rPr>
            <w:webHidden/>
          </w:rPr>
          <w:fldChar w:fldCharType="separate"/>
        </w:r>
        <w:r>
          <w:rPr>
            <w:rStyle w:val="Style20"/>
            <w:vanish w:val="false"/>
          </w:rPr>
          <w:tab/>
          <w:t>3</w:t>
        </w:r>
        <w:r>
          <w:rPr>
            <w:webHidden/>
          </w:rPr>
          <w:fldChar w:fldCharType="end"/>
        </w:r>
      </w:hyperlink>
    </w:p>
    <w:p>
      <w:pPr>
        <w:pStyle w:val="42"/>
        <w:rPr/>
      </w:pPr>
      <w:hyperlink w:anchor="_Toc54643695">
        <w:r>
          <w:rPr>
            <w:webHidden/>
            <w:rStyle w:val="Style20"/>
            <w:iCs/>
          </w:rPr>
          <w:t>1.1.</w:t>
        </w:r>
        <w:r>
          <w:rPr>
            <w:rStyle w:val="Style20"/>
            <w:rFonts w:eastAsia="新細明體" w:cs="Arial" w:ascii="Calibri" w:hAnsi="Calibri" w:asciiTheme="minorHAnsi" w:cstheme="minorBidi" w:eastAsiaTheme="minorEastAsia" w:hAnsiTheme="minorHAnsi"/>
            <w:sz w:val="24"/>
            <w:szCs w:val="24"/>
          </w:rPr>
          <w:tab/>
        </w:r>
        <w:r>
          <w:rPr>
            <w:rStyle w:val="Style20"/>
          </w:rPr>
          <w:t>Обозначения и сокращения</w:t>
        </w:r>
        <w:r>
          <w:rPr>
            <w:webHidden/>
          </w:rPr>
          <w:fldChar w:fldCharType="begin"/>
        </w:r>
        <w:r>
          <w:rPr>
            <w:webHidden/>
          </w:rPr>
          <w:instrText>PAGEREF _Toc54643695 \h</w:instrText>
        </w:r>
        <w:r>
          <w:rPr>
            <w:webHidden/>
          </w:rPr>
          <w:fldChar w:fldCharType="separate"/>
        </w:r>
        <w:r>
          <w:rPr>
            <w:rStyle w:val="Style20"/>
            <w:vanish w:val="false"/>
          </w:rPr>
          <w:tab/>
          <w:t>3</w:t>
        </w:r>
        <w:r>
          <w:rPr>
            <w:webHidden/>
          </w:rPr>
          <w:fldChar w:fldCharType="end"/>
        </w:r>
      </w:hyperlink>
    </w:p>
    <w:p>
      <w:pPr>
        <w:pStyle w:val="Normal"/>
        <w:rPr>
          <w:rFonts w:eastAsia="新細明體" w:eastAsiaTheme="minorEastAsia"/>
          <w:sz w:val="20"/>
          <w:szCs w:val="20"/>
        </w:rPr>
      </w:pPr>
      <w:r>
        <w:rPr>
          <w:rFonts w:eastAsia="新細明體" w:eastAsiaTheme="minorEastAsia"/>
        </w:rPr>
        <w:t xml:space="preserve">        </w:t>
      </w:r>
      <w:r>
        <w:rPr>
          <w:rFonts w:eastAsia="新細明體" w:eastAsiaTheme="minorEastAsia"/>
          <w:sz w:val="20"/>
          <w:szCs w:val="20"/>
        </w:rPr>
        <w:t>1.2. Наименование закупаемой продукции</w:t>
        <w:tab/>
        <w:t xml:space="preserve">                                                                                                               5</w:t>
      </w:r>
    </w:p>
    <w:p>
      <w:pPr>
        <w:pStyle w:val="42"/>
        <w:rPr>
          <w:rFonts w:ascii="Calibri" w:hAnsi="Calibri" w:eastAsia="新細明體" w:cs="Arial" w:asciiTheme="minorHAnsi" w:cstheme="minorBidi" w:eastAsiaTheme="minorEastAsia" w:hAnsiTheme="minorHAnsi"/>
          <w:sz w:val="24"/>
          <w:szCs w:val="24"/>
        </w:rPr>
      </w:pPr>
      <w:r>
        <w:rPr/>
        <w:t xml:space="preserve">1.3. Цель оказания услуг                                                                                                                                               5 </w:t>
      </w:r>
    </w:p>
    <w:p>
      <w:pPr>
        <w:pStyle w:val="42"/>
        <w:rPr>
          <w:rFonts w:ascii="Calibri" w:hAnsi="Calibri" w:eastAsia="新細明體" w:cs="Arial" w:asciiTheme="minorHAnsi" w:cstheme="minorBidi" w:eastAsiaTheme="minorEastAsia" w:hAnsiTheme="minorHAnsi"/>
          <w:sz w:val="24"/>
          <w:szCs w:val="24"/>
        </w:rPr>
      </w:pPr>
      <w:r>
        <w:rPr/>
        <w:t xml:space="preserve">1.4. Перечень объектов филиала "ПЭС" для оказания услуг физической охраны                                                 5 </w:t>
      </w:r>
    </w:p>
    <w:p>
      <w:pPr>
        <w:pStyle w:val="16"/>
        <w:tabs>
          <w:tab w:val="right" w:pos="9911" w:leader="dot"/>
        </w:tabs>
        <w:rPr/>
      </w:pPr>
      <w:r>
        <w:rPr/>
        <w:t>Таблица 1. Перечень объектов заказчика ………………………………………………………...5</w:t>
      </w:r>
    </w:p>
    <w:p>
      <w:pPr>
        <w:pStyle w:val="42"/>
        <w:rPr/>
      </w:pPr>
      <w:r>
        <w:rPr/>
        <w:t>1.5. Информация в отношении исполнения договора, которая должна быть учтена при подготовке заявки (в том числе перечень ресурсов, услуг и документов, представляемых заказчиком на этапе исполнения договора)                                                                                                                                                                        8</w:t>
      </w:r>
    </w:p>
    <w:p>
      <w:pPr>
        <w:pStyle w:val="42"/>
        <w:rPr>
          <w:rFonts w:ascii="Calibri" w:hAnsi="Calibri" w:eastAsia="新細明體" w:cs="Arial" w:asciiTheme="minorHAnsi" w:cstheme="minorBidi" w:eastAsiaTheme="minorEastAsia" w:hAnsiTheme="minorHAnsi"/>
          <w:sz w:val="24"/>
          <w:szCs w:val="24"/>
        </w:rPr>
      </w:pPr>
      <w:r>
        <w:rPr/>
        <w:t xml:space="preserve">1.6. Иные требования и сведения общего характера                                                                                                 8 </w:t>
      </w:r>
    </w:p>
    <w:p>
      <w:pPr>
        <w:pStyle w:val="16"/>
        <w:tabs>
          <w:tab w:val="left" w:pos="560" w:leader="none"/>
          <w:tab w:val="right" w:pos="9911" w:leader="dot"/>
        </w:tabs>
        <w:rPr>
          <w:rFonts w:ascii="Calibri" w:hAnsi="Calibri" w:eastAsia="新細明體" w:cs="Arial" w:asciiTheme="minorHAnsi" w:cstheme="minorBidi" w:eastAsiaTheme="minorEastAsia" w:hAnsiTheme="minorHAnsi"/>
          <w:b w:val="false"/>
          <w:b w:val="false"/>
          <w:bCs w:val="false"/>
        </w:rPr>
      </w:pPr>
      <w:r>
        <w:rPr/>
        <w:t xml:space="preserve">2.  Требования к продукции ………………………………………………………………………...8 </w:t>
      </w:r>
    </w:p>
    <w:p>
      <w:pPr>
        <w:pStyle w:val="42"/>
        <w:rPr>
          <w:rFonts w:ascii="Calibri" w:hAnsi="Calibri" w:eastAsia="新細明體" w:cs="Arial" w:asciiTheme="minorHAnsi" w:cstheme="minorBidi" w:eastAsiaTheme="minorEastAsia" w:hAnsiTheme="minorHAnsi"/>
          <w:sz w:val="24"/>
          <w:szCs w:val="24"/>
        </w:rPr>
      </w:pPr>
      <w:r>
        <w:rPr/>
        <w:t xml:space="preserve">2.1. Требования к объемам и соблюдению нормативно-правовых актов при охране объектов                           8 </w:t>
      </w:r>
    </w:p>
    <w:p>
      <w:pPr>
        <w:pStyle w:val="34"/>
        <w:rPr/>
      </w:pPr>
      <w:r>
        <w:rPr>
          <w:u w:val="none"/>
        </w:rPr>
        <w:t xml:space="preserve">  </w:t>
      </w:r>
      <w:r>
        <w:rPr>
          <w:color w:val="00000A"/>
          <w:u w:val="none"/>
        </w:rPr>
        <w:t xml:space="preserve">   </w:t>
      </w:r>
      <w:r>
        <w:rPr>
          <w:color w:val="00000A"/>
          <w:u w:val="none"/>
        </w:rPr>
        <w:t>2.2. Требования к перечню и объему услуг  ………………………………………………………………………10</w:t>
      </w:r>
    </w:p>
    <w:p>
      <w:pPr>
        <w:pStyle w:val="16"/>
        <w:tabs>
          <w:tab w:val="right" w:pos="9911" w:leader="dot"/>
        </w:tabs>
        <w:rPr/>
      </w:pPr>
      <w:r>
        <w:rPr/>
        <w:t>Таблица 2. Перечень и объем оказываемых услуг ……………………………………………. 10</w:t>
      </w:r>
    </w:p>
    <w:p>
      <w:pPr>
        <w:pStyle w:val="34"/>
        <w:rPr>
          <w:rFonts w:ascii="Calibri" w:hAnsi="Calibri" w:eastAsia="新細明體" w:cs="Arial" w:asciiTheme="minorHAnsi" w:cstheme="minorBidi" w:eastAsiaTheme="minorEastAsia" w:hAnsiTheme="minorHAnsi"/>
          <w:sz w:val="24"/>
          <w:szCs w:val="24"/>
        </w:rPr>
      </w:pPr>
      <w:r>
        <w:rPr>
          <w:u w:val="none"/>
        </w:rPr>
        <w:t xml:space="preserve">      </w:t>
      </w:r>
      <w:r>
        <w:rPr>
          <w:color w:val="000000" w:themeColor="text1"/>
          <w:u w:val="none"/>
        </w:rPr>
        <w:t xml:space="preserve">2.3. Требования к срокам оказания услуг ……………………………………………………………   …………13 </w:t>
      </w:r>
    </w:p>
    <w:p>
      <w:pPr>
        <w:pStyle w:val="16"/>
        <w:tabs>
          <w:tab w:val="right" w:pos="9911" w:leader="dot"/>
        </w:tabs>
        <w:rPr>
          <w:rFonts w:ascii="Calibri" w:hAnsi="Calibri" w:eastAsia="新細明體" w:cs="Arial" w:asciiTheme="minorHAnsi" w:cstheme="minorBidi" w:eastAsiaTheme="minorEastAsia" w:hAnsiTheme="minorHAnsi"/>
          <w:b w:val="false"/>
          <w:b w:val="false"/>
          <w:bCs w:val="false"/>
        </w:rPr>
      </w:pPr>
      <w:r>
        <w:rPr/>
        <w:t xml:space="preserve">Таблица 3. Требования к срокам оказания услуг ………………………………………………13 </w:t>
      </w:r>
    </w:p>
    <w:p>
      <w:pPr>
        <w:pStyle w:val="42"/>
        <w:rPr>
          <w:rFonts w:ascii="Calibri" w:hAnsi="Calibri" w:eastAsia="新細明體" w:cs="Arial" w:asciiTheme="minorHAnsi" w:cstheme="minorBidi" w:eastAsiaTheme="minorEastAsia" w:hAnsiTheme="minorHAnsi"/>
          <w:sz w:val="24"/>
          <w:szCs w:val="24"/>
        </w:rPr>
      </w:pPr>
      <w:r>
        <w:rPr/>
        <w:t xml:space="preserve">2.4. Требования к качеству услуг                                                                                                                              14 </w:t>
      </w:r>
    </w:p>
    <w:p>
      <w:pPr>
        <w:pStyle w:val="16"/>
        <w:tabs>
          <w:tab w:val="right" w:pos="9911" w:leader="dot"/>
        </w:tabs>
        <w:rPr>
          <w:rFonts w:ascii="Calibri" w:hAnsi="Calibri" w:eastAsia="新細明體" w:cs="Arial" w:asciiTheme="minorHAnsi" w:cstheme="minorBidi" w:eastAsiaTheme="minorEastAsia" w:hAnsiTheme="minorHAnsi"/>
          <w:b w:val="false"/>
          <w:b w:val="false"/>
          <w:bCs w:val="false"/>
        </w:rPr>
      </w:pPr>
      <w:r>
        <w:rPr/>
        <w:t xml:space="preserve">Таблица 4. Требования к качеству услуг ………………………………………………………..14 </w:t>
      </w:r>
    </w:p>
    <w:p>
      <w:pPr>
        <w:pStyle w:val="16"/>
        <w:tabs>
          <w:tab w:val="left" w:pos="560" w:leader="none"/>
          <w:tab w:val="right" w:pos="9911" w:leader="dot"/>
        </w:tabs>
        <w:rPr>
          <w:rFonts w:ascii="Calibri" w:hAnsi="Calibri" w:eastAsia="新細明體" w:cs="Arial" w:asciiTheme="minorHAnsi" w:cstheme="minorBidi" w:eastAsiaTheme="minorEastAsia" w:hAnsiTheme="minorHAnsi"/>
          <w:b w:val="false"/>
          <w:b w:val="false"/>
          <w:bCs w:val="false"/>
        </w:rPr>
      </w:pPr>
      <w:r>
        <w:rPr/>
        <w:t xml:space="preserve">3. Требования к документации по ценообразованию на этапе закупки …………………….26 </w:t>
      </w:r>
    </w:p>
    <w:p>
      <w:pPr>
        <w:pStyle w:val="16"/>
        <w:tabs>
          <w:tab w:val="left" w:pos="560" w:leader="none"/>
          <w:tab w:val="right" w:pos="9911" w:leader="dot"/>
        </w:tabs>
        <w:rPr/>
      </w:pPr>
      <w:r>
        <w:rPr/>
        <w:t xml:space="preserve">4. Требования к документации по ценообразованию на этапе заключения (исполнения) договора ………………………………………………………………………………..…………….27 </w:t>
      </w:r>
    </w:p>
    <w:p>
      <w:pPr>
        <w:pStyle w:val="16"/>
        <w:tabs>
          <w:tab w:val="left" w:pos="560" w:leader="none"/>
          <w:tab w:val="right" w:pos="9911" w:leader="dot"/>
        </w:tabs>
        <w:rPr>
          <w:rFonts w:ascii="Calibri" w:hAnsi="Calibri" w:eastAsia="新細明體" w:cs="Arial" w:asciiTheme="minorHAnsi" w:cstheme="minorBidi" w:eastAsiaTheme="minorEastAsia" w:hAnsiTheme="minorHAnsi"/>
          <w:b w:val="false"/>
          <w:b w:val="false"/>
          <w:bCs w:val="false"/>
        </w:rPr>
      </w:pPr>
      <w:r>
        <w:rPr/>
        <w:t xml:space="preserve">5. Приложение ……………………………………………………………………………………….28        </w:t>
      </w:r>
    </w:p>
    <w:p>
      <w:pPr>
        <w:pStyle w:val="16"/>
        <w:tabs>
          <w:tab w:val="left" w:pos="560" w:leader="none"/>
          <w:tab w:val="right" w:pos="9911" w:leader="dot"/>
        </w:tabs>
        <w:rPr>
          <w:rFonts w:ascii="Calibri" w:hAnsi="Calibri" w:eastAsia="新細明體" w:cs="Arial" w:asciiTheme="minorHAnsi" w:cstheme="minorBidi" w:eastAsiaTheme="minorEastAsia" w:hAnsiTheme="minorHAnsi"/>
          <w:b w:val="false"/>
          <w:b w:val="false"/>
          <w:bCs w:val="false"/>
        </w:rPr>
      </w:pPr>
      <w:r>
        <w:rPr>
          <w:rFonts w:eastAsia="新細明體" w:cs="Arial" w:cstheme="minorBidi" w:eastAsiaTheme="minorEastAsia" w:ascii="Calibri" w:hAnsi="Calibri"/>
          <w:b w:val="false"/>
          <w:bCs w:val="false"/>
        </w:rPr>
      </w:r>
    </w:p>
    <w:p>
      <w:pPr>
        <w:pStyle w:val="2"/>
        <w:numPr>
          <w:ilvl w:val="0"/>
          <w:numId w:val="0"/>
        </w:numPr>
        <w:rPr>
          <w:b w:val="false"/>
          <w:b w:val="false"/>
          <w:i/>
          <w:i/>
        </w:rPr>
      </w:pPr>
      <w:r>
        <w:rPr>
          <w:b w:val="false"/>
          <w:i/>
        </w:rPr>
      </w:r>
      <w:r>
        <w:fldChar w:fldCharType="end"/>
      </w:r>
    </w:p>
    <w:p>
      <w:pPr>
        <w:pStyle w:val="Normal"/>
        <w:keepNext w:val="true"/>
        <w:keepLines/>
        <w:jc w:val="center"/>
        <w:rPr>
          <w:rFonts w:eastAsia="Calibri"/>
          <w:b/>
          <w:b/>
          <w:i/>
          <w:i/>
          <w:sz w:val="24"/>
          <w:szCs w:val="24"/>
        </w:rPr>
      </w:pPr>
      <w:r>
        <w:rPr>
          <w:rFonts w:eastAsia="Calibri"/>
          <w:b/>
          <w:i/>
          <w:sz w:val="24"/>
          <w:szCs w:val="24"/>
        </w:rPr>
      </w:r>
      <w:r>
        <w:br w:type="page"/>
      </w:r>
    </w:p>
    <w:p>
      <w:pPr>
        <w:pStyle w:val="1"/>
        <w:keepLines/>
        <w:numPr>
          <w:ilvl w:val="0"/>
          <w:numId w:val="2"/>
        </w:numPr>
        <w:ind w:left="357" w:hanging="357"/>
        <w:jc w:val="center"/>
        <w:rPr>
          <w:caps/>
          <w:lang w:val="ru-RU"/>
        </w:rPr>
      </w:pPr>
      <w:bookmarkStart w:id="6" w:name="_Toc54643694"/>
      <w:bookmarkEnd w:id="6"/>
      <w:r>
        <w:rPr>
          <w:lang w:val="ru-RU"/>
        </w:rPr>
        <w:t>Общие сведения</w:t>
      </w:r>
    </w:p>
    <w:p>
      <w:pPr>
        <w:pStyle w:val="4"/>
        <w:numPr>
          <w:ilvl w:val="1"/>
          <w:numId w:val="2"/>
        </w:numPr>
        <w:rPr/>
      </w:pPr>
      <w:bookmarkStart w:id="7" w:name="_Toc46743505"/>
      <w:bookmarkStart w:id="8" w:name="_Toc54643695"/>
      <w:r>
        <w:rPr>
          <w:lang w:val="ru-RU"/>
        </w:rPr>
        <w:t>Термины, о</w:t>
      </w:r>
      <w:bookmarkEnd w:id="7"/>
      <w:bookmarkEnd w:id="8"/>
      <w:r>
        <w:rPr/>
        <w:t>бозначения и сокращения</w:t>
      </w:r>
    </w:p>
    <w:p>
      <w:pPr>
        <w:pStyle w:val="Normal"/>
        <w:rPr>
          <w:lang w:val="x-none" w:eastAsia="x-none"/>
        </w:rPr>
      </w:pPr>
      <w:r>
        <w:rPr>
          <w:lang w:val="x-none" w:eastAsia="x-none"/>
        </w:rPr>
      </w:r>
    </w:p>
    <w:tbl>
      <w:tblPr>
        <w:tblW w:w="9783"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noVBand="1" w:noHBand="0" w:lastColumn="0" w:firstColumn="1" w:lastRow="0" w:firstRow="1"/>
      </w:tblPr>
      <w:tblGrid>
        <w:gridCol w:w="2365"/>
        <w:gridCol w:w="7417"/>
      </w:tblGrid>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Акт незаконного вмешательства</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Противоправное действие (бездействие), в том числе террористический акт или покушение на его совершение, угрожающее безопасному функционированию объекта ТЭК, повлекшее за собой причинение вреда жизни и здоровью людей, повреждение или уничтожение имущества либо создавшее угрозу наступления таких последствий</w:t>
            </w:r>
          </w:p>
        </w:tc>
      </w:tr>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Внутриобъектовый режим</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Порядок, устанавливаемый клиентом или заказчиком, не противоречащий законодательству Российской Федерации, доведенный до сведения персонала и посетителей объектов охраны и обеспечиваемый совокупностью мероприятий и правил, выполняемых лицами, находящимися на объектах охраны, в соответствии с правилами внутреннего трудового распорядка и требованиями пожарной безопасности</w:t>
            </w:r>
          </w:p>
        </w:tc>
      </w:tr>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ДИ</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Должностная инструкция</w:t>
            </w:r>
          </w:p>
        </w:tc>
      </w:tr>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Заказчик/ субъект ТЭК</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АО «ДРСК» (филиал «ПЭС»)</w:t>
            </w:r>
          </w:p>
        </w:tc>
      </w:tr>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Исполнитель</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Подразделение и (или) организация войск национальной гвардии/ охранная организация, признанн(ое)ая победителем закупки, с котор(ым)ой Заказчиком заключён договор оказания услуг на охрану объектов филиала (далее – Договор).</w:t>
            </w:r>
          </w:p>
        </w:tc>
      </w:tr>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ИТСО</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Инженерно-технические средства охраны</w:t>
            </w:r>
          </w:p>
        </w:tc>
      </w:tr>
      <w:tr>
        <w:trPr>
          <w:trHeight w:val="363" w:hRule="atLeast"/>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 xml:space="preserve">Начальник отделения охраны (объекта, участка): </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Специалист среднего звена охранной организации, за которым закрепляется зона профессиональной ответственности в виде нескольких охраняемых объектов, на которой он организует деятельность по обеспечению охраны, подбор и расстановку работников и решение всех вопросов взаимодействия охранной организации с администрацией Заказчика и правоохранительными органами.</w:t>
            </w:r>
          </w:p>
        </w:tc>
      </w:tr>
      <w:tr>
        <w:trPr>
          <w:trHeight w:val="363" w:hRule="atLeast"/>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Объект охраны</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Территория и находящиеся на ней здания, сооружения и оборудование</w:t>
            </w:r>
          </w:p>
        </w:tc>
      </w:tr>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Пост охраны</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Место или помещение, на котором Охранник. оснащенный специальными средствами (наручники, палка резиновая) исполняет свои должностные обязанности в соответствии с договором</w:t>
            </w:r>
          </w:p>
        </w:tc>
      </w:tr>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Пропускной режим</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Порядок, устанавливаемый клиентом или заказчиком, не противоречащий законодательству Российской Федерации, доведенный до сведения персонала и посетителей объектов охраны и обеспечиваемый совокупностью мероприятий и правил, исключающих возможность бесконтрольного входа (выхода) лиц, въезда (выезда) транспортных средств, вноса (выноса), ввоза (вывоза) имущества на объекты охраны (с объектов охраны)</w:t>
            </w:r>
          </w:p>
        </w:tc>
      </w:tr>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ПС</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Подстанция</w:t>
            </w:r>
          </w:p>
        </w:tc>
      </w:tr>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СКУД</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Система контроля и управления доступом</w:t>
            </w:r>
          </w:p>
        </w:tc>
      </w:tr>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СБ</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Служба безопасности</w:t>
            </w:r>
          </w:p>
        </w:tc>
      </w:tr>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СОТ</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Система охранного телевидения</w:t>
            </w:r>
          </w:p>
        </w:tc>
      </w:tr>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СОПС</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Система охранной и охранно-пожарной сигнализации</w:t>
            </w:r>
          </w:p>
        </w:tc>
      </w:tr>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СП «ПЗЭС»</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Структурное подразделение «Приморские Западные электрические сети»</w:t>
            </w:r>
          </w:p>
        </w:tc>
      </w:tr>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СП «ПСЭС»</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Структурное подразделение «Приморские Северные электрические сети»</w:t>
            </w:r>
          </w:p>
        </w:tc>
      </w:tr>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СП «ПЦЭС»</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Структурное подразделение «Приморские Центральные электрические сети»</w:t>
            </w:r>
          </w:p>
        </w:tc>
      </w:tr>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СП «ПЮЭС»</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Структурное подразделение «Приморские Южные электрические сети»</w:t>
            </w:r>
          </w:p>
        </w:tc>
      </w:tr>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ТТ</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Технические требования</w:t>
            </w:r>
          </w:p>
        </w:tc>
      </w:tr>
      <w:tr>
        <w:trPr>
          <w:cantSplit w:val="true"/>
        </w:trPr>
        <w:tc>
          <w:tcPr>
            <w:tcW w:w="23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ТЭК</w:t>
            </w:r>
          </w:p>
        </w:tc>
        <w:tc>
          <w:tcPr>
            <w:tcW w:w="7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Топливно-энергетический комплекс</w:t>
            </w:r>
          </w:p>
        </w:tc>
      </w:tr>
    </w:tbl>
    <w:p>
      <w:pPr>
        <w:pStyle w:val="Normal"/>
        <w:rPr>
          <w:sz w:val="24"/>
          <w:szCs w:val="24"/>
        </w:rPr>
      </w:pPr>
      <w:r>
        <w:rPr>
          <w:sz w:val="24"/>
          <w:szCs w:val="24"/>
        </w:rPr>
      </w:r>
    </w:p>
    <w:p>
      <w:pPr>
        <w:pStyle w:val="Normal"/>
        <w:rPr>
          <w:sz w:val="24"/>
          <w:szCs w:val="24"/>
        </w:rPr>
      </w:pPr>
      <w:bookmarkStart w:id="9" w:name="_Toc46743506"/>
      <w:bookmarkStart w:id="10" w:name="_Toc46743506"/>
      <w:r>
        <w:rPr>
          <w:sz w:val="24"/>
          <w:szCs w:val="24"/>
        </w:rPr>
      </w:r>
      <w:r>
        <w:br w:type="page"/>
      </w:r>
    </w:p>
    <w:p>
      <w:pPr>
        <w:pStyle w:val="4"/>
        <w:numPr>
          <w:ilvl w:val="1"/>
          <w:numId w:val="2"/>
        </w:numPr>
        <w:rPr/>
      </w:pPr>
      <w:bookmarkStart w:id="11" w:name="_Toc46743506"/>
      <w:bookmarkStart w:id="12" w:name="_Toc54643696"/>
      <w:bookmarkEnd w:id="11"/>
      <w:bookmarkEnd w:id="12"/>
      <w:r>
        <w:rPr/>
        <w:t>Наименование закупаемой продукции</w:t>
      </w:r>
    </w:p>
    <w:p>
      <w:pPr>
        <w:pStyle w:val="Normal"/>
        <w:jc w:val="both"/>
        <w:rPr>
          <w:rStyle w:val="Style14"/>
          <w:rFonts w:eastAsia="Microsoft YaHei"/>
          <w:b w:val="false"/>
          <w:b w:val="false"/>
          <w:i w:val="false"/>
          <w:i w:val="false"/>
          <w:sz w:val="26"/>
          <w:szCs w:val="26"/>
          <w:highlight w:val="white"/>
        </w:rPr>
      </w:pPr>
      <w:bookmarkStart w:id="13" w:name="_Toc46743507"/>
      <w:r>
        <w:rPr>
          <w:rFonts w:eastAsia="Calibri"/>
          <w:sz w:val="24"/>
          <w:szCs w:val="24"/>
          <w:lang w:eastAsia="x-none"/>
        </w:rPr>
        <w:t>Лот № 11101-ПРО ДЭК-2024-ДРСК-ПЭС «</w:t>
      </w:r>
      <w:r>
        <w:rPr>
          <w:rFonts w:eastAsia="Microsoft YaHei"/>
          <w:sz w:val="24"/>
          <w:szCs w:val="24"/>
        </w:rPr>
        <w:t>ОКПД2 80.10.12. Услуги по обеспечению физической охраны административных и производственных объектов филиала АО «ДРСК» «Приморские электрические сети»</w:t>
      </w:r>
      <w:r>
        <w:rPr>
          <w:rFonts w:eastAsia="Calibri"/>
          <w:sz w:val="24"/>
          <w:szCs w:val="24"/>
          <w:lang w:eastAsia="x-none"/>
        </w:rPr>
        <w:t>.</w:t>
      </w:r>
    </w:p>
    <w:p>
      <w:pPr>
        <w:pStyle w:val="4"/>
        <w:numPr>
          <w:ilvl w:val="1"/>
          <w:numId w:val="2"/>
        </w:numPr>
        <w:spacing w:before="240" w:after="60"/>
        <w:ind w:left="431" w:hanging="431"/>
        <w:rPr/>
      </w:pPr>
      <w:bookmarkStart w:id="14" w:name="_Toc46743507"/>
      <w:bookmarkStart w:id="15" w:name="_Toc54643697"/>
      <w:r>
        <w:rPr/>
        <w:t xml:space="preserve">Цель </w:t>
      </w:r>
      <w:bookmarkEnd w:id="14"/>
      <w:bookmarkEnd w:id="15"/>
      <w:r>
        <w:rPr>
          <w:lang w:val="ru-RU"/>
        </w:rPr>
        <w:t>оказания услуг</w:t>
      </w:r>
    </w:p>
    <w:p>
      <w:pPr>
        <w:pStyle w:val="Normal"/>
        <w:jc w:val="both"/>
        <w:rPr>
          <w:sz w:val="24"/>
          <w:szCs w:val="24"/>
        </w:rPr>
      </w:pPr>
      <w:r>
        <w:rPr>
          <w:sz w:val="24"/>
          <w:szCs w:val="24"/>
        </w:rPr>
        <w:t>Обеспечение безопасности объектов топливно-энергетического комплекса, их устойчивого и безопасного функционирования, защиты интересов личности, общества и государства в сфере ТЭК от актов незаконного вмешательства, обеспечение антитеррористической защищенности объектов топливно-энергетического комплекса.</w:t>
      </w:r>
    </w:p>
    <w:p>
      <w:pPr>
        <w:pStyle w:val="4"/>
        <w:numPr>
          <w:ilvl w:val="1"/>
          <w:numId w:val="2"/>
        </w:numPr>
        <w:rPr/>
      </w:pPr>
      <w:bookmarkStart w:id="16" w:name="_Toc54643699"/>
      <w:r>
        <w:rPr>
          <w:lang w:val="ru-RU"/>
        </w:rPr>
        <w:t>Перечень объектов филиала «ПЭС» для оказания услуг физической охраны</w:t>
      </w:r>
    </w:p>
    <w:p>
      <w:pPr>
        <w:pStyle w:val="4"/>
        <w:numPr>
          <w:ilvl w:val="0"/>
          <w:numId w:val="0"/>
        </w:numPr>
        <w:rPr/>
      </w:pPr>
      <w:bookmarkStart w:id="17" w:name="_Toc54643699"/>
      <w:bookmarkEnd w:id="17"/>
      <w:r>
        <w:rPr/>
        <w:t>Таблица 1. Перечень объектов заказчика</w:t>
      </w:r>
    </w:p>
    <w:p>
      <w:pPr>
        <w:pStyle w:val="Normal"/>
        <w:rPr>
          <w:lang w:eastAsia="x-none"/>
        </w:rPr>
      </w:pPr>
      <w:r>
        <w:rPr>
          <w:lang w:eastAsia="x-none"/>
        </w:rPr>
      </w:r>
    </w:p>
    <w:tbl>
      <w:tblPr>
        <w:tblW w:w="10343"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noVBand="0" w:noHBand="0" w:lastColumn="0" w:firstColumn="0" w:lastRow="0" w:firstRow="0"/>
      </w:tblPr>
      <w:tblGrid>
        <w:gridCol w:w="817"/>
        <w:gridCol w:w="2864"/>
        <w:gridCol w:w="2551"/>
        <w:gridCol w:w="2126"/>
        <w:gridCol w:w="1985"/>
      </w:tblGrid>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w:t>
            </w:r>
          </w:p>
          <w:p>
            <w:pPr>
              <w:pStyle w:val="Normal"/>
              <w:rPr>
                <w:sz w:val="24"/>
                <w:szCs w:val="24"/>
              </w:rPr>
            </w:pPr>
            <w:r>
              <w:rPr>
                <w:sz w:val="24"/>
                <w:szCs w:val="24"/>
              </w:rPr>
              <w:t>п/п</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Наименование объекта</w:t>
            </w:r>
          </w:p>
          <w:p>
            <w:pPr>
              <w:pStyle w:val="Normal"/>
              <w:jc w:val="center"/>
              <w:rPr>
                <w:sz w:val="24"/>
                <w:szCs w:val="24"/>
              </w:rPr>
            </w:pPr>
            <w:r>
              <w:rPr>
                <w:sz w:val="24"/>
                <w:szCs w:val="24"/>
              </w:rPr>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 xml:space="preserve">Расположение объекта </w:t>
              <w:br/>
            </w:r>
            <w:r>
              <w:rPr>
                <w:iCs/>
                <w:sz w:val="24"/>
                <w:szCs w:val="24"/>
              </w:rPr>
              <w:t>(место оказания услуг)</w:t>
            </w:r>
            <w:r>
              <w:rPr>
                <w:sz w:val="24"/>
                <w:szCs w:val="24"/>
              </w:rPr>
              <w:t xml:space="preserve"> </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Наименование основного средства (в отношении которого оказываются услуги)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Примечания</w:t>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sz w:val="24"/>
                <w:szCs w:val="24"/>
              </w:rPr>
            </w:pPr>
            <w:r>
              <w:rPr>
                <w:b/>
                <w:sz w:val="24"/>
                <w:szCs w:val="24"/>
              </w:rPr>
              <w:t>1</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sz w:val="24"/>
                <w:szCs w:val="24"/>
              </w:rPr>
            </w:pPr>
            <w:r>
              <w:rPr>
                <w:b/>
                <w:sz w:val="24"/>
                <w:szCs w:val="24"/>
              </w:rPr>
              <w:t>2</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sz w:val="24"/>
                <w:szCs w:val="24"/>
              </w:rPr>
            </w:pPr>
            <w:r>
              <w:rPr>
                <w:b/>
                <w:sz w:val="24"/>
                <w:szCs w:val="24"/>
              </w:rPr>
              <w:t>3</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sz w:val="24"/>
                <w:szCs w:val="24"/>
              </w:rPr>
            </w:pPr>
            <w:r>
              <w:rPr>
                <w:b/>
                <w:sz w:val="24"/>
                <w:szCs w:val="24"/>
              </w:rPr>
              <w:t>4</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sz w:val="24"/>
                <w:szCs w:val="24"/>
              </w:rPr>
            </w:pPr>
            <w:r>
              <w:rPr>
                <w:b/>
                <w:sz w:val="24"/>
                <w:szCs w:val="24"/>
              </w:rPr>
              <w:t>5</w:t>
            </w:r>
          </w:p>
        </w:tc>
      </w:tr>
      <w:tr>
        <w:trPr>
          <w:trHeight w:val="881" w:hRule="atLeast"/>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ListParagraph"/>
              <w:numPr>
                <w:ilvl w:val="0"/>
                <w:numId w:val="4"/>
              </w:numPr>
              <w:suppressAutoHyphens w:val="true"/>
              <w:rPr/>
            </w:pPr>
            <w:r>
              <w:rPr/>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Аппарат управления филиала АО «ДРСК» «ПЭС»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iCs/>
                <w:sz w:val="24"/>
                <w:szCs w:val="24"/>
              </w:rPr>
            </w:pPr>
            <w:r>
              <w:rPr>
                <w:iCs/>
                <w:sz w:val="24"/>
                <w:szCs w:val="24"/>
              </w:rPr>
              <w:t>г. Владивосток ул. Командорская, 13, 13-а.</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iCs/>
                <w:sz w:val="24"/>
                <w:szCs w:val="24"/>
              </w:rPr>
            </w:pPr>
            <w:r>
              <w:rPr>
                <w:iCs/>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iCs/>
                <w:sz w:val="24"/>
                <w:szCs w:val="24"/>
              </w:rPr>
            </w:pPr>
            <w:r>
              <w:rPr>
                <w:iCs/>
                <w:sz w:val="24"/>
                <w:szCs w:val="24"/>
              </w:rPr>
            </w:r>
          </w:p>
        </w:tc>
      </w:tr>
      <w:tr>
        <w:trPr>
          <w:trHeight w:val="881" w:hRule="atLeast"/>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ListParagraph"/>
              <w:numPr>
                <w:ilvl w:val="0"/>
                <w:numId w:val="4"/>
              </w:numPr>
              <w:suppressAutoHyphens w:val="true"/>
              <w:rPr/>
            </w:pPr>
            <w:r>
              <w:rPr/>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База п. Угловое</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iCs/>
                <w:sz w:val="24"/>
                <w:szCs w:val="24"/>
              </w:rPr>
            </w:pPr>
            <w:r>
              <w:rPr>
                <w:iCs/>
                <w:sz w:val="24"/>
                <w:szCs w:val="24"/>
              </w:rPr>
              <w:t>п. Угловое, Артёмовского ГО, ул. Красногвардейская, 18-а</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iCs/>
                <w:sz w:val="24"/>
                <w:szCs w:val="24"/>
              </w:rPr>
            </w:pPr>
            <w:r>
              <w:rPr>
                <w:iCs/>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iCs/>
                <w:sz w:val="24"/>
                <w:szCs w:val="24"/>
              </w:rPr>
            </w:pPr>
            <w:r>
              <w:rPr>
                <w:iCs/>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 xml:space="preserve">    </w:t>
            </w:r>
            <w:r>
              <w:rPr>
                <w:sz w:val="24"/>
                <w:szCs w:val="24"/>
              </w:rPr>
              <w:t>3.</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Полигон по разгрузке материально-технических ресурсов группы подготовки оборудования</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 xml:space="preserve">г. Уссурийск, ул. Резервная, 22-а </w:t>
            </w:r>
          </w:p>
          <w:p>
            <w:pPr>
              <w:pStyle w:val="Normal"/>
              <w:jc w:val="center"/>
              <w:rPr>
                <w:sz w:val="24"/>
                <w:szCs w:val="24"/>
              </w:rPr>
            </w:pPr>
            <w:r>
              <w:rPr>
                <w:sz w:val="24"/>
                <w:szCs w:val="24"/>
              </w:rPr>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iCs/>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rHeight w:val="969" w:hRule="atLeast"/>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4.</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Дальнереченского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г. Дальнереченск, ул. Светлая, 62</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5.</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Кировского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Кировский муниципальный район, пгт. Кировский, пер. Лесной, 5-а</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rHeight w:val="1158" w:hRule="atLeast"/>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6.</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Красноармейского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Красноармейский муниципальный район, с. Рощино, ул. Энергетиков, 2</w:t>
            </w:r>
          </w:p>
          <w:p>
            <w:pPr>
              <w:pStyle w:val="Normal"/>
              <w:jc w:val="center"/>
              <w:rPr>
                <w:sz w:val="24"/>
                <w:szCs w:val="24"/>
              </w:rPr>
            </w:pPr>
            <w:r>
              <w:rPr>
                <w:sz w:val="24"/>
                <w:szCs w:val="24"/>
              </w:rPr>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7.</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Крыловский мастерский участок Кировского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Кировский муниципальный район, с. Крыловка, ул. Центральная, 1-а</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8.</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Лесозаводского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г. Лесозаводск, ул. Курская, 8</w:t>
            </w:r>
          </w:p>
          <w:p>
            <w:pPr>
              <w:pStyle w:val="Normal"/>
              <w:jc w:val="center"/>
              <w:rPr>
                <w:sz w:val="24"/>
                <w:szCs w:val="24"/>
              </w:rPr>
            </w:pPr>
            <w:r>
              <w:rPr>
                <w:sz w:val="24"/>
                <w:szCs w:val="24"/>
              </w:rPr>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9.</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Пожарского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Пожарский муниципальный округ, пгт. Лучегорск, ул. Пристанционная, 8</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10.</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СП ПЗЭС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 xml:space="preserve"> </w:t>
            </w:r>
            <w:r>
              <w:rPr>
                <w:sz w:val="24"/>
                <w:szCs w:val="24"/>
              </w:rPr>
              <w:t>г. Лесозаводск, ул. Григоренко, 17</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highlight w:val="yellow"/>
              </w:rPr>
            </w:pPr>
            <w:r>
              <w:rPr>
                <w:sz w:val="24"/>
                <w:szCs w:val="24"/>
                <w:highlight w:val="yellow"/>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11.</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Спасского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г. Спасск-Дальний, ул. Ангарская, 1/1</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rHeight w:val="1174" w:hRule="atLeast"/>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12.</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Учебно-реабилитационный центр Иннокентьевка</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Лесозаводский городской округ, с. Иннокентьевка, 1 км северо-западнее села</w:t>
            </w:r>
          </w:p>
          <w:p>
            <w:pPr>
              <w:pStyle w:val="Normal"/>
              <w:jc w:val="center"/>
              <w:rPr>
                <w:sz w:val="24"/>
                <w:szCs w:val="24"/>
              </w:rPr>
            </w:pPr>
            <w:r>
              <w:rPr>
                <w:sz w:val="24"/>
                <w:szCs w:val="24"/>
              </w:rPr>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rHeight w:val="1252" w:hRule="atLeast"/>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13.</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Чкаловский мастерский участок Спасского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bCs/>
                <w:sz w:val="24"/>
                <w:szCs w:val="24"/>
              </w:rPr>
              <w:t xml:space="preserve">Спасский муниципальный район, с. Чкаловское, ул. Пограничная, 3-а </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14.</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Анучинского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 xml:space="preserve">Анучинский муниципальный округ, с. Анучино, ул. Шевченко, 35 </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15.</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Арсеньевского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г. Арсеньев, ул. Смирнова, 9</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16.</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Дальнегорского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 xml:space="preserve">г. Дальнегорск, ул. Энергетиков, 1 </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17.</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Ольгинский мастерский участок Кавалеровского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Ольгинский муниципальный округ, п. Ольга, ул. Партизанская, 54</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18.</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СП ПСЭС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Кавалеровский муниципальный округ, п. Горнореченский, ул. Советская, 11</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19</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Чугуевского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Чугуевский муниципальный округ, с. Чугуевка, ул. Рабочая, 8</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20</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Яковлевского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Яковлевский муниципальный округ, с. Яковлевка, ул. Советская, 161</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21</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Административное здание СП ПЦЭС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г. Уссурийск, ул. Володарского, 86</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 xml:space="preserve">Часть помещений 1 этажа 4 этажного здания СП ПЦЭС имеют отдельные входы и принадлежат сторонним организациям. </w:t>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22</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Михайловского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Михайловский муниципальный район, с. Ивановка, ул. Горького, 13</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23</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Октябрьского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Октябрьский муниципальный округ, пгт. Липовцы, пер. Сосновый, 2-а</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24</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Производственная территория СП ПЦЭС и Южного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г. Уссурийск, Владивостокское шоссе, 28-б</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25</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Уссурийского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г. Уссурийск, ул. Некрасова, 190</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26</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Ханкайского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Ханкайский муниципальный округ, с. Камень-Рыболов, ул. Подстанционная, 7</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27</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Хорольского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Хорольский муниципальный округ, пгт. Ярославский, ул. Ленинская, 26</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28</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Черниговского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Черниговский муниципальный округ, с. Черниговка, ул. Партизанская, 191</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29</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Артёмовского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г. Артём, ул. Интернациональная, 54</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30</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Надеждинского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г. Артём, ул. Богдана Хмельницкого, 16-а</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31</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Находкинского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г. Находка, ул. Пограничная, 54/2</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32</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Партизанского РРЭС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Партизанский муниципальный округ, с. Новицкое, ул. Садовая, 1-а</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33</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Партизанского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г. Партизанск, ул. Сурикова, 1-б</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34</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Производственная территория СП ПЮЭС, ПС 110 «А» и Владивостокского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г. Владивосток, ул. Стрелковая, 19, 21, 23</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35</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Фокинский монтерский участок Находкинского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г. Фокино, ул. Тихонова, 20</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36</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Хасанского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Хасанский муниципальный округ, пгт. Славянка, ул. Ленинская, 66</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r>
        <w:trPr/>
        <w:tc>
          <w:tcPr>
            <w:tcW w:w="8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37</w:t>
            </w:r>
          </w:p>
        </w:tc>
        <w:tc>
          <w:tcPr>
            <w:tcW w:w="28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Шкотовского РЭС</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г. Большой Камень, ул. Подгорная, 3</w:t>
            </w:r>
          </w:p>
        </w:tc>
        <w:tc>
          <w:tcPr>
            <w:tcW w:w="2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Все объекты, расположенные на территории</w:t>
            </w:r>
          </w:p>
        </w:tc>
        <w:tc>
          <w:tcPr>
            <w:tcW w:w="19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r>
          </w:p>
        </w:tc>
      </w:tr>
    </w:tbl>
    <w:p>
      <w:pPr>
        <w:pStyle w:val="4"/>
        <w:numPr>
          <w:ilvl w:val="1"/>
          <w:numId w:val="2"/>
        </w:numPr>
        <w:rPr/>
      </w:pPr>
      <w:bookmarkStart w:id="18" w:name="_Hlk49857604"/>
      <w:bookmarkStart w:id="19" w:name="_Toc46743509"/>
      <w:bookmarkStart w:id="20" w:name="_Toc54643700"/>
      <w:r>
        <w:rPr/>
        <w:t xml:space="preserve">Информация в отношении исполнения договора, </w:t>
      </w:r>
      <w:bookmarkStart w:id="21" w:name="_Hlk46492347"/>
      <w:r>
        <w:rPr/>
        <w:t xml:space="preserve">которая должна быть учтена при подготовке заявки </w:t>
      </w:r>
      <w:bookmarkEnd w:id="21"/>
      <w:r>
        <w:rPr/>
        <w:t xml:space="preserve">(в том числе перечень ресурсов, услуг и документов, предоставляемых </w:t>
      </w:r>
      <w:r>
        <w:rPr>
          <w:lang w:val="ru-RU"/>
        </w:rPr>
        <w:t>Заказчиком</w:t>
      </w:r>
      <w:bookmarkEnd w:id="18"/>
      <w:bookmarkEnd w:id="19"/>
      <w:bookmarkEnd w:id="20"/>
      <w:r>
        <w:rPr/>
        <w:t xml:space="preserve"> на этапе исполнения договора)</w:t>
      </w:r>
    </w:p>
    <w:p>
      <w:pPr>
        <w:pStyle w:val="Normal"/>
        <w:ind w:firstLine="432"/>
        <w:rPr>
          <w:sz w:val="24"/>
          <w:szCs w:val="24"/>
        </w:rPr>
      </w:pPr>
      <w:bookmarkStart w:id="22" w:name="_Hlk48209761"/>
      <w:bookmarkEnd w:id="22"/>
      <w:r>
        <w:rPr>
          <w:sz w:val="24"/>
          <w:szCs w:val="24"/>
        </w:rPr>
        <w:t>1.5.1. Заказчик предоставляет Исполнителю следующие виды ресурсов:</w:t>
      </w:r>
    </w:p>
    <w:p>
      <w:pPr>
        <w:pStyle w:val="Normal"/>
        <w:rPr>
          <w:sz w:val="24"/>
          <w:szCs w:val="24"/>
        </w:rPr>
      </w:pPr>
      <w:r>
        <w:rPr>
          <w:sz w:val="24"/>
          <w:szCs w:val="24"/>
        </w:rPr>
        <w:t>- электроэнергия;</w:t>
      </w:r>
    </w:p>
    <w:p>
      <w:pPr>
        <w:pStyle w:val="Normal"/>
        <w:rPr>
          <w:sz w:val="24"/>
          <w:szCs w:val="24"/>
        </w:rPr>
      </w:pPr>
      <w:r>
        <w:rPr>
          <w:sz w:val="24"/>
          <w:szCs w:val="24"/>
        </w:rPr>
        <w:t>- вода (при наличии центрального водоснабжения).</w:t>
      </w:r>
    </w:p>
    <w:p>
      <w:pPr>
        <w:pStyle w:val="Normal"/>
        <w:ind w:firstLine="708"/>
        <w:rPr>
          <w:sz w:val="24"/>
          <w:szCs w:val="24"/>
        </w:rPr>
      </w:pPr>
      <w:r>
        <w:rPr>
          <w:sz w:val="24"/>
          <w:szCs w:val="24"/>
        </w:rPr>
        <w:t>1.5.2. Следующие виды ИТСО, расположенные на объектах:</w:t>
      </w:r>
    </w:p>
    <w:p>
      <w:pPr>
        <w:pStyle w:val="Normal"/>
        <w:rPr>
          <w:sz w:val="24"/>
          <w:szCs w:val="24"/>
        </w:rPr>
      </w:pPr>
      <w:r>
        <w:rPr>
          <w:sz w:val="24"/>
          <w:szCs w:val="24"/>
        </w:rPr>
        <w:t>- СОПС.</w:t>
      </w:r>
    </w:p>
    <w:p>
      <w:pPr>
        <w:pStyle w:val="Normal"/>
        <w:rPr>
          <w:sz w:val="24"/>
          <w:szCs w:val="24"/>
        </w:rPr>
      </w:pPr>
      <w:r>
        <w:rPr>
          <w:sz w:val="24"/>
          <w:szCs w:val="24"/>
        </w:rPr>
        <w:t xml:space="preserve">- СОТ. </w:t>
      </w:r>
    </w:p>
    <w:p>
      <w:pPr>
        <w:pStyle w:val="Normal"/>
        <w:rPr>
          <w:sz w:val="24"/>
          <w:szCs w:val="24"/>
        </w:rPr>
      </w:pPr>
      <w:r>
        <w:rPr>
          <w:sz w:val="24"/>
          <w:szCs w:val="24"/>
        </w:rPr>
        <w:t>- СКУД.</w:t>
      </w:r>
    </w:p>
    <w:p>
      <w:pPr>
        <w:pStyle w:val="4"/>
        <w:numPr>
          <w:ilvl w:val="1"/>
          <w:numId w:val="2"/>
        </w:numPr>
        <w:rPr/>
      </w:pPr>
      <w:bookmarkStart w:id="23" w:name="_Toc54643701"/>
      <w:bookmarkEnd w:id="23"/>
      <w:r>
        <w:rPr/>
        <w:t xml:space="preserve">Иные требования и сведения общего характера </w:t>
      </w:r>
    </w:p>
    <w:p>
      <w:pPr>
        <w:pStyle w:val="Normal"/>
        <w:jc w:val="both"/>
        <w:rPr>
          <w:sz w:val="24"/>
          <w:szCs w:val="24"/>
        </w:rPr>
      </w:pPr>
      <w:r>
        <w:rPr>
          <w:sz w:val="24"/>
          <w:szCs w:val="24"/>
        </w:rPr>
        <w:tab/>
        <w:t xml:space="preserve">Исполнитель, на период действия договора охраны, обязан установить на Объектах охраны техническую систему передачи извещений (тревожную кнопку), осуществляющую передачу тревожных сообщений с Объектов охраны на пульт централизованного наблюдения Исполнителя, и осуществлять ее техническое обслуживание, в рамках заключенного Договора охраны объектов филиала. </w:t>
      </w:r>
    </w:p>
    <w:p>
      <w:pPr>
        <w:pStyle w:val="Normal"/>
        <w:rPr>
          <w:sz w:val="24"/>
          <w:szCs w:val="24"/>
        </w:rPr>
      </w:pPr>
      <w:r>
        <w:rPr>
          <w:sz w:val="24"/>
          <w:szCs w:val="24"/>
        </w:rPr>
      </w:r>
    </w:p>
    <w:p>
      <w:pPr>
        <w:pStyle w:val="1"/>
        <w:keepLines/>
        <w:numPr>
          <w:ilvl w:val="0"/>
          <w:numId w:val="2"/>
        </w:numPr>
        <w:ind w:left="357" w:hanging="357"/>
        <w:jc w:val="center"/>
        <w:rPr>
          <w:iCs/>
          <w:caps/>
          <w:lang w:val="ru-RU"/>
        </w:rPr>
      </w:pPr>
      <w:bookmarkStart w:id="24" w:name="_Hlk48209761"/>
      <w:bookmarkStart w:id="25" w:name="_Toc50125126"/>
      <w:bookmarkStart w:id="26" w:name="_Toc54643702"/>
      <w:bookmarkStart w:id="27" w:name="_Toc51339693"/>
      <w:bookmarkEnd w:id="24"/>
      <w:bookmarkEnd w:id="25"/>
      <w:r>
        <w:rPr>
          <w:iCs/>
          <w:lang w:val="ru-RU"/>
        </w:rPr>
        <w:t>Требования</w:t>
      </w:r>
      <w:bookmarkEnd w:id="26"/>
      <w:bookmarkEnd w:id="27"/>
      <w:r>
        <w:rPr>
          <w:iCs/>
        </w:rPr>
        <w:t xml:space="preserve"> к продукции</w:t>
      </w:r>
    </w:p>
    <w:p>
      <w:pPr>
        <w:pStyle w:val="4"/>
        <w:numPr>
          <w:ilvl w:val="1"/>
          <w:numId w:val="2"/>
        </w:numPr>
        <w:rPr>
          <w:lang w:val="ru-RU"/>
        </w:rPr>
      </w:pPr>
      <w:bookmarkStart w:id="28" w:name="_Toc54643703"/>
      <w:r>
        <w:rPr/>
        <w:t xml:space="preserve">Требования к объемам и срокам </w:t>
      </w:r>
      <w:bookmarkEnd w:id="28"/>
      <w:r>
        <w:rPr>
          <w:lang w:val="ru-RU"/>
        </w:rPr>
        <w:t>оказания услуг</w:t>
      </w:r>
    </w:p>
    <w:p>
      <w:pPr>
        <w:pStyle w:val="Normal"/>
        <w:ind w:firstLine="709"/>
        <w:jc w:val="both"/>
        <w:rPr>
          <w:sz w:val="24"/>
          <w:szCs w:val="24"/>
          <w:lang w:eastAsia="x-none"/>
        </w:rPr>
      </w:pPr>
      <w:r>
        <w:rPr>
          <w:sz w:val="24"/>
          <w:szCs w:val="24"/>
          <w:lang w:eastAsia="x-none"/>
        </w:rPr>
        <w:t>Услуги по физической охране объектов охраны филиала «ПЭС», включенных в «Перечень охраны объектов и график несения службы» (приложение № 1 к ТТ), подлежат выполнению охранной организацией в строгом соответствии с требованиями следующих нормативно-правовых актов:</w:t>
      </w:r>
    </w:p>
    <w:p>
      <w:pPr>
        <w:pStyle w:val="Normal"/>
        <w:jc w:val="both"/>
        <w:rPr>
          <w:sz w:val="24"/>
          <w:szCs w:val="24"/>
          <w:lang w:eastAsia="x-none"/>
        </w:rPr>
      </w:pPr>
      <w:r>
        <w:rPr>
          <w:sz w:val="24"/>
          <w:szCs w:val="24"/>
          <w:lang w:eastAsia="x-none"/>
        </w:rPr>
        <w:t>- Федерального закона от 11.03.1992 № 2487-1 (ред. от 28.12.2022) «О частной детективной и охранной деятельности в Российской Федерации»;</w:t>
      </w:r>
    </w:p>
    <w:p>
      <w:pPr>
        <w:pStyle w:val="Normal"/>
        <w:jc w:val="both"/>
        <w:rPr>
          <w:sz w:val="24"/>
          <w:szCs w:val="24"/>
          <w:lang w:eastAsia="x-none"/>
        </w:rPr>
      </w:pPr>
      <w:r>
        <w:rPr>
          <w:sz w:val="24"/>
          <w:szCs w:val="24"/>
          <w:lang w:eastAsia="x-none"/>
        </w:rPr>
        <w:t>- Федерального закона от 21.07.2011 № 256-ФЗ (ред. от 28.06.2022) «О безопасности объектов топливно-энергетического комплекса» (с изм. и доп., вступ. в силу с 26.12.2022);</w:t>
      </w:r>
    </w:p>
    <w:p>
      <w:pPr>
        <w:pStyle w:val="Normal"/>
        <w:jc w:val="both"/>
        <w:rPr>
          <w:sz w:val="24"/>
          <w:szCs w:val="24"/>
          <w:lang w:eastAsia="x-none"/>
        </w:rPr>
      </w:pPr>
      <w:r>
        <w:rPr>
          <w:sz w:val="24"/>
          <w:szCs w:val="24"/>
          <w:lang w:eastAsia="x-none"/>
        </w:rPr>
        <w:t xml:space="preserve">- Федерального закона от 14.04.1999 № 77-ФЗ (ред. от 28.02.2023) </w:t>
      </w:r>
    </w:p>
    <w:p>
      <w:pPr>
        <w:pStyle w:val="Normal"/>
        <w:jc w:val="both"/>
        <w:rPr>
          <w:sz w:val="24"/>
          <w:szCs w:val="24"/>
          <w:lang w:eastAsia="x-none"/>
        </w:rPr>
      </w:pPr>
      <w:r>
        <w:rPr>
          <w:sz w:val="24"/>
          <w:szCs w:val="24"/>
          <w:lang w:eastAsia="x-none"/>
        </w:rPr>
        <w:t xml:space="preserve">«О ведомственной охране»; </w:t>
      </w:r>
    </w:p>
    <w:p>
      <w:pPr>
        <w:pStyle w:val="Normal"/>
        <w:jc w:val="both"/>
        <w:rPr>
          <w:sz w:val="24"/>
          <w:szCs w:val="24"/>
          <w:lang w:eastAsia="x-none"/>
        </w:rPr>
      </w:pPr>
      <w:r>
        <w:rPr>
          <w:sz w:val="24"/>
          <w:szCs w:val="24"/>
          <w:lang w:eastAsia="x-none"/>
        </w:rPr>
        <w:t>- Федерального закона от 03.07.2016 № 226-ФЗ (ред. от 24.06.2023) «О войсках национальной гвардии Российской Федерации»;</w:t>
      </w:r>
    </w:p>
    <w:p>
      <w:pPr>
        <w:pStyle w:val="Normal"/>
        <w:jc w:val="both"/>
        <w:rPr>
          <w:sz w:val="24"/>
          <w:szCs w:val="24"/>
          <w:lang w:eastAsia="x-none"/>
        </w:rPr>
      </w:pPr>
      <w:r>
        <w:rPr>
          <w:sz w:val="24"/>
          <w:szCs w:val="24"/>
          <w:lang w:eastAsia="x-none"/>
        </w:rPr>
        <w:t>- Федерального закона от 19.06.2000 № 82-ФЗ (ред. от 19.12.2022) «О минимальном размере оплаты труда»;</w:t>
      </w:r>
    </w:p>
    <w:p>
      <w:pPr>
        <w:pStyle w:val="Normal"/>
        <w:jc w:val="both"/>
        <w:rPr>
          <w:sz w:val="24"/>
          <w:szCs w:val="24"/>
          <w:lang w:eastAsia="x-none"/>
        </w:rPr>
      </w:pPr>
      <w:r>
        <w:rPr>
          <w:sz w:val="24"/>
          <w:szCs w:val="24"/>
          <w:lang w:eastAsia="x-none"/>
        </w:rPr>
        <w:t>- Федерального закона от 29.12.2012 № 273-ФЗ (ред. от 17.02.2023) «Об образовании в Российской Федерации» (статьи № № 59,60) (с изм. и доп., вступ. в силу с 28.02.2023);</w:t>
      </w:r>
    </w:p>
    <w:p>
      <w:pPr>
        <w:pStyle w:val="Normal"/>
        <w:jc w:val="both"/>
        <w:rPr>
          <w:sz w:val="24"/>
          <w:szCs w:val="24"/>
          <w:lang w:eastAsia="x-none"/>
        </w:rPr>
      </w:pPr>
      <w:r>
        <w:rPr>
          <w:sz w:val="24"/>
          <w:szCs w:val="24"/>
          <w:lang w:eastAsia="x-none"/>
        </w:rPr>
        <w:t>- Федерального закона от 21.12.1994 № 69-ФЗ (ред. от 29.12.2022) «О пожарной безопасности»;</w:t>
      </w:r>
    </w:p>
    <w:p>
      <w:pPr>
        <w:pStyle w:val="Normal"/>
        <w:jc w:val="both"/>
        <w:rPr>
          <w:sz w:val="24"/>
          <w:szCs w:val="24"/>
          <w:lang w:eastAsia="x-none"/>
        </w:rPr>
      </w:pPr>
      <w:r>
        <w:rPr>
          <w:sz w:val="24"/>
          <w:szCs w:val="24"/>
          <w:lang w:eastAsia="x-none"/>
        </w:rPr>
        <w:t>- Федерального закона от 10.01.2002 № 7-ФЗ (ред. от 14.07.2022) «Об охране окружающей среды» (с изм. и доп., вступ. в силу с 01.03.2023);</w:t>
      </w:r>
    </w:p>
    <w:p>
      <w:pPr>
        <w:pStyle w:val="Normal"/>
        <w:jc w:val="both"/>
        <w:rPr>
          <w:sz w:val="24"/>
          <w:szCs w:val="24"/>
          <w:lang w:eastAsia="x-none"/>
        </w:rPr>
      </w:pPr>
      <w:r>
        <w:rPr>
          <w:sz w:val="24"/>
          <w:szCs w:val="24"/>
          <w:lang w:eastAsia="x-none"/>
        </w:rPr>
        <w:t>- Постановления Правительства РФ от 08.12.2022 № 2258 «Об утверждении специальных требований к частным охранным организациям, которые вправе осуществлять физическую защиту объектов ТЭК в соответствии с пунктами 2 и 3 части 4 статьи 9 Федерального закона «О безопасности объектов топливно-энергетического комплекса»;</w:t>
      </w:r>
    </w:p>
    <w:p>
      <w:pPr>
        <w:pStyle w:val="Normal"/>
        <w:jc w:val="both"/>
        <w:rPr>
          <w:sz w:val="24"/>
          <w:szCs w:val="24"/>
          <w:lang w:eastAsia="x-none"/>
        </w:rPr>
      </w:pPr>
      <w:r>
        <w:rPr>
          <w:sz w:val="24"/>
          <w:szCs w:val="24"/>
          <w:lang w:eastAsia="x-none"/>
        </w:rPr>
        <w:t>- Постановления Правительства РФ от 16.09.2020 № 1479 (ред. от 24.10.2022) «Об утверждении Правил противопожарного режима в Российской Федерации»;</w:t>
      </w:r>
    </w:p>
    <w:p>
      <w:pPr>
        <w:pStyle w:val="Normal"/>
        <w:jc w:val="both"/>
        <w:rPr>
          <w:sz w:val="24"/>
          <w:szCs w:val="24"/>
          <w:lang w:eastAsia="x-none"/>
        </w:rPr>
      </w:pPr>
      <w:r>
        <w:rPr>
          <w:sz w:val="24"/>
          <w:szCs w:val="24"/>
          <w:lang w:eastAsia="x-none"/>
        </w:rPr>
        <w:t xml:space="preserve">- Постановления Правительства РФ от 14.08.1992 № 587 (ред. от 01.11.2022) «Вопросы частной детективной (сыскной) и частной охранной деятельности»; </w:t>
      </w:r>
    </w:p>
    <w:p>
      <w:pPr>
        <w:pStyle w:val="Normal"/>
        <w:jc w:val="both"/>
        <w:rPr>
          <w:sz w:val="24"/>
          <w:szCs w:val="24"/>
          <w:lang w:eastAsia="x-none"/>
        </w:rPr>
      </w:pPr>
      <w:r>
        <w:rPr>
          <w:sz w:val="24"/>
          <w:szCs w:val="24"/>
          <w:lang w:eastAsia="x-none"/>
        </w:rPr>
        <w:t xml:space="preserve">- Постановления Правительства РФ от 23.06.2011 № 498 (ред. от 01.11.2022) </w:t>
      </w:r>
    </w:p>
    <w:p>
      <w:pPr>
        <w:pStyle w:val="Normal"/>
        <w:jc w:val="both"/>
        <w:rPr>
          <w:sz w:val="24"/>
          <w:szCs w:val="24"/>
          <w:lang w:eastAsia="x-none"/>
        </w:rPr>
      </w:pPr>
      <w:r>
        <w:rPr>
          <w:sz w:val="24"/>
          <w:szCs w:val="24"/>
          <w:lang w:eastAsia="x-none"/>
        </w:rPr>
        <w:t>«О некоторых вопросах осуществления частной детективной (сыскной) и частной охранной деятельности»;</w:t>
      </w:r>
    </w:p>
    <w:p>
      <w:pPr>
        <w:pStyle w:val="Normal"/>
        <w:jc w:val="both"/>
        <w:rPr>
          <w:sz w:val="24"/>
          <w:szCs w:val="24"/>
          <w:lang w:eastAsia="x-none"/>
        </w:rPr>
      </w:pPr>
      <w:r>
        <w:rPr>
          <w:sz w:val="24"/>
          <w:szCs w:val="24"/>
          <w:lang w:eastAsia="x-none"/>
        </w:rPr>
        <w:t>- Приказа Минэнерго РФ от 13.12.2011 № 587 «Об утверждении перечня работ, непосредственно связанных с обеспечением безопасности объектов ТЭК» (Зарегистрировано в Минюсте России 26.01.2012 № 23027);</w:t>
      </w:r>
    </w:p>
    <w:p>
      <w:pPr>
        <w:pStyle w:val="Normal"/>
        <w:jc w:val="both"/>
        <w:rPr>
          <w:sz w:val="24"/>
          <w:szCs w:val="24"/>
          <w:lang w:eastAsia="x-none"/>
        </w:rPr>
      </w:pPr>
      <w:r>
        <w:rPr>
          <w:sz w:val="24"/>
          <w:szCs w:val="24"/>
          <w:lang w:eastAsia="x-none"/>
        </w:rPr>
        <w:t>- Приказа Росгвардии от 19.10.2020 № 419 «Об утверждении типовых требований к должностной инструкции частного охранника на объекте охраны» (Зарегистрировано в Минюсте России 23.11.2020 № 61067);</w:t>
      </w:r>
    </w:p>
    <w:p>
      <w:pPr>
        <w:pStyle w:val="Normal"/>
        <w:jc w:val="both"/>
        <w:rPr>
          <w:sz w:val="24"/>
          <w:szCs w:val="24"/>
          <w:lang w:eastAsia="x-none"/>
        </w:rPr>
      </w:pPr>
      <w:r>
        <w:rPr>
          <w:sz w:val="24"/>
          <w:szCs w:val="24"/>
          <w:lang w:eastAsia="x-none"/>
        </w:rPr>
        <w:t>- Приказа Росгвардии от 28.06.2021 № 239 «Об утверждении типовых дополнительных профессиональных программ для руководителей частных охранных организаций» (Зарегистрировано в Минюсте России 03.08.2021 № 64519);</w:t>
      </w:r>
    </w:p>
    <w:p>
      <w:pPr>
        <w:pStyle w:val="Normal"/>
        <w:jc w:val="both"/>
        <w:rPr>
          <w:sz w:val="24"/>
          <w:szCs w:val="24"/>
          <w:lang w:eastAsia="x-none"/>
        </w:rPr>
      </w:pPr>
      <w:r>
        <w:rPr>
          <w:sz w:val="24"/>
          <w:szCs w:val="24"/>
          <w:lang w:eastAsia="x-none"/>
        </w:rPr>
        <w:t xml:space="preserve">- Приказа Росгвардии от 28.06.2019 № 238 «Об утверждении порядка выдачи личной карточки охранника» (Зарегистрировано в Минюсте России 13.09.2019 </w:t>
      </w:r>
    </w:p>
    <w:p>
      <w:pPr>
        <w:pStyle w:val="Normal"/>
        <w:jc w:val="both"/>
        <w:rPr>
          <w:sz w:val="24"/>
          <w:szCs w:val="24"/>
          <w:lang w:eastAsia="x-none"/>
        </w:rPr>
      </w:pPr>
      <w:r>
        <w:rPr>
          <w:sz w:val="24"/>
          <w:szCs w:val="24"/>
          <w:lang w:eastAsia="x-none"/>
        </w:rPr>
        <w:t xml:space="preserve">№ </w:t>
      </w:r>
      <w:r>
        <w:rPr>
          <w:sz w:val="24"/>
          <w:szCs w:val="24"/>
          <w:lang w:eastAsia="x-none"/>
        </w:rPr>
        <w:t>55917);</w:t>
      </w:r>
    </w:p>
    <w:p>
      <w:pPr>
        <w:pStyle w:val="Normal"/>
        <w:jc w:val="both"/>
        <w:rPr>
          <w:sz w:val="24"/>
          <w:szCs w:val="24"/>
          <w:lang w:eastAsia="x-none"/>
        </w:rPr>
      </w:pPr>
      <w:r>
        <w:rPr>
          <w:sz w:val="24"/>
          <w:szCs w:val="24"/>
          <w:lang w:eastAsia="x-none"/>
        </w:rPr>
        <w:t>- Приказа Росгвардии от 28.12.2018 № 669 «Об утверждении Правил охраны имущества физических и юридических лиц по договорам войсками национальной гвардии Российской Федерации» (Зарегистрировано в Минюсте России 15.02.2019 № 53822);</w:t>
      </w:r>
    </w:p>
    <w:p>
      <w:pPr>
        <w:pStyle w:val="Normal"/>
        <w:jc w:val="both"/>
        <w:rPr>
          <w:sz w:val="24"/>
          <w:szCs w:val="24"/>
          <w:lang w:eastAsia="x-none"/>
        </w:rPr>
      </w:pPr>
      <w:r>
        <w:rPr>
          <w:sz w:val="24"/>
          <w:szCs w:val="24"/>
          <w:lang w:eastAsia="x-none"/>
        </w:rPr>
        <w:t>- Приказа Росгвардии от 12.05.2021 № 165 «Об утверждении Устава федерального государственного унитарного предприятия «Охрана» Федеральной службы войск национальной гвардии Российской Федерации и некоторых вопросах организации его деятельности»;</w:t>
      </w:r>
    </w:p>
    <w:p>
      <w:pPr>
        <w:pStyle w:val="Normal"/>
        <w:jc w:val="both"/>
        <w:rPr>
          <w:sz w:val="24"/>
          <w:szCs w:val="24"/>
          <w:lang w:eastAsia="x-none"/>
        </w:rPr>
      </w:pPr>
      <w:r>
        <w:rPr>
          <w:sz w:val="24"/>
          <w:szCs w:val="24"/>
          <w:lang w:eastAsia="x-none"/>
        </w:rPr>
        <w:t>- Приказа Росгвардии от 28.06.2019 № 228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удостоверения частного охранника» (Зарегистрировано в Минюсте России 13.09.2019 № 55918);</w:t>
      </w:r>
    </w:p>
    <w:p>
      <w:pPr>
        <w:pStyle w:val="Normal"/>
        <w:jc w:val="both"/>
        <w:rPr>
          <w:sz w:val="24"/>
          <w:szCs w:val="24"/>
          <w:lang w:eastAsia="x-none"/>
        </w:rPr>
      </w:pPr>
      <w:r>
        <w:rPr>
          <w:sz w:val="24"/>
          <w:szCs w:val="24"/>
          <w:lang w:eastAsia="x-none"/>
        </w:rPr>
        <w:t>- Приказа Росгвардии от 30.11.2020 № 477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охранной деятельности» (Зарегистрировано в Минюсте России 24.12.2020 № 61789);</w:t>
      </w:r>
    </w:p>
    <w:p>
      <w:pPr>
        <w:pStyle w:val="Normal"/>
        <w:jc w:val="both"/>
        <w:rPr>
          <w:sz w:val="24"/>
          <w:szCs w:val="24"/>
          <w:lang w:eastAsia="x-none"/>
        </w:rPr>
      </w:pPr>
      <w:r>
        <w:rPr>
          <w:sz w:val="24"/>
          <w:szCs w:val="24"/>
          <w:lang w:eastAsia="x-none"/>
        </w:rPr>
        <w:t>- Приказа Росгвардии от 25.11.2019 № 387 «Об утверждении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 и работников юридических лиц с особыми уставными задачами на пригодность к действиям в условиях, связанных с применением огнестрельного оружия и специальных средств» (Зарегистрировано в Минюсте России 24.01.2020 № 57271);</w:t>
      </w:r>
    </w:p>
    <w:p>
      <w:pPr>
        <w:pStyle w:val="Normal"/>
        <w:jc w:val="both"/>
        <w:rPr>
          <w:sz w:val="24"/>
          <w:szCs w:val="24"/>
          <w:lang w:eastAsia="x-none"/>
        </w:rPr>
      </w:pPr>
      <w:r>
        <w:rPr>
          <w:sz w:val="24"/>
          <w:szCs w:val="24"/>
          <w:lang w:eastAsia="x-none"/>
        </w:rPr>
        <w:t>- Приказа Росгвардии от 15.02.2021 № 45 «Об утверждении порядка определения начальной (максимальной) цены контракта, цены контракта, заключаемого с единственным поставщиком</w:t>
      </w:r>
    </w:p>
    <w:p>
      <w:pPr>
        <w:pStyle w:val="Normal"/>
        <w:jc w:val="both"/>
        <w:rPr>
          <w:sz w:val="24"/>
          <w:szCs w:val="24"/>
          <w:lang w:eastAsia="x-none"/>
        </w:rPr>
      </w:pPr>
      <w:r>
        <w:rPr>
          <w:sz w:val="24"/>
          <w:szCs w:val="24"/>
          <w:lang w:eastAsia="x-none"/>
        </w:rPr>
        <w:t>(подрядчиком, исполнителем), начальной цены единицы товара, работы, услуги при осуществлении закупок охранных услуг» (з</w:t>
      </w:r>
      <w:r>
        <w:rPr>
          <w:sz w:val="24"/>
          <w:szCs w:val="24"/>
        </w:rPr>
        <w:t>а</w:t>
      </w:r>
      <w:r>
        <w:rPr>
          <w:sz w:val="24"/>
          <w:szCs w:val="24"/>
          <w:lang w:eastAsia="x-none"/>
        </w:rPr>
        <w:t>регистрировано в Минюсте России 28.04.2021 № 63259);</w:t>
      </w:r>
    </w:p>
    <w:p>
      <w:pPr>
        <w:pStyle w:val="Normal"/>
        <w:jc w:val="both"/>
        <w:rPr>
          <w:sz w:val="24"/>
          <w:szCs w:val="24"/>
          <w:lang w:eastAsia="x-none"/>
        </w:rPr>
      </w:pPr>
      <w:r>
        <w:rPr>
          <w:sz w:val="24"/>
          <w:szCs w:val="24"/>
          <w:lang w:eastAsia="x-none"/>
        </w:rPr>
        <w:t>- Приказа ФНС России от 29.09.2022 № ЕД-7-11/878@ «Об утверждении форм расчета по страховым взносам и персонифицированных сведений о физических лицах, порядков их заполнения, а также форматов их представления в электронной форме» (Зарегистрировано в Минюсте России 27.10.2022 № 70727);</w:t>
      </w:r>
    </w:p>
    <w:p>
      <w:pPr>
        <w:pStyle w:val="Normal"/>
        <w:jc w:val="both"/>
        <w:rPr>
          <w:sz w:val="24"/>
          <w:szCs w:val="24"/>
          <w:lang w:eastAsia="x-none"/>
        </w:rPr>
      </w:pPr>
      <w:r>
        <w:rPr>
          <w:sz w:val="24"/>
          <w:szCs w:val="24"/>
          <w:lang w:eastAsia="x-none"/>
        </w:rPr>
        <w:t xml:space="preserve">- Приказа Минтруда и социальной защиты РФ от 19.11.2020 № 815н </w:t>
      </w:r>
    </w:p>
    <w:p>
      <w:pPr>
        <w:pStyle w:val="Normal"/>
        <w:jc w:val="both"/>
        <w:rPr>
          <w:sz w:val="24"/>
          <w:szCs w:val="24"/>
          <w:lang w:eastAsia="x-none"/>
        </w:rPr>
      </w:pPr>
      <w:r>
        <w:rPr>
          <w:sz w:val="24"/>
          <w:szCs w:val="24"/>
          <w:lang w:eastAsia="x-none"/>
        </w:rPr>
        <w:t xml:space="preserve">«Об утверждении Правил по охране труда при осуществлении охраны (защиты) объектов и (или) имущества» (Зарегистрировано в Минюсте России 21.12.2020 </w:t>
      </w:r>
    </w:p>
    <w:p>
      <w:pPr>
        <w:pStyle w:val="Normal"/>
        <w:jc w:val="both"/>
        <w:rPr>
          <w:sz w:val="24"/>
          <w:szCs w:val="24"/>
          <w:lang w:eastAsia="x-none"/>
        </w:rPr>
      </w:pPr>
      <w:r>
        <w:rPr>
          <w:sz w:val="24"/>
          <w:szCs w:val="24"/>
          <w:lang w:eastAsia="x-none"/>
        </w:rPr>
        <w:t xml:space="preserve">№ </w:t>
      </w:r>
      <w:r>
        <w:rPr>
          <w:sz w:val="24"/>
          <w:szCs w:val="24"/>
          <w:lang w:eastAsia="x-none"/>
        </w:rPr>
        <w:t>61647);</w:t>
      </w:r>
    </w:p>
    <w:p>
      <w:pPr>
        <w:pStyle w:val="Normal"/>
        <w:jc w:val="both"/>
        <w:rPr>
          <w:sz w:val="24"/>
          <w:szCs w:val="24"/>
          <w:lang w:eastAsia="x-none"/>
        </w:rPr>
      </w:pPr>
      <w:r>
        <w:rPr>
          <w:sz w:val="24"/>
          <w:szCs w:val="24"/>
          <w:lang w:eastAsia="x-none"/>
        </w:rPr>
        <w:t>- Правил пожарной безопасности для энергетических предприятий (РД 153-34.0-03.301-00 (ВППБ 01-02-95*), СО 34.03.301-00 (утв. РАО «ЕЭС России» 09.03.2000);</w:t>
      </w:r>
    </w:p>
    <w:p>
      <w:pPr>
        <w:pStyle w:val="Normal"/>
        <w:jc w:val="both"/>
        <w:rPr>
          <w:sz w:val="24"/>
          <w:szCs w:val="24"/>
          <w:lang w:eastAsia="x-none"/>
        </w:rPr>
      </w:pPr>
      <w:r>
        <w:rPr>
          <w:sz w:val="24"/>
          <w:szCs w:val="24"/>
          <w:lang w:eastAsia="x-none"/>
        </w:rPr>
        <w:t>- ГОСТа 12.1.004-91. «Межгосударственный стандарт. Система стандартов безопасности труда. Пожарная безопасность. Общие требования» (утв. Постановлением Госстандарта СССР от 14.06.1991 № 875) (ред. от 01.10.1993);</w:t>
      </w:r>
    </w:p>
    <w:p>
      <w:pPr>
        <w:pStyle w:val="Normal"/>
        <w:jc w:val="both"/>
        <w:rPr>
          <w:sz w:val="24"/>
          <w:szCs w:val="24"/>
          <w:lang w:eastAsia="x-none"/>
        </w:rPr>
      </w:pPr>
      <w:r>
        <w:rPr>
          <w:sz w:val="24"/>
          <w:szCs w:val="24"/>
          <w:lang w:eastAsia="x-none"/>
        </w:rPr>
        <w:t>- Приказа Ростехнадзора от 02.07.2021 № 250 «Об утверждении Перечня нормативных правовых актов и нормативных документов, относящихся к сфере деятельности Федеральной службы по экологическому, технологическому и атомному надзору (раздел I «Технологический, строительный, энергетический надзор») П-01-01-2021»;</w:t>
      </w:r>
    </w:p>
    <w:p>
      <w:pPr>
        <w:pStyle w:val="Normal"/>
        <w:jc w:val="both"/>
        <w:rPr>
          <w:sz w:val="24"/>
          <w:szCs w:val="24"/>
          <w:lang w:eastAsia="x-none"/>
        </w:rPr>
      </w:pPr>
      <w:r>
        <w:rPr>
          <w:sz w:val="24"/>
          <w:szCs w:val="24"/>
          <w:lang w:eastAsia="x-none"/>
        </w:rPr>
        <w:t>- Приказа Минздравсоцразвития России от 04.05.2012 № 477н (ред. от 07.11.2012) «Об утверждении перечня состояний, при которых оказывается первая помощь, и перечня мероприятий по оказанию первой помощи» (Зарегистрировано в Минюсте России 16.05.2012 № 24183);</w:t>
      </w:r>
    </w:p>
    <w:p>
      <w:pPr>
        <w:pStyle w:val="Normal"/>
        <w:jc w:val="both"/>
        <w:rPr>
          <w:sz w:val="24"/>
          <w:szCs w:val="24"/>
          <w:lang w:eastAsia="x-none"/>
        </w:rPr>
      </w:pPr>
      <w:r>
        <w:rPr>
          <w:sz w:val="24"/>
          <w:szCs w:val="24"/>
          <w:lang w:eastAsia="x-none"/>
        </w:rPr>
        <w:t>- Межотраслевой инструкции по оказанию первой помощи при несчастных случаях на производстве. Утверждена Минздравом РФ (письмо от 28.06.1999 № 16-16168);</w:t>
      </w:r>
    </w:p>
    <w:p>
      <w:pPr>
        <w:pStyle w:val="Normal"/>
        <w:jc w:val="both"/>
        <w:rPr>
          <w:sz w:val="24"/>
          <w:szCs w:val="24"/>
          <w:lang w:eastAsia="x-none"/>
        </w:rPr>
      </w:pPr>
      <w:r>
        <w:rPr>
          <w:sz w:val="24"/>
          <w:szCs w:val="24"/>
          <w:lang w:eastAsia="x-none"/>
        </w:rPr>
        <w:t>- Приказа Министерства труда и социальной защиты Российской Федерации от 15.12.2020 № 903н «Об утверждении правил по охране труда при эксплуатации электроустановок»;</w:t>
      </w:r>
    </w:p>
    <w:p>
      <w:pPr>
        <w:pStyle w:val="Normal"/>
        <w:jc w:val="both"/>
        <w:rPr>
          <w:sz w:val="24"/>
          <w:szCs w:val="24"/>
          <w:lang w:eastAsia="x-none"/>
        </w:rPr>
      </w:pPr>
      <w:r>
        <w:rPr>
          <w:sz w:val="24"/>
          <w:szCs w:val="24"/>
          <w:lang w:eastAsia="x-none"/>
        </w:rPr>
        <w:t>- ГОСТ Р 59044-2020 «Оказание охранных услуг, связанных с принятием соответствующих мер реагирования на сигнальную информацию технических средств охраны» (принят 01.10.2020);</w:t>
      </w:r>
    </w:p>
    <w:p>
      <w:pPr>
        <w:pStyle w:val="Normal"/>
        <w:jc w:val="both"/>
        <w:rPr>
          <w:sz w:val="24"/>
          <w:szCs w:val="24"/>
          <w:lang w:eastAsia="x-none"/>
        </w:rPr>
      </w:pPr>
      <w:r>
        <w:rPr>
          <w:sz w:val="24"/>
          <w:szCs w:val="24"/>
          <w:lang w:eastAsia="x-none"/>
        </w:rPr>
        <w:t>- иных нормативно-правовых и нормативно-технических документов Российской Федерации, содержащих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услугам и объектам охраны.</w:t>
      </w:r>
    </w:p>
    <w:p>
      <w:pPr>
        <w:pStyle w:val="4"/>
        <w:numPr>
          <w:ilvl w:val="1"/>
          <w:numId w:val="2"/>
        </w:numPr>
        <w:rPr/>
      </w:pPr>
      <w:bookmarkStart w:id="29" w:name="_Toc54643704"/>
      <w:bookmarkEnd w:id="29"/>
      <w:r>
        <w:rPr/>
        <w:t>Требования к перечню и объему услуг</w:t>
      </w:r>
    </w:p>
    <w:p>
      <w:pPr>
        <w:pStyle w:val="1"/>
        <w:keepLines/>
        <w:numPr>
          <w:ilvl w:val="0"/>
          <w:numId w:val="0"/>
        </w:numPr>
        <w:spacing w:before="240" w:after="60"/>
        <w:ind w:left="5038" w:hanging="0"/>
        <w:rPr/>
      </w:pPr>
      <w:bookmarkStart w:id="30" w:name="_Toc54643705"/>
      <w:bookmarkStart w:id="31" w:name="_Toc51339695"/>
      <w:r>
        <w:rPr>
          <w:sz w:val="24"/>
          <w:szCs w:val="24"/>
        </w:rPr>
        <w:t xml:space="preserve">Таблица </w:t>
      </w:r>
      <w:r>
        <w:rPr>
          <w:sz w:val="24"/>
          <w:szCs w:val="24"/>
          <w:lang w:val="ru-RU"/>
        </w:rPr>
        <w:t>2.</w:t>
      </w:r>
      <w:r>
        <w:rPr>
          <w:sz w:val="24"/>
          <w:szCs w:val="24"/>
        </w:rPr>
        <w:t xml:space="preserve"> </w:t>
      </w:r>
      <w:r>
        <w:rPr>
          <w:sz w:val="24"/>
          <w:szCs w:val="24"/>
          <w:lang w:val="ru-RU"/>
        </w:rPr>
        <w:t xml:space="preserve">Перечень </w:t>
      </w:r>
      <w:bookmarkEnd w:id="31"/>
      <w:bookmarkEnd w:id="30"/>
      <w:r>
        <w:rPr>
          <w:sz w:val="24"/>
          <w:szCs w:val="24"/>
          <w:lang w:val="ru-RU"/>
        </w:rPr>
        <w:t>и объем оказываемых услуг</w:t>
      </w:r>
    </w:p>
    <w:tbl>
      <w:tblPr>
        <w:tblW w:w="10060"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00" w:noVBand="0" w:noHBand="0" w:lastColumn="0" w:firstColumn="0" w:lastRow="0" w:firstRow="0"/>
      </w:tblPr>
      <w:tblGrid>
        <w:gridCol w:w="816"/>
        <w:gridCol w:w="4566"/>
        <w:gridCol w:w="1559"/>
        <w:gridCol w:w="3118"/>
      </w:tblGrid>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w:t>
            </w:r>
          </w:p>
          <w:p>
            <w:pPr>
              <w:pStyle w:val="Normal"/>
              <w:rPr>
                <w:sz w:val="24"/>
                <w:szCs w:val="24"/>
              </w:rPr>
            </w:pPr>
            <w:r>
              <w:rPr>
                <w:sz w:val="24"/>
                <w:szCs w:val="24"/>
              </w:rPr>
              <w:t>п/п</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Наименование объекта</w:t>
            </w:r>
          </w:p>
          <w:p>
            <w:pPr>
              <w:pStyle w:val="Normal"/>
              <w:jc w:val="center"/>
              <w:rPr>
                <w:sz w:val="24"/>
                <w:szCs w:val="24"/>
              </w:rPr>
            </w:pPr>
            <w:r>
              <w:rPr>
                <w:sz w:val="24"/>
                <w:szCs w:val="24"/>
              </w:rPr>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keepNext w:val="true"/>
              <w:suppressAutoHyphens w:val="true"/>
              <w:jc w:val="center"/>
              <w:rPr>
                <w:sz w:val="24"/>
                <w:szCs w:val="24"/>
              </w:rPr>
            </w:pPr>
            <w:r>
              <w:rPr>
                <w:sz w:val="24"/>
                <w:szCs w:val="24"/>
              </w:rPr>
              <w:t>Единица измерения</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keepNext w:val="true"/>
              <w:suppressAutoHyphens w:val="true"/>
              <w:jc w:val="center"/>
              <w:rPr>
                <w:sz w:val="24"/>
                <w:szCs w:val="24"/>
              </w:rPr>
            </w:pPr>
            <w:r>
              <w:rPr>
                <w:sz w:val="24"/>
                <w:szCs w:val="24"/>
              </w:rPr>
              <w:t>Количество</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sz w:val="24"/>
                <w:szCs w:val="24"/>
              </w:rPr>
            </w:pPr>
            <w:r>
              <w:rPr>
                <w:b/>
                <w:sz w:val="24"/>
                <w:szCs w:val="24"/>
              </w:rPr>
              <w:t>1</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sz w:val="24"/>
                <w:szCs w:val="24"/>
              </w:rPr>
            </w:pPr>
            <w:r>
              <w:rPr>
                <w:b/>
                <w:sz w:val="24"/>
                <w:szCs w:val="24"/>
              </w:rPr>
              <w:t>2</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sz w:val="24"/>
                <w:szCs w:val="24"/>
              </w:rPr>
            </w:pPr>
            <w:r>
              <w:rPr>
                <w:b/>
                <w:sz w:val="24"/>
                <w:szCs w:val="24"/>
              </w:rPr>
              <w:t>4</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b/>
                <w:b/>
                <w:sz w:val="24"/>
                <w:szCs w:val="24"/>
              </w:rPr>
            </w:pPr>
            <w:r>
              <w:rPr>
                <w:b/>
                <w:sz w:val="24"/>
                <w:szCs w:val="24"/>
              </w:rPr>
              <w:t>5</w:t>
            </w:r>
          </w:p>
        </w:tc>
      </w:tr>
      <w:tr>
        <w:trPr>
          <w:trHeight w:val="1022" w:hRule="atLeast"/>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ListParagraph"/>
              <w:numPr>
                <w:ilvl w:val="0"/>
                <w:numId w:val="6"/>
              </w:numPr>
              <w:suppressAutoHyphens w:val="true"/>
              <w:rPr/>
            </w:pPr>
            <w:r>
              <w:rPr/>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Аппарат управления филиала АО «ДРСК» «ПЭС»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Начальник отделения охраны – 1;</w:t>
            </w:r>
          </w:p>
          <w:p>
            <w:pPr>
              <w:pStyle w:val="Normal"/>
              <w:jc w:val="both"/>
              <w:rPr>
                <w:iCs/>
                <w:sz w:val="24"/>
                <w:szCs w:val="24"/>
              </w:rPr>
            </w:pPr>
            <w:r>
              <w:rPr>
                <w:iCs/>
                <w:sz w:val="24"/>
                <w:szCs w:val="24"/>
              </w:rPr>
              <w:t>Круглосуточный пост охраны -3.</w:t>
            </w:r>
          </w:p>
        </w:tc>
      </w:tr>
      <w:tr>
        <w:trPr>
          <w:trHeight w:val="627" w:hRule="atLeast"/>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ListParagraph"/>
              <w:numPr>
                <w:ilvl w:val="0"/>
                <w:numId w:val="6"/>
              </w:numPr>
              <w:suppressAutoHyphens w:val="true"/>
              <w:rPr/>
            </w:pPr>
            <w:r>
              <w:rPr/>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База п. Угловое</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 xml:space="preserve">Круглосуточный пост охраны -1 </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 xml:space="preserve">    </w:t>
            </w:r>
            <w:r>
              <w:rPr>
                <w:sz w:val="24"/>
                <w:szCs w:val="24"/>
              </w:rPr>
              <w:t>3.</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Полигон по разгрузке материально-технических ресурсов группы подготовки оборудования</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 xml:space="preserve">Круглосуточный пост охраны -2 </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4.</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Дальнереченского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Пост охраны – 1 (в режиме:</w:t>
            </w:r>
          </w:p>
          <w:p>
            <w:pPr>
              <w:pStyle w:val="Normal"/>
              <w:jc w:val="both"/>
              <w:rPr>
                <w:iCs/>
                <w:sz w:val="24"/>
                <w:szCs w:val="24"/>
              </w:rPr>
            </w:pPr>
            <w:r>
              <w:rPr>
                <w:iCs/>
                <w:sz w:val="24"/>
                <w:szCs w:val="24"/>
              </w:rPr>
              <w:t xml:space="preserve">- ночного поста в рабочие дни с 17.00 до 08.00; </w:t>
            </w:r>
          </w:p>
          <w:p>
            <w:pPr>
              <w:pStyle w:val="Normal"/>
              <w:jc w:val="both"/>
              <w:rPr>
                <w:iCs/>
                <w:sz w:val="24"/>
                <w:szCs w:val="24"/>
              </w:rPr>
            </w:pPr>
            <w:r>
              <w:rPr>
                <w:iCs/>
                <w:sz w:val="24"/>
                <w:szCs w:val="24"/>
              </w:rPr>
              <w:t>- круглосуточного поста в выходные и праздничные дни)</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5.</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Кировского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 xml:space="preserve">Круглосуточный пост охраны -1 </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6.</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Красноармейского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Пост охраны – 1 (в режиме:</w:t>
            </w:r>
          </w:p>
          <w:p>
            <w:pPr>
              <w:pStyle w:val="Normal"/>
              <w:jc w:val="both"/>
              <w:rPr>
                <w:iCs/>
                <w:sz w:val="24"/>
                <w:szCs w:val="24"/>
              </w:rPr>
            </w:pPr>
            <w:r>
              <w:rPr>
                <w:iCs/>
                <w:sz w:val="24"/>
                <w:szCs w:val="24"/>
              </w:rPr>
              <w:t xml:space="preserve">- ночного поста в рабочие дни с 17.00 до 08.00; </w:t>
            </w:r>
          </w:p>
          <w:p>
            <w:pPr>
              <w:pStyle w:val="Normal"/>
              <w:jc w:val="both"/>
              <w:rPr>
                <w:iCs/>
                <w:sz w:val="24"/>
                <w:szCs w:val="24"/>
              </w:rPr>
            </w:pPr>
            <w:r>
              <w:rPr>
                <w:iCs/>
                <w:sz w:val="24"/>
                <w:szCs w:val="24"/>
              </w:rPr>
              <w:t>- круглосуточного поста в выходные и праздничные дни)</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7.</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Крыловский мастерский участок Кировского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Пост охраны – 1 (в режиме:</w:t>
            </w:r>
          </w:p>
          <w:p>
            <w:pPr>
              <w:pStyle w:val="Normal"/>
              <w:jc w:val="both"/>
              <w:rPr>
                <w:iCs/>
                <w:sz w:val="24"/>
                <w:szCs w:val="24"/>
              </w:rPr>
            </w:pPr>
            <w:r>
              <w:rPr>
                <w:iCs/>
                <w:sz w:val="24"/>
                <w:szCs w:val="24"/>
              </w:rPr>
              <w:t xml:space="preserve">- ночного поста в рабочие дни с 17.00 до 08.00; </w:t>
            </w:r>
          </w:p>
          <w:p>
            <w:pPr>
              <w:pStyle w:val="Normal"/>
              <w:jc w:val="both"/>
              <w:rPr>
                <w:iCs/>
                <w:sz w:val="24"/>
                <w:szCs w:val="24"/>
              </w:rPr>
            </w:pPr>
            <w:r>
              <w:rPr>
                <w:iCs/>
                <w:sz w:val="24"/>
                <w:szCs w:val="24"/>
              </w:rPr>
              <w:t>- круглосуточного поста в выходные и праздничные дни)</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8.</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Лесозаводского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 xml:space="preserve">Круглосуточный пост охраны -1 </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9.</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Пожарского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Пост охраны – 1 (в режиме:</w:t>
            </w:r>
          </w:p>
          <w:p>
            <w:pPr>
              <w:pStyle w:val="Normal"/>
              <w:jc w:val="both"/>
              <w:rPr>
                <w:iCs/>
                <w:sz w:val="24"/>
                <w:szCs w:val="24"/>
              </w:rPr>
            </w:pPr>
            <w:r>
              <w:rPr>
                <w:iCs/>
                <w:sz w:val="24"/>
                <w:szCs w:val="24"/>
              </w:rPr>
              <w:t xml:space="preserve">- ночного поста в рабочие дни с 17.00 до 08.00; </w:t>
            </w:r>
          </w:p>
          <w:p>
            <w:pPr>
              <w:pStyle w:val="Normal"/>
              <w:jc w:val="both"/>
              <w:rPr>
                <w:iCs/>
                <w:sz w:val="24"/>
                <w:szCs w:val="24"/>
              </w:rPr>
            </w:pPr>
            <w:r>
              <w:rPr>
                <w:iCs/>
                <w:sz w:val="24"/>
                <w:szCs w:val="24"/>
              </w:rPr>
              <w:t>- круглосуточного поста в выходные и праздничные дни)</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10.</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СП ПЗЭС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Начальник отделения охраны – 1;</w:t>
            </w:r>
          </w:p>
          <w:p>
            <w:pPr>
              <w:pStyle w:val="Normal"/>
              <w:jc w:val="both"/>
              <w:rPr>
                <w:iCs/>
                <w:sz w:val="24"/>
                <w:szCs w:val="24"/>
              </w:rPr>
            </w:pPr>
            <w:r>
              <w:rPr>
                <w:iCs/>
                <w:sz w:val="24"/>
                <w:szCs w:val="24"/>
              </w:rPr>
              <w:t xml:space="preserve">Круглосуточный пост охраны -1. </w:t>
            </w:r>
          </w:p>
          <w:p>
            <w:pPr>
              <w:pStyle w:val="Normal"/>
              <w:jc w:val="both"/>
              <w:rPr>
                <w:iCs/>
                <w:sz w:val="24"/>
                <w:szCs w:val="24"/>
              </w:rPr>
            </w:pPr>
            <w:r>
              <w:rPr>
                <w:iCs/>
                <w:sz w:val="24"/>
                <w:szCs w:val="24"/>
              </w:rPr>
              <w:t>Дополнительный пост охраны – 1 (в режиме:</w:t>
            </w:r>
          </w:p>
          <w:p>
            <w:pPr>
              <w:pStyle w:val="Normal"/>
              <w:jc w:val="both"/>
              <w:rPr>
                <w:iCs/>
                <w:sz w:val="24"/>
                <w:szCs w:val="24"/>
              </w:rPr>
            </w:pPr>
            <w:r>
              <w:rPr>
                <w:iCs/>
                <w:sz w:val="24"/>
                <w:szCs w:val="24"/>
              </w:rPr>
              <w:t xml:space="preserve">- ночного поста в рабочие дни с 17.00 до 08.00; </w:t>
            </w:r>
          </w:p>
          <w:p>
            <w:pPr>
              <w:pStyle w:val="Normal"/>
              <w:jc w:val="both"/>
              <w:rPr>
                <w:iCs/>
                <w:sz w:val="24"/>
                <w:szCs w:val="24"/>
              </w:rPr>
            </w:pPr>
            <w:r>
              <w:rPr>
                <w:iCs/>
                <w:sz w:val="24"/>
                <w:szCs w:val="24"/>
              </w:rPr>
              <w:t>- круглосуточного поста в выходные и праздничные дни)</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11.</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Спасского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 xml:space="preserve">Круглосуточный пост охраны -1. </w:t>
            </w:r>
          </w:p>
          <w:p>
            <w:pPr>
              <w:pStyle w:val="Normal"/>
              <w:jc w:val="both"/>
              <w:rPr>
                <w:iCs/>
                <w:sz w:val="24"/>
                <w:szCs w:val="24"/>
              </w:rPr>
            </w:pPr>
            <w:r>
              <w:rPr>
                <w:iCs/>
                <w:sz w:val="24"/>
                <w:szCs w:val="24"/>
              </w:rPr>
              <w:t>Дополнительный пост охраны – 1 (в режиме:</w:t>
            </w:r>
          </w:p>
          <w:p>
            <w:pPr>
              <w:pStyle w:val="Normal"/>
              <w:jc w:val="both"/>
              <w:rPr>
                <w:iCs/>
                <w:sz w:val="24"/>
                <w:szCs w:val="24"/>
              </w:rPr>
            </w:pPr>
            <w:r>
              <w:rPr>
                <w:iCs/>
                <w:sz w:val="24"/>
                <w:szCs w:val="24"/>
              </w:rPr>
              <w:t xml:space="preserve">- ночного поста в рабочие дни с 17.00 до 08.00; </w:t>
            </w:r>
          </w:p>
          <w:p>
            <w:pPr>
              <w:pStyle w:val="Normal"/>
              <w:jc w:val="both"/>
              <w:rPr>
                <w:iCs/>
                <w:sz w:val="24"/>
                <w:szCs w:val="24"/>
              </w:rPr>
            </w:pPr>
            <w:r>
              <w:rPr>
                <w:iCs/>
                <w:sz w:val="24"/>
                <w:szCs w:val="24"/>
              </w:rPr>
              <w:t>- круглосуточного поста в выходные и праздничные дни)</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12.</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Учебно-реабилитационный центр Иннокентьевка</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 xml:space="preserve">Круглосуточный пост охраны -1 </w:t>
            </w:r>
          </w:p>
        </w:tc>
      </w:tr>
      <w:tr>
        <w:trPr>
          <w:trHeight w:val="1252" w:hRule="atLeast"/>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13.</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Чкаловский мастерский участок Спасского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Пост охраны – 1 (в режиме:</w:t>
            </w:r>
          </w:p>
          <w:p>
            <w:pPr>
              <w:pStyle w:val="Normal"/>
              <w:jc w:val="both"/>
              <w:rPr>
                <w:iCs/>
                <w:sz w:val="24"/>
                <w:szCs w:val="24"/>
              </w:rPr>
            </w:pPr>
            <w:r>
              <w:rPr>
                <w:iCs/>
                <w:sz w:val="24"/>
                <w:szCs w:val="24"/>
              </w:rPr>
              <w:t xml:space="preserve">- ночного поста в рабочие дни с 17.00 до 08.00; </w:t>
            </w:r>
          </w:p>
          <w:p>
            <w:pPr>
              <w:pStyle w:val="Normal"/>
              <w:jc w:val="both"/>
              <w:rPr>
                <w:iCs/>
                <w:sz w:val="24"/>
                <w:szCs w:val="24"/>
              </w:rPr>
            </w:pPr>
            <w:r>
              <w:rPr>
                <w:iCs/>
                <w:sz w:val="24"/>
                <w:szCs w:val="24"/>
              </w:rPr>
              <w:t>- круглосуточного поста в выходные и праздничные дни)</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14.</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Анучинского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 xml:space="preserve">Круглосуточный пост охраны -1 </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15.</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Арсеньевского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 xml:space="preserve">Круглосуточный пост охраны -1 </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16.</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Дальнегорского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 xml:space="preserve">Круглосуточный пост охраны -1 </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17.</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Ольгинский мастерский участок Кавалеровского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 xml:space="preserve">Круглосуточный пост охраны -1 </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18.</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СП ПСЭС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Начальник отделения охраны – 1;</w:t>
            </w:r>
          </w:p>
          <w:p>
            <w:pPr>
              <w:pStyle w:val="Normal"/>
              <w:jc w:val="both"/>
              <w:rPr>
                <w:iCs/>
                <w:sz w:val="24"/>
                <w:szCs w:val="24"/>
              </w:rPr>
            </w:pPr>
            <w:r>
              <w:rPr>
                <w:iCs/>
                <w:sz w:val="24"/>
                <w:szCs w:val="24"/>
              </w:rPr>
              <w:t>Круглосуточный пост охраны -2</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19.</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Чугуевского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Круглосуточный пост охраны -1</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20.</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Яковлевского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Круглосуточный пост охраны -1</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21.</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Административное здание СП ПЦЭС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Начальник отделения охраны – 1;</w:t>
            </w:r>
          </w:p>
          <w:p>
            <w:pPr>
              <w:pStyle w:val="Normal"/>
              <w:jc w:val="both"/>
              <w:rPr>
                <w:iCs/>
                <w:sz w:val="24"/>
                <w:szCs w:val="24"/>
              </w:rPr>
            </w:pPr>
            <w:r>
              <w:rPr>
                <w:iCs/>
                <w:sz w:val="24"/>
                <w:szCs w:val="24"/>
              </w:rPr>
              <w:t>Круглосуточный пост охраны -1</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22.</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Михайловского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Круглосуточный пост охраны -1</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23.</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Октябрьского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Круглосуточный пост охраны -1</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24.</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Производственная территория СП ПЦЭС и Южного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Круглосуточный пост охраны -3</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25.</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Уссурийского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Круглосуточный пост охраны -1</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26</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Ханкайского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Круглосуточный пост охраны -1</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27.</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Хорольского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Круглосуточный пост охраны -1</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28.</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Черниговского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Круглосуточный пост охраны -1</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29.</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Артёмовского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Круглосуточный пост охраны -1</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30.</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Надеждинского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Круглосуточный пост охраны -1</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31.</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Находкинского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Круглосуточный пост охраны -1</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32.</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Партизанского РРЭС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Круглосуточный пост охраны -1</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33.</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Партизанского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Круглосуточный пост охраны -1</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34.</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Производственная территория СП ПЮЭС, ПС 110 «А» и Владивостокского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Круглосуточный пост охраны -3</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35.</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Фокинский монтерский участок Находкинского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Круглосуточный пост охраны -1</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36.</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Хасанского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Круглосуточный пост охраны -1</w:t>
            </w:r>
          </w:p>
        </w:tc>
      </w:tr>
      <w:tr>
        <w:trPr/>
        <w:tc>
          <w:tcPr>
            <w:tcW w:w="8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37.</w:t>
            </w:r>
          </w:p>
        </w:tc>
        <w:tc>
          <w:tcPr>
            <w:tcW w:w="45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Ремонтно-производственная база Шкотовского РЭС</w:t>
            </w:r>
          </w:p>
        </w:tc>
        <w:tc>
          <w:tcPr>
            <w:tcW w:w="15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iCs/>
                <w:sz w:val="24"/>
                <w:szCs w:val="24"/>
              </w:rPr>
            </w:pPr>
            <w:r>
              <w:rPr>
                <w:iCs/>
                <w:sz w:val="24"/>
                <w:szCs w:val="24"/>
              </w:rPr>
              <w:t>Пост охраны</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both"/>
              <w:rPr>
                <w:iCs/>
                <w:sz w:val="24"/>
                <w:szCs w:val="24"/>
              </w:rPr>
            </w:pPr>
            <w:r>
              <w:rPr>
                <w:iCs/>
                <w:sz w:val="24"/>
                <w:szCs w:val="24"/>
              </w:rPr>
              <w:t xml:space="preserve">Круглосуточный пост охраны -1 </w:t>
            </w:r>
          </w:p>
        </w:tc>
      </w:tr>
    </w:tbl>
    <w:p>
      <w:pPr>
        <w:pStyle w:val="Normal"/>
        <w:widowControl w:val="false"/>
        <w:tabs>
          <w:tab w:val="left" w:pos="0" w:leader="none"/>
        </w:tabs>
        <w:suppressAutoHyphens w:val="true"/>
        <w:spacing w:before="0" w:after="0"/>
        <w:ind w:firstLine="709"/>
        <w:contextualSpacing/>
        <w:jc w:val="both"/>
        <w:rPr>
          <w:rFonts w:eastAsia="Calibri"/>
          <w:b/>
          <w:b/>
          <w:bCs/>
          <w:i/>
          <w:i/>
          <w:sz w:val="26"/>
          <w:szCs w:val="26"/>
        </w:rPr>
      </w:pPr>
      <w:r>
        <w:rPr>
          <w:rFonts w:eastAsia="Calibri"/>
          <w:b/>
          <w:bCs/>
          <w:i/>
          <w:sz w:val="26"/>
          <w:szCs w:val="26"/>
        </w:rPr>
      </w:r>
    </w:p>
    <w:p>
      <w:pPr>
        <w:pStyle w:val="Normal"/>
        <w:widowControl w:val="false"/>
        <w:tabs>
          <w:tab w:val="left" w:pos="0" w:leader="none"/>
        </w:tabs>
        <w:suppressAutoHyphens w:val="true"/>
        <w:spacing w:before="0" w:after="0"/>
        <w:ind w:firstLine="709"/>
        <w:contextualSpacing/>
        <w:jc w:val="both"/>
        <w:rPr>
          <w:rFonts w:eastAsia="Calibri"/>
          <w:bCs/>
          <w:sz w:val="24"/>
          <w:szCs w:val="24"/>
        </w:rPr>
      </w:pPr>
      <w:r>
        <w:rPr>
          <w:rFonts w:eastAsia="Calibri"/>
          <w:b/>
          <w:bCs/>
          <w:i/>
          <w:sz w:val="24"/>
          <w:szCs w:val="24"/>
        </w:rPr>
        <w:t>Оказание услуг</w:t>
      </w:r>
      <w:r>
        <w:rPr>
          <w:rFonts w:eastAsia="Calibri"/>
          <w:bCs/>
          <w:sz w:val="24"/>
          <w:szCs w:val="24"/>
        </w:rPr>
        <w:t xml:space="preserve"> по физической охране 37 (тридцати семи) </w:t>
      </w:r>
      <w:r>
        <w:rPr>
          <w:rFonts w:eastAsia="Calibri"/>
          <w:b/>
          <w:bCs/>
          <w:sz w:val="24"/>
          <w:szCs w:val="24"/>
        </w:rPr>
        <w:t xml:space="preserve">стационарных объектов филиала «ПЭС», </w:t>
      </w:r>
      <w:r>
        <w:rPr>
          <w:rFonts w:eastAsia="Calibri"/>
          <w:bCs/>
          <w:sz w:val="24"/>
          <w:szCs w:val="24"/>
        </w:rPr>
        <w:t xml:space="preserve">расположенных на территории г. Владивостока и Приморского края, </w:t>
      </w:r>
      <w:r>
        <w:rPr>
          <w:rFonts w:eastAsia="Calibri"/>
          <w:b/>
          <w:bCs/>
          <w:i/>
          <w:sz w:val="24"/>
          <w:szCs w:val="24"/>
        </w:rPr>
        <w:t xml:space="preserve">предполагает смешанный режим несения службы охранниками </w:t>
      </w:r>
      <w:r>
        <w:rPr>
          <w:rFonts w:eastAsia="Calibri"/>
          <w:bCs/>
          <w:sz w:val="24"/>
          <w:szCs w:val="24"/>
        </w:rPr>
        <w:t xml:space="preserve">в 4 (четырех) структурных подразделениях филиала «ПЭС» </w:t>
      </w:r>
      <w:r>
        <w:rPr>
          <w:rFonts w:eastAsia="Calibri"/>
          <w:b/>
          <w:bCs/>
          <w:sz w:val="24"/>
          <w:szCs w:val="24"/>
        </w:rPr>
        <w:t>47 (сорока семью)  постами охраны</w:t>
      </w:r>
      <w:r>
        <w:rPr>
          <w:rFonts w:eastAsia="Calibri"/>
          <w:bCs/>
          <w:sz w:val="24"/>
          <w:szCs w:val="24"/>
        </w:rPr>
        <w:t>, под руководством четырех начальников отделений охраны в СП «ПЗЭС», СП «ПСЭС», СП «ПЦЭС» и СП «ПЮЭС», рабочее место которых располагается  на производственных базах СП «ПЗЭС», СП «ПСЭС», СП «ПЦЭС» и аппарата управления филиала «ПЭС».</w:t>
      </w:r>
    </w:p>
    <w:p>
      <w:pPr>
        <w:pStyle w:val="4"/>
        <w:numPr>
          <w:ilvl w:val="1"/>
          <w:numId w:val="2"/>
        </w:numPr>
        <w:rPr/>
      </w:pPr>
      <w:bookmarkStart w:id="32" w:name="_Toc54643706"/>
      <w:bookmarkStart w:id="33" w:name="_Toc51339696"/>
      <w:r>
        <w:rPr/>
        <w:t xml:space="preserve">Требования </w:t>
      </w:r>
      <w:bookmarkEnd w:id="33"/>
      <w:bookmarkEnd w:id="32"/>
      <w:r>
        <w:rPr/>
        <w:t>к срокам оказания услуг</w:t>
      </w:r>
    </w:p>
    <w:p>
      <w:pPr>
        <w:pStyle w:val="1"/>
        <w:keepLines/>
        <w:numPr>
          <w:ilvl w:val="0"/>
          <w:numId w:val="0"/>
        </w:numPr>
        <w:spacing w:before="240" w:after="60"/>
        <w:ind w:left="5038" w:hanging="0"/>
        <w:rPr>
          <w:sz w:val="24"/>
          <w:szCs w:val="24"/>
          <w:lang w:val="ru-RU"/>
        </w:rPr>
      </w:pPr>
      <w:bookmarkStart w:id="34" w:name="_Toc50125126"/>
      <w:bookmarkStart w:id="35" w:name="_Toc54643707"/>
      <w:bookmarkStart w:id="36" w:name="_Toc50125127"/>
      <w:bookmarkStart w:id="37" w:name="_Toc51339697"/>
      <w:bookmarkEnd w:id="34"/>
      <w:r>
        <w:rPr>
          <w:sz w:val="24"/>
          <w:szCs w:val="24"/>
        </w:rPr>
        <w:t xml:space="preserve">Таблица </w:t>
      </w:r>
      <w:r>
        <w:rPr>
          <w:sz w:val="24"/>
          <w:szCs w:val="24"/>
          <w:lang w:val="ru-RU"/>
        </w:rPr>
        <w:t>3</w:t>
      </w:r>
      <w:r>
        <w:rPr>
          <w:sz w:val="24"/>
          <w:szCs w:val="24"/>
        </w:rPr>
        <w:t xml:space="preserve">. </w:t>
      </w:r>
      <w:bookmarkStart w:id="38" w:name="_Hlk50465284"/>
      <w:r>
        <w:rPr>
          <w:sz w:val="24"/>
          <w:szCs w:val="24"/>
        </w:rPr>
        <w:t xml:space="preserve">Требования </w:t>
      </w:r>
      <w:r>
        <w:rPr>
          <w:sz w:val="24"/>
          <w:szCs w:val="24"/>
          <w:lang w:val="ru-RU"/>
        </w:rPr>
        <w:t>к</w:t>
      </w:r>
      <w:r>
        <w:rPr>
          <w:sz w:val="24"/>
          <w:szCs w:val="24"/>
        </w:rPr>
        <w:t xml:space="preserve"> срокам </w:t>
      </w:r>
      <w:bookmarkEnd w:id="36"/>
      <w:bookmarkEnd w:id="37"/>
      <w:bookmarkEnd w:id="38"/>
      <w:bookmarkEnd w:id="35"/>
      <w:r>
        <w:rPr>
          <w:sz w:val="24"/>
          <w:szCs w:val="24"/>
          <w:lang w:val="ru-RU"/>
        </w:rPr>
        <w:t>оказания услуг</w:t>
      </w:r>
    </w:p>
    <w:p>
      <w:pPr>
        <w:pStyle w:val="Normal"/>
        <w:rPr>
          <w:lang w:eastAsia="x-none"/>
        </w:rPr>
      </w:pPr>
      <w:r>
        <w:rPr>
          <w:lang w:eastAsia="x-none"/>
        </w:rPr>
      </w:r>
    </w:p>
    <w:tbl>
      <w:tblPr>
        <w:tblW w:w="9776"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noVBand="1" w:noHBand="0" w:lastColumn="0" w:firstColumn="1" w:lastRow="0" w:firstRow="1"/>
      </w:tblPr>
      <w:tblGrid>
        <w:gridCol w:w="1129"/>
        <w:gridCol w:w="2551"/>
        <w:gridCol w:w="2977"/>
        <w:gridCol w:w="3118"/>
      </w:tblGrid>
      <w:tr>
        <w:trPr/>
        <w:tc>
          <w:tcPr>
            <w:tcW w:w="11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jc w:val="center"/>
              <w:rPr>
                <w:sz w:val="24"/>
                <w:szCs w:val="24"/>
              </w:rPr>
            </w:pPr>
            <w:r>
              <w:rPr>
                <w:sz w:val="24"/>
                <w:szCs w:val="24"/>
              </w:rPr>
              <w:t xml:space="preserve">№ </w:t>
            </w:r>
            <w:r>
              <w:rPr>
                <w:sz w:val="24"/>
                <w:szCs w:val="24"/>
              </w:rPr>
              <w:t>п/п</w:t>
            </w:r>
          </w:p>
          <w:p>
            <w:pPr>
              <w:pStyle w:val="Normal"/>
              <w:jc w:val="center"/>
              <w:rPr>
                <w:sz w:val="24"/>
                <w:szCs w:val="24"/>
              </w:rPr>
            </w:pPr>
            <w:r>
              <w:rPr>
                <w:sz w:val="24"/>
                <w:szCs w:val="24"/>
              </w:rPr>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jc w:val="center"/>
              <w:rPr>
                <w:sz w:val="24"/>
                <w:szCs w:val="24"/>
              </w:rPr>
            </w:pPr>
            <w:r>
              <w:rPr>
                <w:sz w:val="24"/>
                <w:szCs w:val="24"/>
              </w:rPr>
              <w:t>Наименование услуг/ этапа услуг</w:t>
            </w:r>
          </w:p>
        </w:tc>
        <w:tc>
          <w:tcPr>
            <w:tcW w:w="29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jc w:val="center"/>
              <w:rPr>
                <w:sz w:val="24"/>
                <w:szCs w:val="24"/>
              </w:rPr>
            </w:pPr>
            <w:r>
              <w:rPr>
                <w:sz w:val="24"/>
                <w:szCs w:val="24"/>
              </w:rPr>
              <w:t>Требования к началу срока оказания услуг/ этапа услуг</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jc w:val="center"/>
              <w:rPr>
                <w:sz w:val="24"/>
                <w:szCs w:val="24"/>
              </w:rPr>
            </w:pPr>
            <w:r>
              <w:rPr>
                <w:sz w:val="24"/>
                <w:szCs w:val="24"/>
              </w:rPr>
              <w:t>Требования к окончанию срока оказания услуг / этапа услуг</w:t>
            </w:r>
          </w:p>
        </w:tc>
      </w:tr>
      <w:tr>
        <w:trPr/>
        <w:tc>
          <w:tcPr>
            <w:tcW w:w="11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sz w:val="24"/>
                <w:szCs w:val="24"/>
              </w:rPr>
            </w:pPr>
            <w:r>
              <w:rPr>
                <w:b/>
                <w:sz w:val="24"/>
                <w:szCs w:val="24"/>
              </w:rPr>
              <w:t>1</w:t>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jc w:val="center"/>
              <w:rPr>
                <w:sz w:val="24"/>
                <w:szCs w:val="24"/>
              </w:rPr>
            </w:pPr>
            <w:r>
              <w:rPr>
                <w:b/>
                <w:sz w:val="24"/>
                <w:szCs w:val="24"/>
              </w:rPr>
              <w:t>2</w:t>
            </w:r>
          </w:p>
        </w:tc>
        <w:tc>
          <w:tcPr>
            <w:tcW w:w="29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Style40"/>
              <w:keepNext w:val="false"/>
              <w:spacing w:before="40" w:after="40"/>
              <w:jc w:val="center"/>
              <w:rPr>
                <w:sz w:val="24"/>
                <w:szCs w:val="24"/>
              </w:rPr>
            </w:pPr>
            <w:r>
              <w:rPr>
                <w:b/>
                <w:sz w:val="24"/>
                <w:szCs w:val="24"/>
              </w:rPr>
              <w:t>3</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Style40"/>
              <w:keepNext w:val="false"/>
              <w:spacing w:before="40" w:after="40"/>
              <w:jc w:val="center"/>
              <w:rPr>
                <w:sz w:val="24"/>
                <w:szCs w:val="24"/>
              </w:rPr>
            </w:pPr>
            <w:r>
              <w:rPr>
                <w:b/>
                <w:sz w:val="24"/>
                <w:szCs w:val="24"/>
              </w:rPr>
              <w:t>4</w:t>
            </w:r>
          </w:p>
        </w:tc>
      </w:tr>
      <w:tr>
        <w:trPr/>
        <w:tc>
          <w:tcPr>
            <w:tcW w:w="11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ListParagraph"/>
              <w:numPr>
                <w:ilvl w:val="0"/>
                <w:numId w:val="5"/>
              </w:numPr>
              <w:suppressAutoHyphens w:val="true"/>
              <w:rPr/>
            </w:pPr>
            <w:r>
              <w:rPr/>
            </w:r>
          </w:p>
        </w:tc>
        <w:tc>
          <w:tcPr>
            <w:tcW w:w="255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tcPr>
          <w:p>
            <w:pPr>
              <w:pStyle w:val="Normal"/>
              <w:rPr>
                <w:sz w:val="24"/>
                <w:szCs w:val="24"/>
              </w:rPr>
            </w:pPr>
            <w:r>
              <w:rPr>
                <w:sz w:val="24"/>
                <w:szCs w:val="24"/>
              </w:rPr>
              <w:t>Услуги по физической охране объектов филиала АО «ДРСК» «Приморские электрические сети»</w:t>
            </w:r>
          </w:p>
        </w:tc>
        <w:tc>
          <w:tcPr>
            <w:tcW w:w="29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rPr>
                <w:sz w:val="24"/>
                <w:szCs w:val="24"/>
              </w:rPr>
            </w:pPr>
            <w:r>
              <w:rPr>
                <w:sz w:val="24"/>
                <w:szCs w:val="24"/>
              </w:rPr>
              <w:t xml:space="preserve">с момента заключения договора, но не ранее </w:t>
            </w:r>
            <w:r>
              <w:rPr>
                <w:b/>
                <w:sz w:val="24"/>
                <w:szCs w:val="24"/>
              </w:rPr>
              <w:t>00.00 час. 01.01.2024 года</w:t>
            </w:r>
          </w:p>
        </w:tc>
        <w:tc>
          <w:tcPr>
            <w:tcW w:w="31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pBdr/>
              <w:rPr>
                <w:rStyle w:val="Pagenumber"/>
              </w:rPr>
            </w:pPr>
            <w:bookmarkStart w:id="39" w:name="_Toc46743510"/>
            <w:bookmarkEnd w:id="39"/>
            <w:r>
              <w:rPr>
                <w:b/>
                <w:sz w:val="24"/>
                <w:szCs w:val="24"/>
              </w:rPr>
              <w:t>24.00 час. 31.12.2026 года</w:t>
            </w:r>
          </w:p>
        </w:tc>
      </w:tr>
    </w:tbl>
    <w:p>
      <w:pPr>
        <w:sectPr>
          <w:headerReference w:type="default" r:id="rId2"/>
          <w:headerReference w:type="first" r:id="rId3"/>
          <w:type w:val="nextPage"/>
          <w:pgSz w:w="11906" w:h="16838"/>
          <w:pgMar w:left="1134" w:right="851" w:header="680" w:top="1134" w:footer="0" w:bottom="992" w:gutter="0"/>
          <w:pgNumType w:fmt="decimal"/>
          <w:formProt w:val="false"/>
          <w:titlePg/>
          <w:textDirection w:val="lrTb"/>
          <w:docGrid w:type="default" w:linePitch="360" w:charSpace="4294952959"/>
        </w:sectPr>
      </w:pPr>
    </w:p>
    <w:p>
      <w:pPr>
        <w:pStyle w:val="4"/>
        <w:numPr>
          <w:ilvl w:val="1"/>
          <w:numId w:val="2"/>
        </w:numPr>
        <w:rPr/>
      </w:pPr>
      <w:bookmarkStart w:id="40" w:name="_Toc54643709"/>
      <w:bookmarkStart w:id="41" w:name="_Toc51339698"/>
      <w:bookmarkStart w:id="42" w:name="_Toc54643708"/>
      <w:bookmarkStart w:id="43" w:name="_Toc46743511"/>
      <w:r>
        <w:rPr/>
        <w:t xml:space="preserve">Требования к </w:t>
      </w:r>
      <w:bookmarkEnd w:id="43"/>
      <w:bookmarkEnd w:id="42"/>
      <w:r>
        <w:rPr>
          <w:lang w:val="ru-RU"/>
        </w:rPr>
        <w:t>качеству услуг</w:t>
      </w:r>
    </w:p>
    <w:p>
      <w:pPr>
        <w:pStyle w:val="1"/>
        <w:keepLines/>
        <w:numPr>
          <w:ilvl w:val="0"/>
          <w:numId w:val="0"/>
        </w:numPr>
        <w:spacing w:before="240" w:after="60"/>
        <w:ind w:left="5038" w:hanging="0"/>
        <w:rPr>
          <w:sz w:val="24"/>
          <w:szCs w:val="24"/>
          <w:lang w:val="ru-RU"/>
        </w:rPr>
      </w:pPr>
      <w:r>
        <w:rPr>
          <w:sz w:val="24"/>
          <w:szCs w:val="24"/>
        </w:rPr>
        <w:t>Таблица </w:t>
      </w:r>
      <w:r>
        <w:rPr>
          <w:sz w:val="24"/>
          <w:szCs w:val="24"/>
          <w:lang w:val="ru-RU"/>
        </w:rPr>
        <w:t>4</w:t>
      </w:r>
      <w:r>
        <w:rPr>
          <w:sz w:val="24"/>
          <w:szCs w:val="24"/>
        </w:rPr>
        <w:t xml:space="preserve">. Требования к </w:t>
      </w:r>
      <w:bookmarkEnd w:id="41"/>
      <w:r>
        <w:rPr>
          <w:sz w:val="24"/>
          <w:szCs w:val="24"/>
          <w:lang w:val="ru-RU"/>
        </w:rPr>
        <w:t>качеству услуг</w:t>
      </w:r>
      <w:bookmarkEnd w:id="40"/>
      <w:r>
        <w:rPr>
          <w:sz w:val="24"/>
          <w:szCs w:val="24"/>
        </w:rPr>
        <w:t xml:space="preserve"> </w:t>
      </w:r>
      <w:r>
        <w:rPr>
          <w:sz w:val="24"/>
          <w:szCs w:val="24"/>
          <w:lang w:val="ru-RU"/>
        </w:rPr>
        <w:t xml:space="preserve">: </w:t>
      </w:r>
    </w:p>
    <w:p>
      <w:pPr>
        <w:pStyle w:val="Normal"/>
        <w:rPr>
          <w:sz w:val="24"/>
          <w:szCs w:val="24"/>
        </w:rPr>
      </w:pPr>
      <w:r>
        <w:rPr>
          <w:sz w:val="24"/>
          <w:szCs w:val="24"/>
        </w:rPr>
        <w:t xml:space="preserve">1) Предотвращение несанкционированного проникновения на охраняемые объекты ТЭК;  </w:t>
      </w:r>
    </w:p>
    <w:p>
      <w:pPr>
        <w:pStyle w:val="Normal"/>
        <w:rPr>
          <w:sz w:val="24"/>
          <w:szCs w:val="24"/>
        </w:rPr>
      </w:pPr>
      <w:r>
        <w:rPr>
          <w:sz w:val="24"/>
          <w:szCs w:val="24"/>
        </w:rPr>
        <w:t xml:space="preserve">2) Своевременное обнаружение и пресечение любых посягательств на целостность и безопасность охраняемых объектов ТЭК, в том числе актов незаконного вмешательства. </w:t>
      </w:r>
    </w:p>
    <w:p>
      <w:pPr>
        <w:pStyle w:val="Normal"/>
        <w:rPr>
          <w:sz w:val="24"/>
          <w:szCs w:val="24"/>
        </w:rPr>
      </w:pPr>
      <w:r>
        <w:rPr>
          <w:sz w:val="24"/>
          <w:szCs w:val="24"/>
        </w:rPr>
        <w:t>3) Оказание услуг по охране объектов охраны с принятием соответствующих мер реагирования на сигнальную информацию технических средств охраны.</w:t>
      </w:r>
    </w:p>
    <w:p>
      <w:pPr>
        <w:pStyle w:val="Normal"/>
        <w:rPr>
          <w:sz w:val="24"/>
          <w:szCs w:val="24"/>
          <w:lang w:eastAsia="x-none"/>
        </w:rPr>
      </w:pPr>
      <w:r>
        <w:rPr>
          <w:sz w:val="24"/>
          <w:szCs w:val="24"/>
          <w:lang w:eastAsia="x-none"/>
        </w:rPr>
      </w:r>
    </w:p>
    <w:p>
      <w:pPr>
        <w:pStyle w:val="Normal"/>
        <w:rPr>
          <w:b/>
          <w:b/>
          <w:bCs/>
          <w:i/>
          <w:i/>
          <w:sz w:val="24"/>
          <w:szCs w:val="24"/>
        </w:rPr>
      </w:pPr>
      <w:r>
        <w:rPr>
          <w:b/>
          <w:bCs/>
          <w:sz w:val="24"/>
          <w:szCs w:val="24"/>
        </w:rPr>
        <w:t>Наименование услуг/этапа услуг (Таблица 2): Лот № 11101-ПРО ДЭК-2024-ДРСК-ПЭС</w:t>
      </w:r>
      <w:r>
        <w:rPr>
          <w:rFonts w:eastAsia="Calibri"/>
          <w:sz w:val="24"/>
          <w:szCs w:val="24"/>
          <w:lang w:eastAsia="x-none"/>
        </w:rPr>
        <w:t xml:space="preserve"> </w:t>
      </w:r>
      <w:r>
        <w:rPr>
          <w:b/>
          <w:bCs/>
          <w:sz w:val="24"/>
          <w:szCs w:val="24"/>
        </w:rPr>
        <w:t>«ОКПД2 80.10.12 Услуги по обеспечению физической охраны административных и производственных объектов филиала АО «ДРСК» «Приморские электрические сети».</w:t>
      </w:r>
    </w:p>
    <w:p>
      <w:pPr>
        <w:pStyle w:val="Normal"/>
        <w:rPr>
          <w:rStyle w:val="Style14"/>
          <w:b w:val="false"/>
          <w:b w:val="false"/>
          <w:iCs/>
          <w:sz w:val="24"/>
          <w:szCs w:val="24"/>
        </w:rPr>
      </w:pPr>
      <w:r>
        <w:rPr>
          <w:b/>
          <w:bCs/>
          <w:sz w:val="24"/>
          <w:szCs w:val="24"/>
        </w:rPr>
        <w:t xml:space="preserve"> </w:t>
      </w:r>
      <w:r>
        <w:rPr>
          <w:rStyle w:val="Style14"/>
          <w:b w:val="false"/>
          <w:iCs/>
          <w:sz w:val="24"/>
          <w:szCs w:val="24"/>
        </w:rPr>
        <w:t xml:space="preserve"> </w:t>
      </w:r>
    </w:p>
    <w:tbl>
      <w:tblPr>
        <w:tblStyle w:val="af"/>
        <w:tblW w:w="15259" w:type="dxa"/>
        <w:jc w:val="left"/>
        <w:tblInd w:w="-5" w:type="dxa"/>
        <w:tblCellMar>
          <w:top w:w="0" w:type="dxa"/>
          <w:left w:w="108" w:type="dxa"/>
          <w:bottom w:w="0" w:type="dxa"/>
          <w:right w:w="108" w:type="dxa"/>
        </w:tblCellMar>
        <w:tblLook w:val="04a0" w:noVBand="1" w:noHBand="0" w:lastColumn="0" w:firstColumn="1" w:lastRow="0" w:firstRow="1"/>
      </w:tblPr>
      <w:tblGrid>
        <w:gridCol w:w="1705"/>
        <w:gridCol w:w="9635"/>
        <w:gridCol w:w="3919"/>
      </w:tblGrid>
      <w:tr>
        <w:trPr>
          <w:trHeight w:val="838" w:hRule="atLeast"/>
        </w:trPr>
        <w:tc>
          <w:tcPr>
            <w:tcW w:w="1705" w:type="dxa"/>
            <w:tcBorders/>
            <w:shd w:fill="auto" w:val="clear"/>
            <w:tcMar>
              <w:left w:w="108" w:type="dxa"/>
            </w:tcMar>
            <w:vAlign w:val="center"/>
          </w:tcPr>
          <w:p>
            <w:pPr>
              <w:pStyle w:val="Normal"/>
              <w:jc w:val="center"/>
              <w:rPr>
                <w:b/>
                <w:b/>
                <w:bCs/>
                <w:sz w:val="24"/>
                <w:szCs w:val="24"/>
              </w:rPr>
            </w:pPr>
            <w:r>
              <w:rPr>
                <w:b/>
                <w:bCs/>
                <w:sz w:val="24"/>
                <w:szCs w:val="24"/>
              </w:rPr>
              <w:t xml:space="preserve">№ </w:t>
            </w:r>
            <w:r>
              <w:rPr>
                <w:b/>
                <w:bCs/>
                <w:sz w:val="24"/>
                <w:szCs w:val="24"/>
              </w:rPr>
              <w:t>п/п</w:t>
            </w:r>
          </w:p>
        </w:tc>
        <w:tc>
          <w:tcPr>
            <w:tcW w:w="9635" w:type="dxa"/>
            <w:tcBorders/>
            <w:shd w:fill="auto" w:val="clear"/>
            <w:tcMar>
              <w:left w:w="108" w:type="dxa"/>
            </w:tcMar>
            <w:vAlign w:val="center"/>
          </w:tcPr>
          <w:p>
            <w:pPr>
              <w:pStyle w:val="Normal"/>
              <w:jc w:val="center"/>
              <w:rPr>
                <w:b/>
                <w:b/>
                <w:bCs/>
                <w:sz w:val="24"/>
                <w:szCs w:val="24"/>
              </w:rPr>
            </w:pPr>
            <w:r>
              <w:rPr>
                <w:b/>
                <w:bCs/>
                <w:sz w:val="24"/>
                <w:szCs w:val="24"/>
              </w:rPr>
              <w:t>Требование заказчика</w:t>
            </w:r>
          </w:p>
        </w:tc>
        <w:tc>
          <w:tcPr>
            <w:tcW w:w="3919" w:type="dxa"/>
            <w:tcBorders/>
            <w:shd w:fill="auto" w:val="clear"/>
            <w:tcMar>
              <w:left w:w="108" w:type="dxa"/>
            </w:tcMar>
            <w:vAlign w:val="center"/>
          </w:tcPr>
          <w:p>
            <w:pPr>
              <w:pStyle w:val="Normal"/>
              <w:jc w:val="center"/>
              <w:rPr>
                <w:b/>
                <w:b/>
                <w:bCs/>
                <w:sz w:val="24"/>
                <w:szCs w:val="24"/>
              </w:rPr>
            </w:pPr>
            <w:r>
              <w:rPr>
                <w:b/>
                <w:bCs/>
                <w:sz w:val="24"/>
                <w:szCs w:val="24"/>
              </w:rPr>
              <w:t>Согласие с требованием/ указание характеристик</w:t>
            </w:r>
          </w:p>
        </w:tc>
      </w:tr>
      <w:tr>
        <w:trPr/>
        <w:tc>
          <w:tcPr>
            <w:tcW w:w="1705" w:type="dxa"/>
            <w:tcBorders/>
            <w:shd w:fill="auto" w:val="clear"/>
            <w:tcMar>
              <w:left w:w="108" w:type="dxa"/>
            </w:tcMar>
            <w:vAlign w:val="center"/>
          </w:tcPr>
          <w:p>
            <w:pPr>
              <w:pStyle w:val="ListParagraph"/>
              <w:numPr>
                <w:ilvl w:val="0"/>
                <w:numId w:val="3"/>
              </w:numPr>
              <w:spacing w:before="60" w:after="60"/>
              <w:contextualSpacing/>
              <w:jc w:val="center"/>
              <w:rPr/>
            </w:pPr>
            <w:r>
              <w:rPr/>
            </w:r>
          </w:p>
        </w:tc>
        <w:tc>
          <w:tcPr>
            <w:tcW w:w="9635" w:type="dxa"/>
            <w:tcBorders/>
            <w:shd w:fill="auto" w:val="clear"/>
            <w:tcMar>
              <w:left w:w="108" w:type="dxa"/>
            </w:tcMar>
            <w:vAlign w:val="center"/>
          </w:tcPr>
          <w:p>
            <w:pPr>
              <w:pStyle w:val="Normal"/>
              <w:rPr>
                <w:b/>
                <w:b/>
                <w:sz w:val="24"/>
                <w:szCs w:val="24"/>
              </w:rPr>
            </w:pPr>
            <w:r>
              <w:rPr>
                <w:b/>
                <w:sz w:val="24"/>
                <w:szCs w:val="24"/>
              </w:rPr>
              <w:t xml:space="preserve">Требования к оказанию услуг </w:t>
            </w:r>
          </w:p>
        </w:tc>
        <w:tc>
          <w:tcPr>
            <w:tcW w:w="3919" w:type="dxa"/>
            <w:tcBorders/>
            <w:shd w:fill="auto" w:val="clear"/>
            <w:tcMar>
              <w:left w:w="108" w:type="dxa"/>
            </w:tcMar>
          </w:tcPr>
          <w:p>
            <w:pPr>
              <w:pStyle w:val="Normal"/>
              <w:keepNext w:val="true"/>
              <w:spacing w:before="60" w:after="60"/>
              <w:jc w:val="center"/>
              <w:rPr>
                <w:b/>
                <w:b/>
                <w:sz w:val="24"/>
                <w:szCs w:val="24"/>
              </w:rPr>
            </w:pPr>
            <w:r>
              <w:rPr>
                <w:b/>
                <w:sz w:val="24"/>
                <w:szCs w:val="24"/>
              </w:rPr>
            </w:r>
          </w:p>
        </w:tc>
      </w:tr>
      <w:tr>
        <w:trPr/>
        <w:tc>
          <w:tcPr>
            <w:tcW w:w="1705" w:type="dxa"/>
            <w:tcBorders/>
            <w:shd w:fill="auto" w:val="clear"/>
            <w:tcMar>
              <w:left w:w="108" w:type="dxa"/>
            </w:tcMar>
            <w:vAlign w:val="center"/>
          </w:tcPr>
          <w:p>
            <w:pPr>
              <w:pStyle w:val="ListParagraph"/>
              <w:numPr>
                <w:ilvl w:val="1"/>
                <w:numId w:val="3"/>
              </w:numPr>
              <w:spacing w:before="60" w:after="60"/>
              <w:ind w:left="-117" w:firstLine="142"/>
              <w:contextualSpacing/>
              <w:jc w:val="center"/>
              <w:rPr>
                <w:b/>
                <w:b/>
                <w:bCs/>
              </w:rPr>
            </w:pPr>
            <w:r>
              <w:rPr>
                <w:b/>
                <w:bCs/>
              </w:rPr>
            </w:r>
          </w:p>
        </w:tc>
        <w:tc>
          <w:tcPr>
            <w:tcW w:w="9635" w:type="dxa"/>
            <w:tcBorders/>
            <w:shd w:fill="auto" w:val="clear"/>
            <w:tcMar>
              <w:left w:w="108" w:type="dxa"/>
            </w:tcMar>
            <w:vAlign w:val="center"/>
          </w:tcPr>
          <w:p>
            <w:pPr>
              <w:pStyle w:val="Normal"/>
              <w:spacing w:before="60" w:after="60"/>
              <w:rPr>
                <w:b/>
                <w:b/>
                <w:sz w:val="24"/>
                <w:szCs w:val="24"/>
              </w:rPr>
            </w:pPr>
            <w:r>
              <w:rPr>
                <w:b/>
                <w:sz w:val="24"/>
                <w:szCs w:val="24"/>
              </w:rPr>
              <w:t xml:space="preserve">Общие требования к оказанию услуг </w:t>
            </w:r>
          </w:p>
        </w:tc>
        <w:tc>
          <w:tcPr>
            <w:tcW w:w="3919" w:type="dxa"/>
            <w:tcBorders/>
            <w:shd w:fill="auto" w:val="clear"/>
            <w:tcMar>
              <w:left w:w="108" w:type="dxa"/>
            </w:tcMar>
          </w:tcPr>
          <w:p>
            <w:pPr>
              <w:pStyle w:val="Normal"/>
              <w:keepNext w:val="true"/>
              <w:spacing w:before="60" w:after="60"/>
              <w:jc w:val="center"/>
              <w:rPr>
                <w:b/>
                <w:b/>
                <w:sz w:val="24"/>
                <w:szCs w:val="24"/>
              </w:rPr>
            </w:pPr>
            <w:r>
              <w:rPr>
                <w:b/>
                <w:sz w:val="24"/>
                <w:szCs w:val="24"/>
              </w:rPr>
            </w:r>
          </w:p>
        </w:tc>
      </w:tr>
      <w:tr>
        <w:trPr/>
        <w:tc>
          <w:tcPr>
            <w:tcW w:w="1705" w:type="dxa"/>
            <w:tcBorders/>
            <w:shd w:fill="auto" w:val="clear"/>
            <w:tcMar>
              <w:left w:w="108" w:type="dxa"/>
            </w:tcMar>
            <w:vAlign w:val="center"/>
          </w:tcPr>
          <w:p>
            <w:pPr>
              <w:pStyle w:val="ListParagraph"/>
              <w:numPr>
                <w:ilvl w:val="2"/>
                <w:numId w:val="3"/>
              </w:numPr>
              <w:spacing w:before="60" w:after="60"/>
              <w:ind w:left="1922" w:hanging="1199"/>
              <w:contextualSpacing/>
              <w:jc w:val="center"/>
              <w:rPr/>
            </w:pPr>
            <w:r>
              <w:rPr/>
            </w:r>
          </w:p>
        </w:tc>
        <w:tc>
          <w:tcPr>
            <w:tcW w:w="9635" w:type="dxa"/>
            <w:tcBorders/>
            <w:shd w:color="auto" w:fill="auto" w:val="clear"/>
            <w:tcMar>
              <w:left w:w="108" w:type="dxa"/>
            </w:tcMar>
          </w:tcPr>
          <w:p>
            <w:pPr>
              <w:pStyle w:val="Normal"/>
              <w:jc w:val="both"/>
              <w:rPr>
                <w:sz w:val="24"/>
                <w:szCs w:val="24"/>
              </w:rPr>
            </w:pPr>
            <w:r>
              <w:rPr>
                <w:sz w:val="24"/>
                <w:szCs w:val="24"/>
              </w:rPr>
              <w:t>Охранные услуги на всех объектах, включенных в Договор, подлежат выполнению охранной организацией в строгом соответствии с требованиями нормативных документов указанных в п. 2.1 настоящих ТТ.</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ListParagraph"/>
              <w:numPr>
                <w:ilvl w:val="2"/>
                <w:numId w:val="3"/>
              </w:numPr>
              <w:spacing w:before="60" w:after="60"/>
              <w:ind w:left="1922" w:hanging="1199"/>
              <w:contextualSpacing/>
              <w:jc w:val="center"/>
              <w:rPr/>
            </w:pPr>
            <w:r>
              <w:rPr/>
            </w:r>
          </w:p>
        </w:tc>
        <w:tc>
          <w:tcPr>
            <w:tcW w:w="9635" w:type="dxa"/>
            <w:tcBorders/>
            <w:shd w:color="auto" w:fill="auto" w:val="clear"/>
            <w:tcMar>
              <w:left w:w="108" w:type="dxa"/>
            </w:tcMar>
          </w:tcPr>
          <w:p>
            <w:pPr>
              <w:pStyle w:val="Normal"/>
              <w:jc w:val="both"/>
              <w:rPr>
                <w:sz w:val="24"/>
                <w:szCs w:val="24"/>
              </w:rPr>
            </w:pPr>
            <w:r>
              <w:rPr>
                <w:sz w:val="24"/>
                <w:szCs w:val="24"/>
              </w:rPr>
              <w:t>Участник (Исполнитель) должен оказывать услуги по охране объектов Заказчика исключительно силами своей охранной организации, соответствующей требованиям п. 4 ПП РФ № 2258, без передачи прав на их охрану (полностью или частично) персоналу другой охранной организации.</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ListParagraph"/>
              <w:numPr>
                <w:ilvl w:val="2"/>
                <w:numId w:val="3"/>
              </w:numPr>
              <w:spacing w:before="60" w:after="60"/>
              <w:ind w:left="1922" w:hanging="1199"/>
              <w:contextualSpacing/>
              <w:jc w:val="center"/>
              <w:rPr/>
            </w:pPr>
            <w:r>
              <w:rPr/>
            </w:r>
          </w:p>
        </w:tc>
        <w:tc>
          <w:tcPr>
            <w:tcW w:w="9635" w:type="dxa"/>
            <w:tcBorders/>
            <w:shd w:color="auto" w:fill="auto" w:val="clear"/>
            <w:tcMar>
              <w:left w:w="108" w:type="dxa"/>
            </w:tcMar>
          </w:tcPr>
          <w:p>
            <w:pPr>
              <w:pStyle w:val="Normal"/>
              <w:jc w:val="both"/>
              <w:rPr>
                <w:sz w:val="24"/>
                <w:szCs w:val="24"/>
              </w:rPr>
            </w:pPr>
            <w:r>
              <w:rPr>
                <w:sz w:val="24"/>
                <w:szCs w:val="24"/>
              </w:rPr>
              <w:t>Исполнитель обязан в случае необходимости обеспечить до начала самостоятельного несения дежурства на объекте охраны дополнительное обучение своих работников использованию технических средств охраны, установленных на объектах.</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ListParagraph"/>
              <w:numPr>
                <w:ilvl w:val="2"/>
                <w:numId w:val="3"/>
              </w:numPr>
              <w:spacing w:before="60" w:after="60"/>
              <w:ind w:left="1922" w:hanging="1199"/>
              <w:contextualSpacing/>
              <w:jc w:val="center"/>
              <w:rPr/>
            </w:pPr>
            <w:r>
              <w:rPr/>
            </w:r>
          </w:p>
        </w:tc>
        <w:tc>
          <w:tcPr>
            <w:tcW w:w="9635" w:type="dxa"/>
            <w:tcBorders/>
            <w:shd w:color="auto" w:fill="auto" w:val="clear"/>
            <w:tcMar>
              <w:left w:w="108" w:type="dxa"/>
            </w:tcMar>
          </w:tcPr>
          <w:p>
            <w:pPr>
              <w:pStyle w:val="Normal"/>
              <w:jc w:val="both"/>
              <w:rPr>
                <w:sz w:val="24"/>
                <w:szCs w:val="24"/>
              </w:rPr>
            </w:pPr>
            <w:r>
              <w:rPr>
                <w:sz w:val="24"/>
                <w:szCs w:val="24"/>
              </w:rPr>
              <w:t>Исполнитель обязан обеспечить проведение с персоналом охранной организации ознакомительного инструктажа не позднее чем за 12 часов до принятия объектов под охрану на основании акта выставления постов.</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ListParagraph"/>
              <w:numPr>
                <w:ilvl w:val="2"/>
                <w:numId w:val="3"/>
              </w:numPr>
              <w:spacing w:before="60" w:after="60"/>
              <w:ind w:left="1922" w:hanging="1199"/>
              <w:contextualSpacing/>
              <w:jc w:val="center"/>
              <w:rPr/>
            </w:pPr>
            <w:r>
              <w:rPr/>
            </w:r>
          </w:p>
        </w:tc>
        <w:tc>
          <w:tcPr>
            <w:tcW w:w="9635" w:type="dxa"/>
            <w:tcBorders/>
            <w:shd w:color="auto" w:fill="auto" w:val="clear"/>
            <w:tcMar>
              <w:left w:w="108" w:type="dxa"/>
            </w:tcMar>
          </w:tcPr>
          <w:p>
            <w:pPr>
              <w:pStyle w:val="Normal"/>
              <w:rPr>
                <w:sz w:val="24"/>
                <w:szCs w:val="24"/>
              </w:rPr>
            </w:pPr>
            <w:r>
              <w:rPr>
                <w:sz w:val="24"/>
                <w:szCs w:val="24"/>
              </w:rPr>
              <w:t>Исполнитель обязан укомплектовать стационарный круглосуточный пост охраны объекта согласно утверждённому им графику дежурства, согласованному с Заказчиком.</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ListParagraph"/>
              <w:numPr>
                <w:ilvl w:val="2"/>
                <w:numId w:val="3"/>
              </w:numPr>
              <w:spacing w:before="60" w:after="60"/>
              <w:ind w:left="1922" w:hanging="1199"/>
              <w:contextualSpacing/>
              <w:jc w:val="center"/>
              <w:rPr/>
            </w:pPr>
            <w:r>
              <w:rPr/>
            </w:r>
          </w:p>
        </w:tc>
        <w:tc>
          <w:tcPr>
            <w:tcW w:w="9635" w:type="dxa"/>
            <w:tcBorders/>
            <w:shd w:color="auto" w:fill="auto" w:val="clear"/>
            <w:tcMar>
              <w:left w:w="108" w:type="dxa"/>
            </w:tcMar>
          </w:tcPr>
          <w:p>
            <w:pPr>
              <w:pStyle w:val="Normal"/>
              <w:jc w:val="both"/>
              <w:rPr>
                <w:sz w:val="24"/>
                <w:szCs w:val="24"/>
              </w:rPr>
            </w:pPr>
            <w:r>
              <w:rPr>
                <w:sz w:val="24"/>
                <w:szCs w:val="24"/>
              </w:rPr>
              <w:t>График должен постоянно находиться на посту охраны и разрабатываться таким образом, чтобы максимальная продолжительность смены во время дежурства частного охранника (охранника) составляла не более 24 часов (ст. ст. 99 и 103 ТК РФ).</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ListParagraph"/>
              <w:numPr>
                <w:ilvl w:val="2"/>
                <w:numId w:val="3"/>
              </w:numPr>
              <w:spacing w:before="60" w:after="60"/>
              <w:ind w:left="1922" w:hanging="1199"/>
              <w:contextualSpacing/>
              <w:jc w:val="center"/>
              <w:rPr/>
            </w:pPr>
            <w:r>
              <w:rPr/>
            </w:r>
          </w:p>
        </w:tc>
        <w:tc>
          <w:tcPr>
            <w:tcW w:w="9635" w:type="dxa"/>
            <w:tcBorders/>
            <w:shd w:color="auto" w:fill="auto" w:val="clear"/>
            <w:tcMar>
              <w:left w:w="108" w:type="dxa"/>
            </w:tcMar>
          </w:tcPr>
          <w:p>
            <w:pPr>
              <w:pStyle w:val="Normal"/>
              <w:jc w:val="both"/>
              <w:rPr>
                <w:sz w:val="24"/>
                <w:szCs w:val="24"/>
              </w:rPr>
            </w:pPr>
            <w:r>
              <w:rPr>
                <w:sz w:val="24"/>
                <w:szCs w:val="24"/>
              </w:rPr>
              <w:t>Продолжительность междусменного отдыха должна быть не менее двойной продолжительности рабочей смены, предшествующей отдыху. Сменному персоналу запрещается оставлять объект охраны до прихода сменяющего охранника.  В случае неявки сменяющего, охранник  в возможно короткий срок обязан сообщить об этом Исполнителю или непосредственному руководителю, а Исполнитель должен немедленно принять меры к замене сменщика другим охранником</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ListParagraph"/>
              <w:numPr>
                <w:ilvl w:val="2"/>
                <w:numId w:val="3"/>
              </w:numPr>
              <w:spacing w:before="60" w:after="60"/>
              <w:ind w:left="1922" w:hanging="1199"/>
              <w:contextualSpacing/>
              <w:jc w:val="center"/>
              <w:rPr/>
            </w:pPr>
            <w:r>
              <w:rPr/>
            </w:r>
          </w:p>
        </w:tc>
        <w:tc>
          <w:tcPr>
            <w:tcW w:w="9635" w:type="dxa"/>
            <w:tcBorders/>
            <w:shd w:color="auto" w:fill="auto" w:val="clear"/>
            <w:tcMar>
              <w:left w:w="108" w:type="dxa"/>
            </w:tcMar>
          </w:tcPr>
          <w:p>
            <w:pPr>
              <w:pStyle w:val="Normal"/>
              <w:jc w:val="both"/>
              <w:rPr>
                <w:sz w:val="24"/>
                <w:szCs w:val="24"/>
              </w:rPr>
            </w:pPr>
            <w:r>
              <w:rPr>
                <w:sz w:val="24"/>
                <w:szCs w:val="24"/>
              </w:rPr>
              <w:t>Исполнитель обязан обеспечить оказание охранных услуг охранниками, обязательно прошедшими ежегодное медицинское освидетельствование на наличие или отсутствие заболеваний, препятствующих исполнению обязанностей частного охранника.</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ListParagraph"/>
              <w:numPr>
                <w:ilvl w:val="2"/>
                <w:numId w:val="3"/>
              </w:numPr>
              <w:spacing w:before="60" w:after="60"/>
              <w:ind w:left="1922" w:hanging="1199"/>
              <w:contextualSpacing/>
              <w:jc w:val="center"/>
              <w:rPr/>
            </w:pPr>
            <w:r>
              <w:rPr/>
            </w:r>
          </w:p>
        </w:tc>
        <w:tc>
          <w:tcPr>
            <w:tcW w:w="9635" w:type="dxa"/>
            <w:tcBorders/>
            <w:shd w:color="auto" w:fill="auto" w:val="clear"/>
            <w:tcMar>
              <w:left w:w="108" w:type="dxa"/>
            </w:tcMar>
          </w:tcPr>
          <w:p>
            <w:pPr>
              <w:pStyle w:val="Normal"/>
              <w:jc w:val="both"/>
              <w:rPr>
                <w:sz w:val="24"/>
                <w:szCs w:val="24"/>
              </w:rPr>
            </w:pPr>
            <w:r>
              <w:rPr>
                <w:sz w:val="24"/>
                <w:szCs w:val="24"/>
              </w:rPr>
              <w:t>Исполнитель обязан обеспечить надлежащее качество охранных услуг и организовать замену в максимально короткое время (не позднее 2 часов с момента получения информации):</w:t>
            </w:r>
          </w:p>
          <w:p>
            <w:pPr>
              <w:pStyle w:val="Normal"/>
              <w:jc w:val="both"/>
              <w:rPr>
                <w:sz w:val="24"/>
                <w:szCs w:val="24"/>
              </w:rPr>
            </w:pPr>
            <w:r>
              <w:rPr>
                <w:sz w:val="24"/>
                <w:szCs w:val="24"/>
              </w:rPr>
              <w:t>- охранника на посту в случае внезапной болезни, травмы и по другим значимым причинам;</w:t>
            </w:r>
          </w:p>
          <w:p>
            <w:pPr>
              <w:pStyle w:val="Normal"/>
              <w:rPr>
                <w:sz w:val="24"/>
                <w:szCs w:val="24"/>
              </w:rPr>
            </w:pPr>
            <w:r>
              <w:rPr>
                <w:sz w:val="24"/>
                <w:szCs w:val="24"/>
              </w:rPr>
              <w:t>- охранника, которым в процессе оказания услуг по охране объекта допущены грубые нарушения правил несения караульно-постовой службы, ДИ охранника, настоящих ТТ и соответствующих требований Договора и ТЗ к нему.</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ListParagraph"/>
              <w:numPr>
                <w:ilvl w:val="2"/>
                <w:numId w:val="3"/>
              </w:numPr>
              <w:spacing w:before="60" w:after="60"/>
              <w:ind w:left="1922" w:hanging="1199"/>
              <w:contextualSpacing/>
              <w:jc w:val="center"/>
              <w:rPr/>
            </w:pPr>
            <w:r>
              <w:rPr/>
            </w:r>
          </w:p>
        </w:tc>
        <w:tc>
          <w:tcPr>
            <w:tcW w:w="9635" w:type="dxa"/>
            <w:tcBorders/>
            <w:shd w:color="auto" w:fill="auto" w:val="clear"/>
            <w:tcMar>
              <w:left w:w="108" w:type="dxa"/>
            </w:tcMar>
          </w:tcPr>
          <w:p>
            <w:pPr>
              <w:pStyle w:val="Normal"/>
              <w:jc w:val="both"/>
              <w:rPr>
                <w:sz w:val="24"/>
                <w:szCs w:val="24"/>
              </w:rPr>
            </w:pPr>
            <w:r>
              <w:rPr>
                <w:sz w:val="24"/>
                <w:szCs w:val="24"/>
              </w:rPr>
              <w:t>Исполнитель обязан в случаях, предусмотренных организационно-распорядительными документами Заказчика, переводить охрану объектов Заказчика на усиленный вариант охраны.</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ListParagraph"/>
              <w:numPr>
                <w:ilvl w:val="1"/>
                <w:numId w:val="3"/>
              </w:numPr>
              <w:spacing w:before="60" w:after="60"/>
              <w:ind w:left="-117" w:firstLine="142"/>
              <w:contextualSpacing/>
              <w:jc w:val="center"/>
              <w:rPr/>
            </w:pPr>
            <w:r>
              <w:rPr/>
            </w:r>
          </w:p>
        </w:tc>
        <w:tc>
          <w:tcPr>
            <w:tcW w:w="9635" w:type="dxa"/>
            <w:tcBorders/>
            <w:shd w:color="auto" w:fill="auto" w:val="clear"/>
            <w:tcMar>
              <w:left w:w="108" w:type="dxa"/>
            </w:tcMar>
          </w:tcPr>
          <w:p>
            <w:pPr>
              <w:pStyle w:val="Normal"/>
              <w:widowControl w:val="false"/>
              <w:tabs>
                <w:tab w:val="left" w:pos="426" w:leader="none"/>
              </w:tabs>
              <w:spacing w:before="60" w:after="0"/>
              <w:jc w:val="both"/>
              <w:rPr>
                <w:b/>
                <w:b/>
                <w:sz w:val="24"/>
                <w:szCs w:val="24"/>
              </w:rPr>
            </w:pPr>
            <w:r>
              <w:rPr>
                <w:b/>
                <w:sz w:val="24"/>
                <w:szCs w:val="24"/>
              </w:rPr>
              <w:t>Требования к способам оказания услуг</w:t>
            </w:r>
          </w:p>
        </w:tc>
        <w:tc>
          <w:tcPr>
            <w:tcW w:w="3919" w:type="dxa"/>
            <w:tcBorders/>
            <w:shd w:color="auto" w:fill="auto" w:val="clear"/>
            <w:tcMar>
              <w:left w:w="108" w:type="dxa"/>
            </w:tcMar>
          </w:tcPr>
          <w:p>
            <w:pPr>
              <w:pStyle w:val="Normal"/>
              <w:keepNext w:val="true"/>
              <w:spacing w:before="60" w:after="60"/>
              <w:jc w:val="center"/>
              <w:rPr>
                <w:b/>
                <w:b/>
                <w:sz w:val="24"/>
                <w:szCs w:val="24"/>
              </w:rPr>
            </w:pPr>
            <w:r>
              <w:rPr>
                <w:b/>
                <w:sz w:val="24"/>
                <w:szCs w:val="24"/>
              </w:rPr>
            </w:r>
          </w:p>
        </w:tc>
      </w:tr>
      <w:tr>
        <w:trPr/>
        <w:tc>
          <w:tcPr>
            <w:tcW w:w="1705" w:type="dxa"/>
            <w:tcBorders/>
            <w:shd w:fill="auto" w:val="clear"/>
            <w:tcMar>
              <w:left w:w="108" w:type="dxa"/>
            </w:tcMar>
            <w:vAlign w:val="center"/>
          </w:tcPr>
          <w:p>
            <w:pPr>
              <w:pStyle w:val="ListParagraph"/>
              <w:numPr>
                <w:ilvl w:val="2"/>
                <w:numId w:val="3"/>
              </w:numPr>
              <w:spacing w:before="60" w:after="60"/>
              <w:ind w:left="1922" w:hanging="1199"/>
              <w:contextualSpacing/>
              <w:jc w:val="center"/>
              <w:rPr/>
            </w:pPr>
            <w:r>
              <w:rPr/>
            </w:r>
          </w:p>
        </w:tc>
        <w:tc>
          <w:tcPr>
            <w:tcW w:w="9635" w:type="dxa"/>
            <w:tcBorders/>
            <w:shd w:color="auto" w:fill="auto" w:val="clear"/>
            <w:tcMar>
              <w:left w:w="108" w:type="dxa"/>
            </w:tcMar>
          </w:tcPr>
          <w:p>
            <w:pPr>
              <w:pStyle w:val="Normal"/>
              <w:widowControl w:val="false"/>
              <w:tabs>
                <w:tab w:val="left" w:pos="426" w:leader="none"/>
              </w:tabs>
              <w:spacing w:before="60" w:after="0"/>
              <w:jc w:val="both"/>
              <w:rPr>
                <w:sz w:val="24"/>
                <w:szCs w:val="24"/>
              </w:rPr>
            </w:pPr>
            <w:r>
              <w:rPr>
                <w:sz w:val="24"/>
                <w:szCs w:val="24"/>
              </w:rPr>
              <w:t xml:space="preserve">Осуществлять услуги по физической охране объектов Заказчика </w:t>
            </w:r>
            <w:r>
              <w:rPr>
                <w:b/>
                <w:sz w:val="24"/>
                <w:szCs w:val="24"/>
              </w:rPr>
              <w:t xml:space="preserve">в смешанном  режиме охраны </w:t>
            </w:r>
            <w:r>
              <w:rPr>
                <w:sz w:val="24"/>
                <w:szCs w:val="24"/>
              </w:rPr>
              <w:t>в соответствии  с приложением</w:t>
            </w:r>
            <w:r>
              <w:rPr>
                <w:sz w:val="24"/>
                <w:szCs w:val="24"/>
                <w:lang w:val="x-none"/>
              </w:rPr>
              <w:t xml:space="preserve">  </w:t>
            </w:r>
            <w:r>
              <w:rPr>
                <w:sz w:val="24"/>
                <w:szCs w:val="24"/>
              </w:rPr>
              <w:t>2 ТТ «Перечень и объем оказываемых услуг»,  его пропускным и внутриобъектовым режимами, реализуя установленный ими порядок, который обеспечивает совокупность мероприятий и правил, исключающих возможность бесконтрольного входа (выхода) лиц, вноса (выноса), ввоза (вывоза) имущества на объекты охраны (с объектов охраны) филиала «Приморские электрические сети», путём организации стационарных постов и патрулирования территории объекта.</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ListParagraph"/>
              <w:numPr>
                <w:ilvl w:val="2"/>
                <w:numId w:val="3"/>
              </w:numPr>
              <w:spacing w:before="60" w:after="60"/>
              <w:ind w:left="1922" w:hanging="1199"/>
              <w:contextualSpacing/>
              <w:jc w:val="center"/>
              <w:rPr/>
            </w:pPr>
            <w:r>
              <w:rPr/>
            </w:r>
          </w:p>
        </w:tc>
        <w:tc>
          <w:tcPr>
            <w:tcW w:w="9635" w:type="dxa"/>
            <w:tcBorders/>
            <w:shd w:color="auto" w:fill="auto" w:val="clear"/>
            <w:tcMar>
              <w:left w:w="108" w:type="dxa"/>
            </w:tcMar>
          </w:tcPr>
          <w:p>
            <w:pPr>
              <w:pStyle w:val="Normal"/>
              <w:jc w:val="both"/>
              <w:rPr>
                <w:sz w:val="24"/>
                <w:szCs w:val="24"/>
              </w:rPr>
            </w:pPr>
            <w:r>
              <w:rPr>
                <w:sz w:val="24"/>
                <w:szCs w:val="24"/>
              </w:rPr>
              <w:t>Осуществлять допуск лиц на объекты охраны, на которых установлен пропускной режим, при предъявлении ими документов (пропусков), дающих право на вход (выход) лиц, въезд (выезд) транспортных средств, внос (вынос), ввоз (вывоз) имущества на объекты охраны (с объектов охраны).</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1.2.3.</w:t>
            </w:r>
          </w:p>
        </w:tc>
        <w:tc>
          <w:tcPr>
            <w:tcW w:w="9635" w:type="dxa"/>
            <w:tcBorders/>
            <w:shd w:color="auto" w:fill="auto" w:val="clear"/>
            <w:tcMar>
              <w:left w:w="108" w:type="dxa"/>
            </w:tcMar>
          </w:tcPr>
          <w:p>
            <w:pPr>
              <w:pStyle w:val="Normal"/>
              <w:jc w:val="both"/>
              <w:rPr>
                <w:sz w:val="24"/>
                <w:szCs w:val="24"/>
              </w:rPr>
            </w:pPr>
            <w:r>
              <w:rPr>
                <w:sz w:val="24"/>
                <w:szCs w:val="24"/>
              </w:rPr>
              <w:t>Осуществлять с использованием систем контроля и управления доступом и систем охранных телевизионных контроль ввоза и вывоза (вноса и выноса) имущества на (с) территорию(-и) охраняемых объектов в соответствии с пропускным и внутриобъектовым режимами Заказчика лицами, предъявляющими документы (материальные пропуски), дающие право на внос (вынос), ввоз (вывоз) такого имущества.</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1.2.4.</w:t>
            </w:r>
          </w:p>
        </w:tc>
        <w:tc>
          <w:tcPr>
            <w:tcW w:w="9635" w:type="dxa"/>
            <w:tcBorders/>
            <w:shd w:color="auto" w:fill="auto" w:val="clear"/>
            <w:tcMar>
              <w:left w:w="108" w:type="dxa"/>
            </w:tcMar>
          </w:tcPr>
          <w:p>
            <w:pPr>
              <w:pStyle w:val="Normal"/>
              <w:jc w:val="both"/>
              <w:rPr>
                <w:sz w:val="24"/>
                <w:szCs w:val="24"/>
              </w:rPr>
            </w:pPr>
            <w:r>
              <w:rPr>
                <w:sz w:val="24"/>
                <w:szCs w:val="24"/>
              </w:rPr>
              <w:t>Осуществлять с использованием СКУД и СОТ, а также списков лиц и транспортных средств, которым разрешён въезд/выезд, предоставляемых Заказчиком, контроль въезда и выезда автотранспорта на (с) территорию(-и) охраняемых объектов в соответствии с пропускным и внутриобъектовым режимами Заказчика при предъявлении управляющими ими лицами документов (пропусков, в том числе материальных), дающих право на въезд/выезд такого автотранспорта, а также их учёт путём внесения соответствующих записей о въезде/выезде, лицах, управляющих данным автотранспортом, и предъявленных ими документах, в журнал (книгу) учёта регистрации автотранспорта, наличие которого (которой) обязательно на посту охраны.</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1.2.5.</w:t>
            </w:r>
          </w:p>
        </w:tc>
        <w:tc>
          <w:tcPr>
            <w:tcW w:w="9635" w:type="dxa"/>
            <w:tcBorders/>
            <w:shd w:color="auto" w:fill="auto" w:val="clear"/>
            <w:tcMar>
              <w:left w:w="108" w:type="dxa"/>
            </w:tcMar>
          </w:tcPr>
          <w:p>
            <w:pPr>
              <w:pStyle w:val="Normal"/>
              <w:jc w:val="both"/>
              <w:rPr>
                <w:sz w:val="24"/>
                <w:szCs w:val="24"/>
              </w:rPr>
            </w:pPr>
            <w:r>
              <w:rPr>
                <w:sz w:val="24"/>
                <w:szCs w:val="24"/>
              </w:rPr>
              <w:t xml:space="preserve">Производить в пределах, установленных законодательством Российской Федерации, на объектах охраны, на которых установлен пропускной режим, осмотр въезжающих на объекты охраны (выезжающих с объектов охраны) транспортных средств, за исключением транспортных средств оперативных служб государственных военизированных организаций, в случае возникновения подозрения, что указанные транспортные средства используются в противоправных целях, а также осмотр вносимого на объекты охраны (выносимого с объектов охраны) имущества. </w:t>
            </w:r>
          </w:p>
          <w:p>
            <w:pPr>
              <w:pStyle w:val="Normal"/>
              <w:jc w:val="both"/>
              <w:rPr>
                <w:sz w:val="24"/>
                <w:szCs w:val="24"/>
              </w:rPr>
            </w:pPr>
            <w:r>
              <w:rPr>
                <w:sz w:val="24"/>
                <w:szCs w:val="24"/>
              </w:rPr>
              <w:t>Осмотр указанных транспортных средств и имущества должен производиться в присутствии водителей указанных транспортных средств и лиц, сопровождающих указанные транспортные средства и имущество. Его результаты должны быть отражены в журнале (книге) учёта регистрации автотранспорта.</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1.2.6.</w:t>
            </w:r>
          </w:p>
        </w:tc>
        <w:tc>
          <w:tcPr>
            <w:tcW w:w="9635" w:type="dxa"/>
            <w:tcBorders/>
            <w:shd w:color="auto" w:fill="auto" w:val="clear"/>
            <w:tcMar>
              <w:left w:w="108" w:type="dxa"/>
            </w:tcMar>
          </w:tcPr>
          <w:p>
            <w:pPr>
              <w:pStyle w:val="Normal"/>
              <w:jc w:val="both"/>
              <w:rPr>
                <w:sz w:val="24"/>
                <w:szCs w:val="24"/>
              </w:rPr>
            </w:pPr>
            <w:r>
              <w:rPr>
                <w:sz w:val="24"/>
                <w:szCs w:val="24"/>
              </w:rPr>
              <w:t>Осуществлять контроль входа и выхода на (с) территорию(-и) охраняемых объектов в соответствии с пропускным и внутриобъектовым режимами сторонних лиц с обязательной выдачей им при предъявлении паспортов или иных документов, удостоверяющих личность, и последующей сдачей ими разовых (гостевых) пропусков, а также их учёт путём внесения соответствующих записей о ФИО и предъявленных этими лицами документах в журнал (книгу) учёта регистрации посетителей, наличие которого (которой) обязательно на посту охраны.</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1.2.7.</w:t>
            </w:r>
          </w:p>
        </w:tc>
        <w:tc>
          <w:tcPr>
            <w:tcW w:w="9635" w:type="dxa"/>
            <w:tcBorders/>
            <w:shd w:color="auto" w:fill="auto" w:val="clear"/>
            <w:tcMar>
              <w:left w:w="108" w:type="dxa"/>
            </w:tcMar>
          </w:tcPr>
          <w:p>
            <w:pPr>
              <w:pStyle w:val="Normal"/>
              <w:jc w:val="both"/>
              <w:rPr>
                <w:sz w:val="24"/>
                <w:szCs w:val="24"/>
              </w:rPr>
            </w:pPr>
            <w:r>
              <w:rPr>
                <w:sz w:val="24"/>
                <w:szCs w:val="24"/>
              </w:rPr>
              <w:t>Осуществлять с использованием СКУД и СОТ контроль входа и выхода на (с) территорию(-и) охраняемых объектов в соответствии с пропускным и внутриобъектовым режимами Заказчика лиц из числа его персонала при предъявлении пропусков (временных или постоянных), полученных в установленном порядке в СБ Заказчика.</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1.2.8.</w:t>
            </w:r>
          </w:p>
        </w:tc>
        <w:tc>
          <w:tcPr>
            <w:tcW w:w="9635" w:type="dxa"/>
            <w:tcBorders/>
            <w:shd w:color="auto" w:fill="auto" w:val="clear"/>
            <w:tcMar>
              <w:left w:w="108" w:type="dxa"/>
            </w:tcMar>
          </w:tcPr>
          <w:p>
            <w:pPr>
              <w:pStyle w:val="Normal"/>
              <w:jc w:val="both"/>
              <w:rPr>
                <w:sz w:val="24"/>
                <w:szCs w:val="24"/>
              </w:rPr>
            </w:pPr>
            <w:r>
              <w:rPr>
                <w:sz w:val="24"/>
                <w:szCs w:val="24"/>
              </w:rPr>
              <w:t xml:space="preserve">Осуществлять повседневный контроль за состоянием и исправностью технических средств охраны, СОТ и СКУД, которыми оборудован объект охраны. </w:t>
            </w:r>
          </w:p>
          <w:p>
            <w:pPr>
              <w:pStyle w:val="Normal"/>
              <w:jc w:val="both"/>
              <w:rPr>
                <w:sz w:val="24"/>
                <w:szCs w:val="24"/>
              </w:rPr>
            </w:pPr>
            <w:r>
              <w:rPr>
                <w:sz w:val="24"/>
                <w:szCs w:val="24"/>
              </w:rPr>
              <w:t>Незамедлительно сообщать в СБ Заказчика о сбоях в работе и неисправностях СКУД и СОТ, а также делать соответствующие записи в книге приёма/передачи (проверки работоспособности) технических средств охраны.</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1.2.9.</w:t>
            </w:r>
          </w:p>
        </w:tc>
        <w:tc>
          <w:tcPr>
            <w:tcW w:w="9635" w:type="dxa"/>
            <w:tcBorders/>
            <w:shd w:color="auto" w:fill="auto" w:val="clear"/>
            <w:tcMar>
              <w:left w:w="108" w:type="dxa"/>
            </w:tcMar>
          </w:tcPr>
          <w:p>
            <w:pPr>
              <w:pStyle w:val="Normal"/>
              <w:jc w:val="both"/>
              <w:rPr>
                <w:sz w:val="24"/>
                <w:szCs w:val="24"/>
              </w:rPr>
            </w:pPr>
            <w:r>
              <w:rPr>
                <w:sz w:val="24"/>
                <w:szCs w:val="24"/>
              </w:rPr>
              <w:t xml:space="preserve">Обеспечивать защиту жизни и здоровья граждан (находящихся на охраняемых объектах сотрудников и посетителей Заказчика), а также охрану объектов и находящегося на их территории имущества Заказчика от противоправных посягательств, в том числе с применением спецсредств: </w:t>
            </w:r>
          </w:p>
          <w:p>
            <w:pPr>
              <w:pStyle w:val="Normal"/>
              <w:jc w:val="both"/>
              <w:rPr>
                <w:sz w:val="24"/>
                <w:szCs w:val="24"/>
              </w:rPr>
            </w:pPr>
            <w:r>
              <w:rPr>
                <w:sz w:val="24"/>
                <w:szCs w:val="24"/>
              </w:rPr>
              <w:t>1) для отражения нападения, непосредственно угрожающего их жизни и здоровью, а охранники и для отражения нападения, непосредственно угрожающего жизни и здоровью охраняемых граждан;</w:t>
            </w:r>
          </w:p>
          <w:p>
            <w:pPr>
              <w:pStyle w:val="Normal"/>
              <w:jc w:val="both"/>
              <w:rPr>
                <w:sz w:val="24"/>
                <w:szCs w:val="24"/>
              </w:rPr>
            </w:pPr>
            <w:r>
              <w:rPr>
                <w:sz w:val="24"/>
                <w:szCs w:val="24"/>
              </w:rPr>
              <w:t>2) для пресечения преступления против охраняемого ими имущества, когда правонарушитель оказывает физическое сопротивление.</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1.2.10.</w:t>
            </w:r>
          </w:p>
        </w:tc>
        <w:tc>
          <w:tcPr>
            <w:tcW w:w="9635" w:type="dxa"/>
            <w:tcBorders/>
            <w:shd w:color="auto" w:fill="auto" w:val="clear"/>
            <w:tcMar>
              <w:left w:w="108" w:type="dxa"/>
            </w:tcMar>
          </w:tcPr>
          <w:p>
            <w:pPr>
              <w:pStyle w:val="Normal"/>
              <w:jc w:val="both"/>
              <w:rPr>
                <w:sz w:val="24"/>
                <w:szCs w:val="24"/>
              </w:rPr>
            </w:pPr>
            <w:r>
              <w:rPr>
                <w:sz w:val="24"/>
                <w:szCs w:val="24"/>
              </w:rPr>
              <w:t>Обеспечивать своевременное пресечение противоправных действий против ИТСО, иного охраняемого имущества Заказчика и его посетителей, а также непосредственно угрожающих жизни и здоровью охраняемых граждан, в том числе с применением физической силы, в тех же случаях, когда Законом им разрешено применение специальных средств (п. 1.2.9. ТТ).</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1.2.11.</w:t>
            </w:r>
          </w:p>
        </w:tc>
        <w:tc>
          <w:tcPr>
            <w:tcW w:w="9635" w:type="dxa"/>
            <w:tcBorders/>
            <w:shd w:color="auto" w:fill="auto" w:val="clear"/>
            <w:tcMar>
              <w:left w:w="108" w:type="dxa"/>
            </w:tcMar>
          </w:tcPr>
          <w:p>
            <w:pPr>
              <w:pStyle w:val="Normal"/>
              <w:jc w:val="both"/>
              <w:rPr>
                <w:sz w:val="24"/>
                <w:szCs w:val="24"/>
              </w:rPr>
            </w:pPr>
            <w:r>
              <w:rPr>
                <w:sz w:val="24"/>
                <w:szCs w:val="24"/>
              </w:rPr>
              <w:t xml:space="preserve">Осуществлять задержание лиц, нарушающих внутриобъектовый и (или) пропускной режимы, совершивших противоправные посягательства на охраняемое имущество компании или его посетителей, а также на жизнь и здоровье граждан, -застигнутых в процессе или после совершения этих преступлений на месте правонарушения, пытающихся скрыться, а также правонарушителей, оказавших физическое сопротивление. </w:t>
            </w:r>
          </w:p>
          <w:p>
            <w:pPr>
              <w:pStyle w:val="Normal"/>
              <w:jc w:val="both"/>
              <w:rPr>
                <w:sz w:val="24"/>
                <w:szCs w:val="24"/>
              </w:rPr>
            </w:pPr>
            <w:r>
              <w:rPr>
                <w:sz w:val="24"/>
                <w:szCs w:val="24"/>
              </w:rPr>
              <w:t>Незамедлительно передавать задержанных лиц в орган внутренних дел (полицию).</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1.2.12.</w:t>
            </w:r>
          </w:p>
        </w:tc>
        <w:tc>
          <w:tcPr>
            <w:tcW w:w="9635" w:type="dxa"/>
            <w:tcBorders/>
            <w:shd w:color="auto" w:fill="auto" w:val="clear"/>
            <w:tcMar>
              <w:left w:w="108" w:type="dxa"/>
            </w:tcMar>
          </w:tcPr>
          <w:p>
            <w:pPr>
              <w:pStyle w:val="Normal"/>
              <w:jc w:val="both"/>
              <w:rPr>
                <w:sz w:val="24"/>
                <w:szCs w:val="24"/>
              </w:rPr>
            </w:pPr>
            <w:r>
              <w:rPr>
                <w:sz w:val="24"/>
                <w:szCs w:val="24"/>
              </w:rPr>
              <w:t>Обеспечивать охрану имущества подрядных организаций, выполняющих работы для Заказчика на территории охраняемого объекта.</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1.2.13.</w:t>
            </w:r>
          </w:p>
        </w:tc>
        <w:tc>
          <w:tcPr>
            <w:tcW w:w="9635" w:type="dxa"/>
            <w:tcBorders/>
            <w:shd w:color="auto" w:fill="auto" w:val="clear"/>
            <w:tcMar>
              <w:left w:w="108" w:type="dxa"/>
            </w:tcMar>
          </w:tcPr>
          <w:p>
            <w:pPr>
              <w:pStyle w:val="Normal"/>
              <w:jc w:val="both"/>
              <w:rPr>
                <w:sz w:val="24"/>
                <w:szCs w:val="24"/>
              </w:rPr>
            </w:pPr>
            <w:r>
              <w:rPr>
                <w:sz w:val="24"/>
                <w:szCs w:val="24"/>
              </w:rPr>
              <w:t>Обеспечивать совместное с Заказчиком участие в проведении тренировок по выполнению требований к антитеррористической защищённости объекта охраны, действий в чрезвычайных ситуациях, в процессе ликвидации пожара и эвакуации людей. Исполнитель обязан провести со всеми охранниками инструктаж о мерах ПБ и обучение действиям в случае возникновения пожара.</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1.2.14.</w:t>
            </w:r>
          </w:p>
        </w:tc>
        <w:tc>
          <w:tcPr>
            <w:tcW w:w="9635" w:type="dxa"/>
            <w:tcBorders/>
            <w:shd w:color="auto" w:fill="auto" w:val="clear"/>
            <w:tcMar>
              <w:left w:w="108" w:type="dxa"/>
            </w:tcMar>
          </w:tcPr>
          <w:p>
            <w:pPr>
              <w:pStyle w:val="Normal"/>
              <w:jc w:val="both"/>
              <w:rPr>
                <w:sz w:val="24"/>
                <w:szCs w:val="24"/>
              </w:rPr>
            </w:pPr>
            <w:r>
              <w:rPr>
                <w:sz w:val="24"/>
                <w:szCs w:val="24"/>
              </w:rPr>
              <w:t>Не допускать нахождение посторонних лиц и работников Заказчика на территории объекта охраны в нерабочее время без согласования с Заказчиком/СБ филиала. Нести исключительную ответственность Исполнителя по Договору за действия посторонних лиц на объекте охраны и негативные последствия их пребывания на объекте.</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1.2.15.</w:t>
            </w:r>
          </w:p>
        </w:tc>
        <w:tc>
          <w:tcPr>
            <w:tcW w:w="9635" w:type="dxa"/>
            <w:tcBorders/>
            <w:shd w:color="auto" w:fill="auto" w:val="clear"/>
            <w:tcMar>
              <w:left w:w="108" w:type="dxa"/>
            </w:tcMar>
          </w:tcPr>
          <w:p>
            <w:pPr>
              <w:pStyle w:val="Normal"/>
              <w:jc w:val="both"/>
              <w:rPr>
                <w:sz w:val="24"/>
                <w:szCs w:val="24"/>
              </w:rPr>
            </w:pPr>
            <w:r>
              <w:rPr>
                <w:sz w:val="24"/>
                <w:szCs w:val="24"/>
              </w:rPr>
              <w:t>Незамедлительно сообщать Заказчику (администрации объекта охраны), руководителю частной охранной организации и в соответствующие правоохранительные органы ставшую им известной информацию о готовящихся либо совершённых преступлениях, а также о действиях и обстоятельствах, создающих на объектах охраны угрозу безопасности граждан и возникновении чрезвычайных ситуаций.</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1.2.16.</w:t>
            </w:r>
          </w:p>
        </w:tc>
        <w:tc>
          <w:tcPr>
            <w:tcW w:w="9635" w:type="dxa"/>
            <w:tcBorders/>
            <w:shd w:color="auto" w:fill="auto" w:val="clear"/>
            <w:tcMar>
              <w:left w:w="108" w:type="dxa"/>
            </w:tcMar>
          </w:tcPr>
          <w:p>
            <w:pPr>
              <w:pStyle w:val="Normal"/>
              <w:jc w:val="both"/>
              <w:rPr>
                <w:sz w:val="24"/>
                <w:szCs w:val="24"/>
              </w:rPr>
            </w:pPr>
            <w:r>
              <w:rPr>
                <w:sz w:val="24"/>
                <w:szCs w:val="24"/>
              </w:rPr>
              <w:t>Принимать при возникновении чрезвычайных ситуаций экстренные меры, направленные на защиту имущества Заказчика и минимизацию ущерба от его повреждения (уничтожения). Вызов (при необходимости) подразделений МВД и МЧС; должностных лиц Заказчика</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1.2.17.</w:t>
            </w:r>
          </w:p>
        </w:tc>
        <w:tc>
          <w:tcPr>
            <w:tcW w:w="9635" w:type="dxa"/>
            <w:tcBorders/>
            <w:shd w:color="auto" w:fill="auto" w:val="clear"/>
            <w:tcMar>
              <w:left w:w="108" w:type="dxa"/>
            </w:tcMar>
          </w:tcPr>
          <w:p>
            <w:pPr>
              <w:pStyle w:val="Normal"/>
              <w:jc w:val="both"/>
              <w:rPr>
                <w:sz w:val="24"/>
                <w:szCs w:val="24"/>
              </w:rPr>
            </w:pPr>
            <w:r>
              <w:rPr>
                <w:sz w:val="24"/>
                <w:szCs w:val="24"/>
              </w:rPr>
              <w:t>Обеспечивать по письменному обращению Заказчика проведение служебных расследований и привлечение своих работников к ответственности в порядке, установленном трудовым законодательством РФ, за нарушение трудовой дисциплины, правил несения караульной службы, пропускного и внутриобъектового режимов.</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1.2.18.</w:t>
            </w:r>
          </w:p>
        </w:tc>
        <w:tc>
          <w:tcPr>
            <w:tcW w:w="9635" w:type="dxa"/>
            <w:tcBorders/>
            <w:shd w:color="auto" w:fill="auto" w:val="clear"/>
            <w:tcMar>
              <w:left w:w="108" w:type="dxa"/>
            </w:tcMar>
          </w:tcPr>
          <w:p>
            <w:pPr>
              <w:pStyle w:val="Normal"/>
              <w:jc w:val="both"/>
              <w:rPr>
                <w:sz w:val="24"/>
                <w:szCs w:val="24"/>
              </w:rPr>
            </w:pPr>
            <w:r>
              <w:rPr>
                <w:sz w:val="24"/>
                <w:szCs w:val="24"/>
              </w:rPr>
              <w:t xml:space="preserve">Осуществлять обход охраняемой территории (зданий, помещений)  охраняемого объекта в дневное и ночное время </w:t>
            </w:r>
            <w:r>
              <w:rPr>
                <w:b/>
                <w:sz w:val="24"/>
                <w:szCs w:val="24"/>
              </w:rPr>
              <w:t>каждые два часа,</w:t>
            </w:r>
            <w:r>
              <w:rPr>
                <w:sz w:val="24"/>
                <w:szCs w:val="24"/>
              </w:rPr>
              <w:t xml:space="preserve"> в соответствии с утверждёнными и согласованными с Заказчиком графиком и схемой обхода, постовой документацией, в том числе с применением собственных средств фото- и видеофиксации на объектах охраны, не оборудованных СОТ с целью проверок исправности ограждения, наличия и целостности окон, дверей, решеток, замков и запоров на охраняемых Объектах, с записью в журнале о результатах проведенного патрулирования.</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1.2.19.</w:t>
            </w:r>
          </w:p>
        </w:tc>
        <w:tc>
          <w:tcPr>
            <w:tcW w:w="9635" w:type="dxa"/>
            <w:tcBorders/>
            <w:shd w:color="auto" w:fill="auto" w:val="clear"/>
            <w:tcMar>
              <w:left w:w="108" w:type="dxa"/>
            </w:tcMar>
          </w:tcPr>
          <w:p>
            <w:pPr>
              <w:pStyle w:val="Normal"/>
              <w:jc w:val="both"/>
              <w:rPr>
                <w:sz w:val="24"/>
                <w:szCs w:val="24"/>
              </w:rPr>
            </w:pPr>
            <w:r>
              <w:rPr>
                <w:sz w:val="24"/>
                <w:szCs w:val="24"/>
              </w:rPr>
              <w:t>Исполнитель услуг обязан принимать меры в пределах своей компетенции и утвержденных инструкций по предупреждению попыток осуществления террористических актов, обнаружению подозрительных предметов, задержанию подозрительных лиц, а также лиц, совершивших противоправное посягательство на охраняемую собственность, с незамедлительной передачей их в органы внутренних дел.</w:t>
            </w:r>
          </w:p>
        </w:tc>
        <w:tc>
          <w:tcPr>
            <w:tcW w:w="3919" w:type="dxa"/>
            <w:tcBorders/>
            <w:shd w:color="auto"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ListParagraph"/>
              <w:numPr>
                <w:ilvl w:val="1"/>
                <w:numId w:val="3"/>
              </w:numPr>
              <w:spacing w:before="60" w:after="60"/>
              <w:ind w:left="-117" w:firstLine="142"/>
              <w:contextualSpacing/>
              <w:jc w:val="center"/>
              <w:rPr/>
            </w:pPr>
            <w:r>
              <w:rPr/>
            </w:r>
          </w:p>
        </w:tc>
        <w:tc>
          <w:tcPr>
            <w:tcW w:w="9635" w:type="dxa"/>
            <w:tcBorders/>
            <w:shd w:fill="auto" w:val="clear"/>
            <w:tcMar>
              <w:left w:w="108" w:type="dxa"/>
            </w:tcMar>
            <w:vAlign w:val="center"/>
          </w:tcPr>
          <w:p>
            <w:pPr>
              <w:pStyle w:val="Normal"/>
              <w:spacing w:before="60" w:after="0"/>
              <w:rPr>
                <w:b/>
                <w:b/>
              </w:rPr>
            </w:pPr>
            <w:r>
              <w:rPr>
                <w:b/>
                <w:sz w:val="24"/>
                <w:szCs w:val="24"/>
              </w:rPr>
              <w:t>Требования к процедурам оказания услуг</w:t>
            </w:r>
          </w:p>
        </w:tc>
        <w:tc>
          <w:tcPr>
            <w:tcW w:w="3919" w:type="dxa"/>
            <w:tcBorders/>
            <w:shd w:fill="auto" w:val="clear"/>
            <w:tcMar>
              <w:left w:w="108" w:type="dxa"/>
            </w:tcMar>
          </w:tcPr>
          <w:p>
            <w:pPr>
              <w:pStyle w:val="Normal"/>
              <w:keepNext w:val="true"/>
              <w:spacing w:before="60" w:after="60"/>
              <w:jc w:val="center"/>
              <w:rPr>
                <w:b/>
                <w:b/>
                <w:sz w:val="24"/>
                <w:szCs w:val="24"/>
              </w:rPr>
            </w:pPr>
            <w:r>
              <w:rPr>
                <w:b/>
                <w:sz w:val="24"/>
                <w:szCs w:val="24"/>
              </w:rPr>
            </w:r>
          </w:p>
        </w:tc>
      </w:tr>
      <w:tr>
        <w:trPr/>
        <w:tc>
          <w:tcPr>
            <w:tcW w:w="1705" w:type="dxa"/>
            <w:tcBorders/>
            <w:shd w:fill="auto" w:val="clear"/>
            <w:tcMar>
              <w:left w:w="108" w:type="dxa"/>
            </w:tcMar>
            <w:vAlign w:val="center"/>
          </w:tcPr>
          <w:p>
            <w:pPr>
              <w:pStyle w:val="ListParagraph"/>
              <w:numPr>
                <w:ilvl w:val="2"/>
                <w:numId w:val="3"/>
              </w:numPr>
              <w:spacing w:before="60" w:after="60"/>
              <w:ind w:left="1922" w:hanging="1199"/>
              <w:contextualSpacing/>
              <w:jc w:val="center"/>
              <w:rPr/>
            </w:pPr>
            <w:r>
              <w:rPr/>
            </w:r>
          </w:p>
        </w:tc>
        <w:tc>
          <w:tcPr>
            <w:tcW w:w="9635" w:type="dxa"/>
            <w:tcBorders/>
            <w:shd w:fill="auto" w:val="clear"/>
            <w:tcMar>
              <w:left w:w="108" w:type="dxa"/>
            </w:tcMar>
          </w:tcPr>
          <w:p>
            <w:pPr>
              <w:pStyle w:val="Normal"/>
              <w:widowControl w:val="false"/>
              <w:tabs>
                <w:tab w:val="left" w:pos="426" w:leader="none"/>
              </w:tabs>
              <w:spacing w:before="60" w:after="0"/>
              <w:jc w:val="both"/>
              <w:rPr>
                <w:sz w:val="24"/>
                <w:szCs w:val="24"/>
              </w:rPr>
            </w:pPr>
            <w:r>
              <w:rPr>
                <w:sz w:val="24"/>
                <w:szCs w:val="24"/>
              </w:rPr>
              <w:t>До начала оказания услуг Исполнителю в соответствии с настоящими ТТ и Приказом Росгвардии от 19.10.2020 № 419 «Об утверждении типовых требований к должностной инструкции частного охранника на объекте охраны») необходимо:</w:t>
            </w:r>
          </w:p>
          <w:p>
            <w:pPr>
              <w:pStyle w:val="Normal"/>
              <w:widowControl w:val="false"/>
              <w:tabs>
                <w:tab w:val="left" w:pos="426" w:leader="none"/>
              </w:tabs>
              <w:spacing w:before="60" w:after="0"/>
              <w:jc w:val="both"/>
              <w:rPr>
                <w:sz w:val="24"/>
                <w:szCs w:val="24"/>
              </w:rPr>
            </w:pPr>
            <w:r>
              <w:rPr>
                <w:sz w:val="24"/>
                <w:szCs w:val="24"/>
              </w:rPr>
              <w:t>- разработать, согласовать с руководителем объекта ТЭК, подлежащего охране, не менее чем за 5 дней до начала оказания услуг, и утвердить должностную инструкцию на частного охранника (охранника), которая регламентирует его действия на объекте охраны при обеспечении внутриобъектового и пропускного режимов, его права и обязанности при выполнении им трудовой функции.</w:t>
            </w:r>
          </w:p>
          <w:p>
            <w:pPr>
              <w:pStyle w:val="Normal"/>
              <w:widowControl w:val="false"/>
              <w:tabs>
                <w:tab w:val="left" w:pos="426" w:leader="none"/>
              </w:tabs>
              <w:spacing w:before="60" w:after="0"/>
              <w:jc w:val="both"/>
              <w:rPr>
                <w:sz w:val="24"/>
                <w:szCs w:val="24"/>
              </w:rPr>
            </w:pPr>
            <w:r>
              <w:rPr>
                <w:sz w:val="24"/>
                <w:szCs w:val="24"/>
              </w:rPr>
              <w:t>ДИ носит обезличенный характер и разрабатывается для каждого объекта охраны, включённого в Договор, с учетом его особенностей</w:t>
            </w:r>
          </w:p>
        </w:tc>
        <w:tc>
          <w:tcPr>
            <w:tcW w:w="3919" w:type="dxa"/>
            <w:tcBorders/>
            <w:shd w:fill="auto" w:val="clear"/>
            <w:tcMar>
              <w:left w:w="108" w:type="dxa"/>
            </w:tcMar>
          </w:tcPr>
          <w:p>
            <w:pPr>
              <w:pStyle w:val="Normal"/>
              <w:rPr>
                <w:b/>
                <w:b/>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ListParagraph"/>
              <w:numPr>
                <w:ilvl w:val="2"/>
                <w:numId w:val="3"/>
              </w:numPr>
              <w:spacing w:before="60" w:after="60"/>
              <w:ind w:left="1922" w:hanging="1199"/>
              <w:contextualSpacing/>
              <w:jc w:val="center"/>
              <w:rPr/>
            </w:pPr>
            <w:r>
              <w:rPr/>
            </w:r>
          </w:p>
        </w:tc>
        <w:tc>
          <w:tcPr>
            <w:tcW w:w="9635" w:type="dxa"/>
            <w:tcBorders/>
            <w:shd w:fill="auto" w:val="clear"/>
            <w:tcMar>
              <w:left w:w="108" w:type="dxa"/>
            </w:tcMar>
          </w:tcPr>
          <w:p>
            <w:pPr>
              <w:pStyle w:val="Normal"/>
              <w:widowControl w:val="false"/>
              <w:tabs>
                <w:tab w:val="left" w:pos="426" w:leader="none"/>
              </w:tabs>
              <w:spacing w:before="60" w:after="0"/>
              <w:jc w:val="both"/>
              <w:rPr>
                <w:sz w:val="24"/>
                <w:szCs w:val="24"/>
              </w:rPr>
            </w:pPr>
            <w:r>
              <w:rPr>
                <w:sz w:val="24"/>
                <w:szCs w:val="24"/>
              </w:rPr>
              <w:t xml:space="preserve">Направить в срок не позднее 5 (пяти) рабочих дней после заключения Договора своего уполномоченного представителя для обследования объектов, принимаемых под охрану, с составлением по результатам обследования двухсторонних Актов приёма-передачи объекта под охрану по форме </w:t>
            </w:r>
            <w:r>
              <w:rPr>
                <w:color w:val="000000" w:themeColor="text1"/>
                <w:sz w:val="24"/>
                <w:szCs w:val="24"/>
              </w:rPr>
              <w:t>Приложения № 3 к Договору</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r>
        <w:trPr>
          <w:trHeight w:val="90" w:hRule="atLeast"/>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1.3.3.</w:t>
            </w:r>
          </w:p>
        </w:tc>
        <w:tc>
          <w:tcPr>
            <w:tcW w:w="9635" w:type="dxa"/>
            <w:tcBorders/>
            <w:shd w:fill="auto" w:val="clear"/>
            <w:tcMar>
              <w:left w:w="108" w:type="dxa"/>
            </w:tcMar>
          </w:tcPr>
          <w:p>
            <w:pPr>
              <w:pStyle w:val="Normal"/>
              <w:widowControl w:val="false"/>
              <w:tabs>
                <w:tab w:val="left" w:pos="426" w:leader="none"/>
              </w:tabs>
              <w:spacing w:before="60" w:after="0"/>
              <w:jc w:val="both"/>
              <w:rPr>
                <w:sz w:val="24"/>
                <w:szCs w:val="24"/>
              </w:rPr>
            </w:pPr>
            <w:r>
              <w:rPr>
                <w:sz w:val="24"/>
                <w:szCs w:val="24"/>
              </w:rPr>
              <w:t>Предоставить в срок не позднее 5 (пяти) рабочих дней после заключения Договора Заказчику с разбивкой по конкретным постам, видам охраны объектов и указанием начальников групп охраны объектов в структурных подразделениях филиала и согласия на обработку ПДн для согласования по фамильный список частных охранников (по форме справки о кадровых ресурсах Приложение № 17 к договору с указанием Ф.И.О. полностью, разряда охранников, номеров удостоверений частного охранника, дата выдачи, срок действия, дата медосмотра и номер справки, номер и дата трудового договора, адрес места жительства) (охранников), (трудовые отношения с которыми подтверждаются наличием трудовых договоров, заключенных Исполнителем с физическими лицами, имеющими документы, дающие право частному охраннику работать по трудовому договору с такой охранной организацией на должности, связанной непосредственно с оказанием охранных услуг), задействованных на охране объектов филиала.</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r>
        <w:trPr>
          <w:trHeight w:val="90" w:hRule="atLeast"/>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1.3.4.</w:t>
            </w:r>
          </w:p>
        </w:tc>
        <w:tc>
          <w:tcPr>
            <w:tcW w:w="9635" w:type="dxa"/>
            <w:tcBorders/>
            <w:shd w:fill="auto" w:val="clear"/>
            <w:tcMar>
              <w:left w:w="108" w:type="dxa"/>
            </w:tcMar>
          </w:tcPr>
          <w:p>
            <w:pPr>
              <w:pStyle w:val="Normal"/>
              <w:widowControl w:val="false"/>
              <w:tabs>
                <w:tab w:val="left" w:pos="426" w:leader="none"/>
              </w:tabs>
              <w:spacing w:before="60" w:after="0"/>
              <w:jc w:val="both"/>
              <w:rPr>
                <w:sz w:val="24"/>
                <w:szCs w:val="24"/>
              </w:rPr>
            </w:pPr>
            <w:r>
              <w:rPr>
                <w:sz w:val="24"/>
                <w:szCs w:val="24"/>
              </w:rPr>
              <w:t>Охранные услуги оказываются работниками Исполнителя, осуществляющими охрану объектов, строго по согласованному с Заказчиком списку.</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r>
        <w:trPr>
          <w:trHeight w:val="90" w:hRule="atLeast"/>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1.3.5.</w:t>
            </w:r>
          </w:p>
        </w:tc>
        <w:tc>
          <w:tcPr>
            <w:tcW w:w="9635" w:type="dxa"/>
            <w:tcBorders/>
            <w:shd w:fill="auto" w:val="clear"/>
            <w:tcMar>
              <w:left w:w="108" w:type="dxa"/>
            </w:tcMar>
          </w:tcPr>
          <w:p>
            <w:pPr>
              <w:pStyle w:val="Normal"/>
              <w:widowControl w:val="false"/>
              <w:tabs>
                <w:tab w:val="left" w:pos="426" w:leader="none"/>
              </w:tabs>
              <w:spacing w:before="60" w:after="0"/>
              <w:jc w:val="both"/>
              <w:rPr>
                <w:sz w:val="24"/>
                <w:szCs w:val="24"/>
              </w:rPr>
            </w:pPr>
            <w:r>
              <w:rPr>
                <w:sz w:val="24"/>
                <w:szCs w:val="24"/>
              </w:rPr>
              <w:t>В случае внесения изменений в состав работников, осуществляющих охрану объекта, в течение 1 (одного) рабочего дня со дня принятия такого решения Исполнитель направляет Заказчику уточнённый Список.</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r>
        <w:trPr>
          <w:trHeight w:val="90" w:hRule="atLeast"/>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1.3.6.</w:t>
            </w:r>
          </w:p>
        </w:tc>
        <w:tc>
          <w:tcPr>
            <w:tcW w:w="9635" w:type="dxa"/>
            <w:tcBorders/>
            <w:shd w:fill="auto" w:val="clear"/>
            <w:tcMar>
              <w:left w:w="108" w:type="dxa"/>
            </w:tcMar>
          </w:tcPr>
          <w:p>
            <w:pPr>
              <w:pStyle w:val="Normal"/>
              <w:widowControl w:val="false"/>
              <w:tabs>
                <w:tab w:val="left" w:pos="426" w:leader="none"/>
              </w:tabs>
              <w:spacing w:before="60" w:after="0"/>
              <w:jc w:val="both"/>
              <w:rPr>
                <w:sz w:val="24"/>
                <w:szCs w:val="24"/>
              </w:rPr>
            </w:pPr>
            <w:r>
              <w:rPr>
                <w:sz w:val="24"/>
                <w:szCs w:val="24"/>
              </w:rPr>
              <w:t>Количество постов и численность работников охраны может быть изменена Заказчиком в одностороннем порядке. В случае изменения порядка охраны, в том числе влекущего сокращение численности работников, Заказчик обязуется уведомить Исполнителя, о таких изменениях не позднее, чем за 2 (два) календарных месяца до предполагаемой даты изменений.</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1.3.7.</w:t>
            </w:r>
          </w:p>
        </w:tc>
        <w:tc>
          <w:tcPr>
            <w:tcW w:w="9635" w:type="dxa"/>
            <w:tcBorders/>
            <w:shd w:fill="auto" w:val="clear"/>
            <w:tcMar>
              <w:left w:w="108" w:type="dxa"/>
            </w:tcMar>
          </w:tcPr>
          <w:p>
            <w:pPr>
              <w:pStyle w:val="Normal"/>
              <w:widowControl w:val="false"/>
              <w:tabs>
                <w:tab w:val="left" w:pos="426" w:leader="none"/>
              </w:tabs>
              <w:spacing w:before="60" w:after="0"/>
              <w:jc w:val="both"/>
              <w:rPr>
                <w:b/>
                <w:b/>
                <w:sz w:val="24"/>
                <w:szCs w:val="24"/>
              </w:rPr>
            </w:pPr>
            <w:r>
              <w:rPr>
                <w:sz w:val="24"/>
                <w:szCs w:val="24"/>
              </w:rPr>
              <w:t>Персонал Исполнителя обязан нести службу на объекте охраны в чистой, аккуратной, по сезону (для службы в помещении и на улице в любую погоду), форменной одежде работника частной охранной (охранной) организации, с логотипом охранной организации, не допуская ношение отдельных предметов специальной форменной одежды совместно с иной одеждой, а также обязательно иметь при себе: действующее удостоверение частного охранника установленного образца, личную карточку охранника с записью о принадлежности к конкретной охранной организации, выданные в установленном порядке.</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1.3.8.</w:t>
            </w:r>
          </w:p>
        </w:tc>
        <w:tc>
          <w:tcPr>
            <w:tcW w:w="9635" w:type="dxa"/>
            <w:tcBorders/>
            <w:shd w:fill="auto" w:val="clear"/>
            <w:tcMar>
              <w:left w:w="108" w:type="dxa"/>
            </w:tcMar>
          </w:tcPr>
          <w:p>
            <w:pPr>
              <w:pStyle w:val="Normal"/>
              <w:widowControl w:val="false"/>
              <w:tabs>
                <w:tab w:val="left" w:pos="426" w:leader="none"/>
              </w:tabs>
              <w:spacing w:before="60" w:after="0"/>
              <w:jc w:val="both"/>
              <w:rPr>
                <w:b/>
                <w:b/>
                <w:sz w:val="24"/>
                <w:szCs w:val="24"/>
              </w:rPr>
            </w:pPr>
            <w:r>
              <w:rPr>
                <w:sz w:val="24"/>
                <w:szCs w:val="24"/>
              </w:rPr>
              <w:t>Персонал охранной организации, в целях обеспечения надлежащего качества охранных услуг, обязан быть обученным к действиям в случае возникновения чрезвычайной ситуации (пожар, обнаружение посторонних предметов, захват заложников и т.п.).</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1.3.9.</w:t>
            </w:r>
          </w:p>
        </w:tc>
        <w:tc>
          <w:tcPr>
            <w:tcW w:w="9635" w:type="dxa"/>
            <w:tcBorders/>
            <w:shd w:fill="auto" w:val="clear"/>
            <w:tcMar>
              <w:left w:w="108" w:type="dxa"/>
            </w:tcMar>
          </w:tcPr>
          <w:p>
            <w:pPr>
              <w:pStyle w:val="Normal"/>
              <w:widowControl w:val="false"/>
              <w:tabs>
                <w:tab w:val="left" w:pos="426" w:leader="none"/>
              </w:tabs>
              <w:spacing w:before="60" w:after="0"/>
              <w:jc w:val="both"/>
              <w:rPr>
                <w:sz w:val="24"/>
                <w:szCs w:val="24"/>
              </w:rPr>
            </w:pPr>
            <w:r>
              <w:rPr>
                <w:sz w:val="24"/>
                <w:szCs w:val="24"/>
              </w:rPr>
              <w:t>Персонал охранной организации, в целях обеспечения надлежащего качества охранных услуг, в случае обнаружения неисправности или признаков аварийного состояния ИТСО, обязан незамедлительно проинформировать об этом Заказчика (уполномоченных им лиц).</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1.3.10.</w:t>
            </w:r>
          </w:p>
        </w:tc>
        <w:tc>
          <w:tcPr>
            <w:tcW w:w="9635" w:type="dxa"/>
            <w:tcBorders/>
            <w:shd w:fill="auto" w:val="clear"/>
            <w:tcMar>
              <w:left w:w="108" w:type="dxa"/>
            </w:tcMar>
          </w:tcPr>
          <w:p>
            <w:pPr>
              <w:pStyle w:val="Normal"/>
              <w:widowControl w:val="false"/>
              <w:tabs>
                <w:tab w:val="left" w:pos="426" w:leader="none"/>
              </w:tabs>
              <w:spacing w:before="60" w:after="0"/>
              <w:jc w:val="both"/>
              <w:rPr>
                <w:sz w:val="24"/>
                <w:szCs w:val="24"/>
              </w:rPr>
            </w:pPr>
            <w:r>
              <w:rPr>
                <w:sz w:val="24"/>
                <w:szCs w:val="24"/>
              </w:rPr>
              <w:t>Персонал охранной организации обязан знать номера телефонов представителей руководства охраняемого объекта, а также правоохранительных и контролирующих органов.</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ListParagraph"/>
              <w:numPr>
                <w:ilvl w:val="0"/>
                <w:numId w:val="3"/>
              </w:numPr>
              <w:spacing w:before="60" w:after="60"/>
              <w:contextualSpacing/>
              <w:jc w:val="center"/>
              <w:rPr/>
            </w:pPr>
            <w:r>
              <w:rPr/>
            </w:r>
          </w:p>
        </w:tc>
        <w:tc>
          <w:tcPr>
            <w:tcW w:w="9635" w:type="dxa"/>
            <w:tcBorders/>
            <w:shd w:fill="auto" w:val="clear"/>
            <w:tcMar>
              <w:left w:w="108" w:type="dxa"/>
            </w:tcMar>
            <w:vAlign w:val="center"/>
          </w:tcPr>
          <w:p>
            <w:pPr>
              <w:pStyle w:val="Normal"/>
              <w:rPr>
                <w:b/>
                <w:b/>
                <w:bCs/>
                <w:sz w:val="24"/>
                <w:szCs w:val="24"/>
              </w:rPr>
            </w:pPr>
            <w:r>
              <w:rPr>
                <w:b/>
                <w:bCs/>
                <w:sz w:val="24"/>
                <w:szCs w:val="24"/>
              </w:rPr>
              <w:t>Требования к результатам у</w:t>
            </w:r>
            <w:r>
              <w:rPr>
                <w:b/>
                <w:sz w:val="24"/>
                <w:szCs w:val="24"/>
              </w:rPr>
              <w:t>слуг</w:t>
            </w:r>
          </w:p>
        </w:tc>
        <w:tc>
          <w:tcPr>
            <w:tcW w:w="3919" w:type="dxa"/>
            <w:tcBorders/>
            <w:shd w:fill="auto" w:val="clear"/>
            <w:tcMar>
              <w:left w:w="108" w:type="dxa"/>
            </w:tcMar>
          </w:tcPr>
          <w:p>
            <w:pPr>
              <w:pStyle w:val="Normal"/>
              <w:keepNext w:val="true"/>
              <w:spacing w:before="60" w:after="60"/>
              <w:rPr>
                <w:b/>
                <w:b/>
                <w:sz w:val="24"/>
                <w:szCs w:val="24"/>
              </w:rPr>
            </w:pPr>
            <w:r>
              <w:rPr>
                <w:b/>
                <w:sz w:val="24"/>
                <w:szCs w:val="24"/>
              </w:rPr>
            </w:r>
          </w:p>
        </w:tc>
      </w:tr>
      <w:tr>
        <w:trPr/>
        <w:tc>
          <w:tcPr>
            <w:tcW w:w="1705" w:type="dxa"/>
            <w:tcBorders/>
            <w:shd w:fill="auto" w:val="clear"/>
            <w:tcMar>
              <w:left w:w="108" w:type="dxa"/>
            </w:tcMar>
            <w:vAlign w:val="center"/>
          </w:tcPr>
          <w:p>
            <w:pPr>
              <w:pStyle w:val="ListParagraph"/>
              <w:spacing w:before="60" w:after="60"/>
              <w:ind w:left="25" w:hanging="0"/>
              <w:contextualSpacing/>
              <w:jc w:val="center"/>
              <w:rPr/>
            </w:pPr>
            <w:r>
              <w:rPr/>
              <w:t>2.1.</w:t>
            </w:r>
          </w:p>
        </w:tc>
        <w:tc>
          <w:tcPr>
            <w:tcW w:w="9635" w:type="dxa"/>
            <w:tcBorders/>
            <w:shd w:fill="auto" w:val="clear"/>
            <w:tcMar>
              <w:left w:w="108" w:type="dxa"/>
            </w:tcMar>
            <w:vAlign w:val="center"/>
          </w:tcPr>
          <w:p>
            <w:pPr>
              <w:pStyle w:val="Normal"/>
              <w:rPr>
                <w:b/>
                <w:b/>
                <w:bCs/>
                <w:sz w:val="24"/>
                <w:szCs w:val="24"/>
              </w:rPr>
            </w:pPr>
            <w:r>
              <w:rPr>
                <w:b/>
                <w:bCs/>
                <w:sz w:val="24"/>
                <w:szCs w:val="24"/>
              </w:rPr>
              <w:t>Общие требования к результатам услуг</w:t>
            </w:r>
          </w:p>
        </w:tc>
        <w:tc>
          <w:tcPr>
            <w:tcW w:w="3919" w:type="dxa"/>
            <w:tcBorders/>
            <w:shd w:fill="auto" w:val="clear"/>
            <w:tcMar>
              <w:left w:w="108" w:type="dxa"/>
            </w:tcMar>
          </w:tcPr>
          <w:p>
            <w:pPr>
              <w:pStyle w:val="Normal"/>
              <w:keepNext w:val="true"/>
              <w:spacing w:before="60" w:after="60"/>
              <w:jc w:val="center"/>
              <w:rPr>
                <w:b/>
                <w:b/>
                <w:sz w:val="24"/>
                <w:szCs w:val="24"/>
              </w:rPr>
            </w:pPr>
            <w:r>
              <w:rPr>
                <w:b/>
                <w:sz w:val="24"/>
                <w:szCs w:val="24"/>
              </w:rPr>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2.1.1.</w:t>
            </w:r>
          </w:p>
        </w:tc>
        <w:tc>
          <w:tcPr>
            <w:tcW w:w="9635" w:type="dxa"/>
            <w:tcBorders/>
            <w:shd w:fill="auto" w:val="clear"/>
            <w:tcMar>
              <w:left w:w="108" w:type="dxa"/>
            </w:tcMar>
          </w:tcPr>
          <w:p>
            <w:pPr>
              <w:pStyle w:val="Normal"/>
              <w:jc w:val="both"/>
              <w:rPr>
                <w:sz w:val="24"/>
                <w:szCs w:val="24"/>
              </w:rPr>
            </w:pPr>
            <w:r>
              <w:rPr>
                <w:sz w:val="24"/>
                <w:szCs w:val="24"/>
              </w:rPr>
              <w:t>Обеспечение безопасности объектов топливно-энергетического комплекса , их устойчивого и безопасного функционирования, защиты интересов личности, общества и государства в сфере ТЭК от актов незаконного вмешательства, обеспечение антитеррористической защищенности объектов топливно-энергетического комплекса.</w:t>
            </w:r>
          </w:p>
        </w:tc>
        <w:tc>
          <w:tcPr>
            <w:tcW w:w="3919" w:type="dxa"/>
            <w:tcBorders/>
            <w:shd w:fill="auto" w:val="clear"/>
            <w:tcMar>
              <w:left w:w="108" w:type="dxa"/>
            </w:tcMar>
          </w:tcPr>
          <w:p>
            <w:pPr>
              <w:pStyle w:val="Normal"/>
              <w:rPr>
                <w:b/>
                <w:b/>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2.2.</w:t>
            </w:r>
          </w:p>
        </w:tc>
        <w:tc>
          <w:tcPr>
            <w:tcW w:w="9635" w:type="dxa"/>
            <w:tcBorders/>
            <w:shd w:fill="auto" w:val="clear"/>
            <w:tcMar>
              <w:left w:w="108" w:type="dxa"/>
            </w:tcMar>
            <w:vAlign w:val="center"/>
          </w:tcPr>
          <w:p>
            <w:pPr>
              <w:pStyle w:val="Normal"/>
              <w:spacing w:before="60" w:after="0"/>
              <w:rPr>
                <w:sz w:val="24"/>
                <w:szCs w:val="24"/>
              </w:rPr>
            </w:pPr>
            <w:r>
              <w:rPr>
                <w:b/>
                <w:sz w:val="24"/>
                <w:szCs w:val="24"/>
              </w:rPr>
              <w:t>Требования к безопасности использования результата оказания услуг</w:t>
            </w:r>
          </w:p>
        </w:tc>
        <w:tc>
          <w:tcPr>
            <w:tcW w:w="3919" w:type="dxa"/>
            <w:tcBorders/>
            <w:shd w:fill="auto" w:val="clear"/>
            <w:tcMar>
              <w:left w:w="108" w:type="dxa"/>
            </w:tcMar>
          </w:tcPr>
          <w:p>
            <w:pPr>
              <w:pStyle w:val="Normal"/>
              <w:keepNext w:val="true"/>
              <w:spacing w:before="60" w:after="60"/>
              <w:jc w:val="center"/>
              <w:rPr>
                <w:b/>
                <w:b/>
                <w:sz w:val="24"/>
                <w:szCs w:val="24"/>
              </w:rPr>
            </w:pPr>
            <w:r>
              <w:rPr>
                <w:b/>
                <w:sz w:val="24"/>
                <w:szCs w:val="24"/>
              </w:rPr>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2.2.1.</w:t>
            </w:r>
          </w:p>
        </w:tc>
        <w:tc>
          <w:tcPr>
            <w:tcW w:w="9635" w:type="dxa"/>
            <w:tcBorders/>
            <w:shd w:fill="auto" w:val="clear"/>
            <w:tcMar>
              <w:left w:w="108" w:type="dxa"/>
            </w:tcMar>
          </w:tcPr>
          <w:p>
            <w:pPr>
              <w:pStyle w:val="Normal"/>
              <w:jc w:val="both"/>
              <w:rPr>
                <w:sz w:val="24"/>
                <w:szCs w:val="24"/>
              </w:rPr>
            </w:pPr>
            <w:r>
              <w:rPr>
                <w:sz w:val="24"/>
                <w:szCs w:val="24"/>
              </w:rPr>
              <w:t>Исполнитель гарантирует Заказчику качество оказания услуг в соответствии с ТТ, согласно Перечню объектов и графика оказания услуг</w:t>
            </w:r>
          </w:p>
        </w:tc>
        <w:tc>
          <w:tcPr>
            <w:tcW w:w="3919" w:type="dxa"/>
            <w:tcBorders/>
            <w:shd w:fill="auto" w:val="clear"/>
            <w:tcMar>
              <w:left w:w="108" w:type="dxa"/>
            </w:tcMar>
          </w:tcPr>
          <w:p>
            <w:pPr>
              <w:pStyle w:val="Normal"/>
              <w:rPr>
                <w:sz w:val="24"/>
                <w:szCs w:val="24"/>
              </w:rPr>
            </w:pPr>
            <w:r>
              <w:rPr>
                <w:bCs/>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2.2.2.</w:t>
            </w:r>
          </w:p>
        </w:tc>
        <w:tc>
          <w:tcPr>
            <w:tcW w:w="9635" w:type="dxa"/>
            <w:tcBorders/>
            <w:shd w:fill="auto" w:val="clear"/>
            <w:tcMar>
              <w:left w:w="108" w:type="dxa"/>
            </w:tcMar>
          </w:tcPr>
          <w:p>
            <w:pPr>
              <w:pStyle w:val="Normal"/>
              <w:rPr>
                <w:sz w:val="24"/>
                <w:szCs w:val="24"/>
              </w:rPr>
            </w:pPr>
            <w:r>
              <w:rPr>
                <w:sz w:val="24"/>
                <w:szCs w:val="24"/>
              </w:rPr>
              <w:t>Исполнитель гарантирует Заказчику оказание услуг с соблюдением трудового законодательства Российской Федерации в части обеспечения требований по нормам выработки, режиму работы, сменности, условиям отдыха.</w:t>
            </w:r>
          </w:p>
        </w:tc>
        <w:tc>
          <w:tcPr>
            <w:tcW w:w="3919" w:type="dxa"/>
            <w:tcBorders/>
            <w:shd w:fill="auto" w:val="clear"/>
            <w:tcMar>
              <w:left w:w="108" w:type="dxa"/>
            </w:tcMar>
          </w:tcPr>
          <w:p>
            <w:pPr>
              <w:pStyle w:val="Normal"/>
              <w:rPr>
                <w:sz w:val="24"/>
                <w:szCs w:val="24"/>
              </w:rPr>
            </w:pPr>
            <w:r>
              <w:rPr>
                <w:bCs/>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2.3.</w:t>
            </w:r>
          </w:p>
        </w:tc>
        <w:tc>
          <w:tcPr>
            <w:tcW w:w="9635" w:type="dxa"/>
            <w:tcBorders/>
            <w:shd w:fill="auto" w:val="clear"/>
            <w:tcMar>
              <w:left w:w="108" w:type="dxa"/>
            </w:tcMar>
            <w:vAlign w:val="center"/>
          </w:tcPr>
          <w:p>
            <w:pPr>
              <w:pStyle w:val="Normal"/>
              <w:rPr>
                <w:bCs/>
                <w:sz w:val="24"/>
                <w:szCs w:val="24"/>
              </w:rPr>
            </w:pPr>
            <w:r>
              <w:rPr>
                <w:b/>
                <w:bCs/>
                <w:sz w:val="24"/>
                <w:szCs w:val="24"/>
              </w:rPr>
              <w:t>Требования к приемке результата оказания у</w:t>
            </w:r>
            <w:r>
              <w:rPr>
                <w:b/>
                <w:sz w:val="24"/>
                <w:szCs w:val="24"/>
              </w:rPr>
              <w:t>слуг</w:t>
            </w:r>
            <w:r>
              <w:rPr>
                <w:rStyle w:val="Style14"/>
                <w:b w:val="false"/>
                <w:bCs/>
                <w:i w:val="false"/>
                <w:sz w:val="24"/>
                <w:szCs w:val="24"/>
                <w:shd w:fill="FFFFFF" w:val="clear"/>
              </w:rPr>
              <w:t xml:space="preserve"> </w:t>
            </w:r>
          </w:p>
        </w:tc>
        <w:tc>
          <w:tcPr>
            <w:tcW w:w="3919" w:type="dxa"/>
            <w:tcBorders/>
            <w:shd w:fill="auto" w:val="clear"/>
            <w:tcMar>
              <w:left w:w="108" w:type="dxa"/>
            </w:tcMar>
          </w:tcPr>
          <w:p>
            <w:pPr>
              <w:pStyle w:val="Normal"/>
              <w:keepNext w:val="true"/>
              <w:spacing w:before="60" w:after="60"/>
              <w:jc w:val="center"/>
              <w:rPr>
                <w:b/>
                <w:b/>
                <w:sz w:val="24"/>
                <w:szCs w:val="24"/>
              </w:rPr>
            </w:pPr>
            <w:r>
              <w:rPr>
                <w:b/>
                <w:sz w:val="24"/>
                <w:szCs w:val="24"/>
              </w:rPr>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2.3.1.</w:t>
            </w:r>
          </w:p>
        </w:tc>
        <w:tc>
          <w:tcPr>
            <w:tcW w:w="9635" w:type="dxa"/>
            <w:tcBorders/>
            <w:shd w:fill="auto" w:val="clear"/>
            <w:tcMar>
              <w:left w:w="108" w:type="dxa"/>
            </w:tcMar>
          </w:tcPr>
          <w:p>
            <w:pPr>
              <w:pStyle w:val="Normal"/>
              <w:widowControl w:val="false"/>
              <w:tabs>
                <w:tab w:val="left" w:pos="426" w:leader="none"/>
              </w:tabs>
              <w:spacing w:before="60" w:after="0"/>
              <w:jc w:val="both"/>
              <w:rPr>
                <w:sz w:val="24"/>
                <w:szCs w:val="24"/>
              </w:rPr>
            </w:pPr>
            <w:r>
              <w:rPr>
                <w:sz w:val="24"/>
                <w:szCs w:val="24"/>
              </w:rPr>
              <w:t xml:space="preserve">Исполнитель обязан с целью обеспечения надлежащего качества охранных услуг организовать в период действия Договора проведение своими силами проверок выполнения персоналом охранной организации задач по охране объектов Заказчика </w:t>
            </w:r>
            <w:r>
              <w:rPr>
                <w:b/>
                <w:sz w:val="24"/>
                <w:szCs w:val="24"/>
              </w:rPr>
              <w:t xml:space="preserve">(не менее 2 (двух) раз в неделю, в том числе, не менее 1 (одного) раза - в ночное время), </w:t>
            </w:r>
            <w:r>
              <w:rPr>
                <w:sz w:val="24"/>
                <w:szCs w:val="24"/>
              </w:rPr>
              <w:t>с обязательным внесением сведений о результатах проверок в соответствующий журнал/книгу учёта, наличие которой на посту охраны предусмотрено настоящими ТТ, Договором и заданием к нему.</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2.3.2</w:t>
            </w:r>
          </w:p>
        </w:tc>
        <w:tc>
          <w:tcPr>
            <w:tcW w:w="9635" w:type="dxa"/>
            <w:tcBorders/>
            <w:shd w:fill="auto" w:val="clear"/>
            <w:tcMar>
              <w:left w:w="108" w:type="dxa"/>
            </w:tcMar>
          </w:tcPr>
          <w:p>
            <w:pPr>
              <w:pStyle w:val="Normal"/>
              <w:rPr>
                <w:sz w:val="24"/>
                <w:szCs w:val="24"/>
              </w:rPr>
            </w:pPr>
            <w:r>
              <w:rPr>
                <w:sz w:val="24"/>
                <w:szCs w:val="24"/>
              </w:rPr>
              <w:t>По требованию Заказчика, Исполнитель обязан предоставлять информацию о персонале охранной организации, по форме справки о кадровых ресурсах, и предоставлением подтверждающих документов.</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2.3.3.</w:t>
            </w:r>
          </w:p>
        </w:tc>
        <w:tc>
          <w:tcPr>
            <w:tcW w:w="9635" w:type="dxa"/>
            <w:tcBorders/>
            <w:shd w:fill="auto" w:val="clear"/>
            <w:tcMar>
              <w:left w:w="108" w:type="dxa"/>
            </w:tcMar>
          </w:tcPr>
          <w:p>
            <w:pPr>
              <w:pStyle w:val="Normal"/>
              <w:rPr>
                <w:sz w:val="24"/>
                <w:szCs w:val="24"/>
              </w:rPr>
            </w:pPr>
            <w:r>
              <w:rPr>
                <w:sz w:val="24"/>
                <w:szCs w:val="24"/>
              </w:rPr>
              <w:t>Исполнитель услуг обязан, по требованию Заказчика, предоставлять письменный отчет о результатах проделанной работы; интересующие вопросы Заказчика должны быть оформлены в письменном виде.</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ListParagraph"/>
              <w:spacing w:before="60" w:after="60"/>
              <w:ind w:left="25" w:hanging="0"/>
              <w:contextualSpacing/>
              <w:jc w:val="center"/>
              <w:rPr/>
            </w:pPr>
            <w:r>
              <w:rPr/>
              <w:t>2.4.</w:t>
            </w:r>
          </w:p>
        </w:tc>
        <w:tc>
          <w:tcPr>
            <w:tcW w:w="9635" w:type="dxa"/>
            <w:tcBorders/>
            <w:shd w:fill="auto" w:val="clear"/>
            <w:tcMar>
              <w:left w:w="108" w:type="dxa"/>
            </w:tcMar>
            <w:vAlign w:val="center"/>
          </w:tcPr>
          <w:p>
            <w:pPr>
              <w:pStyle w:val="Normal"/>
              <w:spacing w:before="60" w:after="0"/>
              <w:rPr>
                <w:b/>
                <w:b/>
                <w:sz w:val="24"/>
                <w:szCs w:val="24"/>
              </w:rPr>
            </w:pPr>
            <w:r>
              <w:rPr>
                <w:b/>
                <w:sz w:val="24"/>
                <w:szCs w:val="24"/>
              </w:rPr>
              <w:t>Требования к документации, описывающей результат оказания услуг</w:t>
            </w:r>
          </w:p>
        </w:tc>
        <w:tc>
          <w:tcPr>
            <w:tcW w:w="3919" w:type="dxa"/>
            <w:tcBorders/>
            <w:shd w:fill="auto" w:val="clear"/>
            <w:tcMar>
              <w:left w:w="108" w:type="dxa"/>
            </w:tcMar>
          </w:tcPr>
          <w:p>
            <w:pPr>
              <w:pStyle w:val="Normal"/>
              <w:keepNext w:val="true"/>
              <w:spacing w:before="60" w:after="60"/>
              <w:jc w:val="center"/>
              <w:rPr>
                <w:b/>
                <w:b/>
                <w:sz w:val="24"/>
                <w:szCs w:val="24"/>
              </w:rPr>
            </w:pPr>
            <w:r>
              <w:rPr>
                <w:b/>
                <w:sz w:val="24"/>
                <w:szCs w:val="24"/>
              </w:rPr>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2.4.1.</w:t>
            </w:r>
          </w:p>
        </w:tc>
        <w:tc>
          <w:tcPr>
            <w:tcW w:w="9635" w:type="dxa"/>
            <w:tcBorders/>
            <w:shd w:fill="auto" w:val="clear"/>
            <w:tcMar>
              <w:left w:w="108" w:type="dxa"/>
            </w:tcMar>
          </w:tcPr>
          <w:p>
            <w:pPr>
              <w:pStyle w:val="Normal"/>
              <w:jc w:val="both"/>
              <w:rPr>
                <w:sz w:val="24"/>
                <w:szCs w:val="24"/>
              </w:rPr>
            </w:pPr>
            <w:r>
              <w:rPr>
                <w:sz w:val="24"/>
                <w:szCs w:val="24"/>
              </w:rPr>
              <w:t>Исполнитель ежемесячно в течение 3 рабочих дней (не позднее  5 числа  месяца, следующего за отчетным ) представляет заказчику в соответствии с условиями договора Акт выполненных работ (УПД), отчет об оказании услуг по форме № 8 приложения к договору) и счёт на оплату.</w:t>
            </w:r>
          </w:p>
        </w:tc>
        <w:tc>
          <w:tcPr>
            <w:tcW w:w="3919" w:type="dxa"/>
            <w:tcBorders/>
            <w:shd w:fill="auto" w:val="clear"/>
            <w:tcMar>
              <w:left w:w="108" w:type="dxa"/>
            </w:tcMar>
          </w:tcPr>
          <w:p>
            <w:pPr>
              <w:pStyle w:val="Normal"/>
              <w:rPr>
                <w:b/>
                <w:b/>
                <w:bCs/>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ListParagraph"/>
              <w:numPr>
                <w:ilvl w:val="0"/>
                <w:numId w:val="3"/>
              </w:numPr>
              <w:spacing w:before="60" w:after="60"/>
              <w:contextualSpacing/>
              <w:jc w:val="center"/>
              <w:rPr/>
            </w:pPr>
            <w:r>
              <w:rPr/>
            </w:r>
          </w:p>
        </w:tc>
        <w:tc>
          <w:tcPr>
            <w:tcW w:w="9635" w:type="dxa"/>
            <w:tcBorders/>
            <w:shd w:fill="auto" w:val="clear"/>
            <w:tcMar>
              <w:left w:w="108" w:type="dxa"/>
            </w:tcMar>
            <w:vAlign w:val="center"/>
          </w:tcPr>
          <w:p>
            <w:pPr>
              <w:pStyle w:val="Normal"/>
              <w:spacing w:before="20" w:after="0"/>
              <w:jc w:val="both"/>
              <w:rPr>
                <w:b/>
                <w:b/>
                <w:sz w:val="24"/>
                <w:szCs w:val="24"/>
              </w:rPr>
            </w:pPr>
            <w:r>
              <w:rPr>
                <w:b/>
                <w:sz w:val="24"/>
                <w:szCs w:val="24"/>
              </w:rPr>
              <w:t>Требования к соблюдению положений нормативной и иной обязательной для исполнителя документации, определяемой видами услуг (помимо указанных в других разделах ТТ)</w:t>
            </w:r>
          </w:p>
        </w:tc>
        <w:tc>
          <w:tcPr>
            <w:tcW w:w="3919" w:type="dxa"/>
            <w:tcBorders/>
            <w:shd w:fill="auto" w:val="clear"/>
            <w:tcMar>
              <w:left w:w="108" w:type="dxa"/>
            </w:tcMar>
          </w:tcPr>
          <w:p>
            <w:pPr>
              <w:pStyle w:val="Normal"/>
              <w:keepNext w:val="true"/>
              <w:spacing w:before="60" w:after="60"/>
              <w:jc w:val="center"/>
              <w:rPr>
                <w:b/>
                <w:b/>
                <w:sz w:val="24"/>
                <w:szCs w:val="24"/>
              </w:rPr>
            </w:pPr>
            <w:r>
              <w:rPr>
                <w:b/>
                <w:sz w:val="24"/>
                <w:szCs w:val="24"/>
              </w:rPr>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3.1.</w:t>
            </w:r>
          </w:p>
        </w:tc>
        <w:tc>
          <w:tcPr>
            <w:tcW w:w="9635" w:type="dxa"/>
            <w:tcBorders/>
            <w:shd w:fill="auto" w:val="clear"/>
            <w:tcMar>
              <w:left w:w="108" w:type="dxa"/>
            </w:tcMar>
          </w:tcPr>
          <w:p>
            <w:pPr>
              <w:pStyle w:val="Normal"/>
              <w:spacing w:before="20" w:after="0"/>
              <w:jc w:val="both"/>
              <w:rPr>
                <w:b/>
                <w:b/>
                <w:sz w:val="24"/>
                <w:szCs w:val="24"/>
              </w:rPr>
            </w:pPr>
            <w:r>
              <w:rPr>
                <w:bCs/>
                <w:sz w:val="24"/>
                <w:szCs w:val="24"/>
              </w:rPr>
              <w:t>Исполнитель оказывает услуги с соблюдением ВНД согласно п. 2.1 ТТ</w:t>
            </w:r>
          </w:p>
        </w:tc>
        <w:tc>
          <w:tcPr>
            <w:tcW w:w="3919" w:type="dxa"/>
            <w:tcBorders/>
            <w:shd w:fill="auto" w:val="clear"/>
            <w:tcMar>
              <w:left w:w="108" w:type="dxa"/>
            </w:tcMar>
          </w:tcPr>
          <w:p>
            <w:pPr>
              <w:pStyle w:val="Normal"/>
              <w:keepNext w:val="true"/>
              <w:spacing w:before="60" w:after="60"/>
              <w:rPr>
                <w:b/>
                <w:b/>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ListParagraph"/>
              <w:numPr>
                <w:ilvl w:val="0"/>
                <w:numId w:val="3"/>
              </w:numPr>
              <w:spacing w:before="60" w:after="60"/>
              <w:contextualSpacing/>
              <w:jc w:val="center"/>
              <w:rPr/>
            </w:pPr>
            <w:r>
              <w:rPr/>
            </w:r>
          </w:p>
        </w:tc>
        <w:tc>
          <w:tcPr>
            <w:tcW w:w="9635" w:type="dxa"/>
            <w:tcBorders/>
            <w:shd w:fill="auto" w:val="clear"/>
            <w:tcMar>
              <w:left w:w="108" w:type="dxa"/>
            </w:tcMar>
            <w:vAlign w:val="center"/>
          </w:tcPr>
          <w:p>
            <w:pPr>
              <w:pStyle w:val="Normal"/>
              <w:spacing w:before="20" w:after="0"/>
              <w:jc w:val="both"/>
              <w:rPr>
                <w:b/>
                <w:b/>
                <w:sz w:val="24"/>
                <w:szCs w:val="24"/>
              </w:rPr>
            </w:pPr>
            <w:r>
              <w:rPr>
                <w:b/>
                <w:sz w:val="24"/>
                <w:szCs w:val="24"/>
              </w:rPr>
              <w:t>Требования к ответственности и гарантиям исполнителя</w:t>
            </w:r>
          </w:p>
        </w:tc>
        <w:tc>
          <w:tcPr>
            <w:tcW w:w="3919" w:type="dxa"/>
            <w:tcBorders/>
            <w:shd w:fill="auto" w:val="clear"/>
            <w:tcMar>
              <w:left w:w="108" w:type="dxa"/>
            </w:tcMar>
          </w:tcPr>
          <w:p>
            <w:pPr>
              <w:pStyle w:val="Normal"/>
              <w:keepNext w:val="true"/>
              <w:spacing w:before="60" w:after="60"/>
              <w:jc w:val="center"/>
              <w:rPr>
                <w:b/>
                <w:b/>
                <w:sz w:val="24"/>
                <w:szCs w:val="24"/>
              </w:rPr>
            </w:pPr>
            <w:r>
              <w:rPr>
                <w:b/>
                <w:sz w:val="24"/>
                <w:szCs w:val="24"/>
              </w:rPr>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4.1.</w:t>
            </w:r>
          </w:p>
        </w:tc>
        <w:tc>
          <w:tcPr>
            <w:tcW w:w="9635" w:type="dxa"/>
            <w:tcBorders/>
            <w:shd w:fill="auto" w:val="clear"/>
            <w:tcMar>
              <w:left w:w="108" w:type="dxa"/>
            </w:tcMar>
            <w:vAlign w:val="center"/>
          </w:tcPr>
          <w:p>
            <w:pPr>
              <w:pStyle w:val="Normal"/>
              <w:spacing w:before="20" w:after="0"/>
              <w:jc w:val="both"/>
              <w:rPr>
                <w:b/>
                <w:b/>
                <w:sz w:val="24"/>
                <w:szCs w:val="24"/>
              </w:rPr>
            </w:pPr>
            <w:r>
              <w:rPr>
                <w:b/>
                <w:sz w:val="24"/>
                <w:szCs w:val="24"/>
              </w:rPr>
              <w:t>Ответственность Исполнителя</w:t>
            </w:r>
          </w:p>
        </w:tc>
        <w:tc>
          <w:tcPr>
            <w:tcW w:w="3919" w:type="dxa"/>
            <w:tcBorders/>
            <w:shd w:fill="auto" w:val="clear"/>
            <w:tcMar>
              <w:left w:w="108" w:type="dxa"/>
            </w:tcMar>
          </w:tcPr>
          <w:p>
            <w:pPr>
              <w:pStyle w:val="Normal"/>
              <w:keepNext w:val="true"/>
              <w:spacing w:before="60" w:after="60"/>
              <w:jc w:val="center"/>
              <w:rPr>
                <w:b/>
                <w:b/>
                <w:sz w:val="24"/>
                <w:szCs w:val="24"/>
              </w:rPr>
            </w:pPr>
            <w:r>
              <w:rPr>
                <w:b/>
                <w:sz w:val="24"/>
                <w:szCs w:val="24"/>
              </w:rPr>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4.1.1.</w:t>
            </w:r>
          </w:p>
        </w:tc>
        <w:tc>
          <w:tcPr>
            <w:tcW w:w="9635" w:type="dxa"/>
            <w:tcBorders/>
            <w:shd w:fill="auto" w:val="clear"/>
            <w:tcMar>
              <w:left w:w="108" w:type="dxa"/>
            </w:tcMar>
          </w:tcPr>
          <w:p>
            <w:pPr>
              <w:pStyle w:val="Normal"/>
              <w:rPr>
                <w:sz w:val="24"/>
                <w:szCs w:val="24"/>
              </w:rPr>
            </w:pPr>
            <w:r>
              <w:rPr>
                <w:sz w:val="24"/>
                <w:szCs w:val="24"/>
              </w:rPr>
              <w:t>Охранная организация несёт полную материальную ответственность за сохранность вверенных ей материальных ценностей.</w:t>
            </w:r>
          </w:p>
        </w:tc>
        <w:tc>
          <w:tcPr>
            <w:tcW w:w="3919" w:type="dxa"/>
            <w:tcBorders/>
            <w:shd w:fill="auto" w:val="clear"/>
            <w:tcMar>
              <w:left w:w="108" w:type="dxa"/>
            </w:tcMar>
          </w:tcPr>
          <w:p>
            <w:pPr>
              <w:pStyle w:val="Normal"/>
              <w:rPr>
                <w:b/>
                <w:b/>
                <w:bCs/>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4.1.2.</w:t>
            </w:r>
          </w:p>
        </w:tc>
        <w:tc>
          <w:tcPr>
            <w:tcW w:w="9635" w:type="dxa"/>
            <w:tcBorders/>
            <w:shd w:fill="auto" w:val="clear"/>
            <w:tcMar>
              <w:left w:w="108" w:type="dxa"/>
            </w:tcMar>
          </w:tcPr>
          <w:p>
            <w:pPr>
              <w:pStyle w:val="Normal"/>
              <w:jc w:val="both"/>
              <w:rPr>
                <w:sz w:val="24"/>
                <w:szCs w:val="24"/>
              </w:rPr>
            </w:pPr>
            <w:r>
              <w:rPr>
                <w:sz w:val="24"/>
                <w:szCs w:val="24"/>
              </w:rPr>
              <w:t xml:space="preserve">Охранная организация несёт перед Заказчиком материальную ответственность в размере </w:t>
            </w:r>
            <w:r>
              <w:rPr>
                <w:b/>
                <w:sz w:val="24"/>
                <w:szCs w:val="24"/>
              </w:rPr>
              <w:t>50 000, 00 (пятьдесят тысяч) рублей за каждый факт</w:t>
            </w:r>
            <w:r>
              <w:rPr>
                <w:sz w:val="24"/>
                <w:szCs w:val="24"/>
              </w:rPr>
              <w:t xml:space="preserve"> нарушений, возложенных на Исполнителя по Договору обязательств.</w:t>
            </w:r>
          </w:p>
        </w:tc>
        <w:tc>
          <w:tcPr>
            <w:tcW w:w="3919" w:type="dxa"/>
            <w:tcBorders/>
            <w:shd w:fill="auto" w:val="clear"/>
            <w:tcMar>
              <w:left w:w="108" w:type="dxa"/>
            </w:tcMar>
          </w:tcPr>
          <w:p>
            <w:pPr>
              <w:pStyle w:val="Style39"/>
              <w:keepNext w:val="false"/>
              <w:numPr>
                <w:ilvl w:val="0"/>
                <w:numId w:val="0"/>
              </w:numPr>
              <w:spacing w:before="60" w:after="60"/>
              <w:jc w:val="left"/>
              <w:outlineLvl w:val="2"/>
              <w:rPr>
                <w:rFonts w:eastAsia="Times New Roman"/>
                <w:b w:val="false"/>
                <w:b w:val="false"/>
                <w:lang w:val="ru-RU" w:eastAsia="ru-RU"/>
              </w:rPr>
            </w:pPr>
            <w:r>
              <w:rPr>
                <w:b w:val="false"/>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4.1.3.</w:t>
            </w:r>
          </w:p>
        </w:tc>
        <w:tc>
          <w:tcPr>
            <w:tcW w:w="9635" w:type="dxa"/>
            <w:tcBorders/>
            <w:shd w:fill="auto" w:val="clear"/>
            <w:tcMar>
              <w:left w:w="108" w:type="dxa"/>
            </w:tcMar>
          </w:tcPr>
          <w:p>
            <w:pPr>
              <w:pStyle w:val="Normal"/>
              <w:jc w:val="both"/>
              <w:rPr>
                <w:sz w:val="24"/>
                <w:szCs w:val="24"/>
              </w:rPr>
            </w:pPr>
            <w:r>
              <w:rPr>
                <w:sz w:val="24"/>
                <w:szCs w:val="24"/>
              </w:rPr>
              <w:t>Перечень нарушений, за которые Заказчиком в отношении Исполнителя могут применяться штрафные санкции:</w:t>
            </w:r>
          </w:p>
          <w:p>
            <w:pPr>
              <w:pStyle w:val="Normal"/>
              <w:jc w:val="both"/>
              <w:rPr>
                <w:sz w:val="24"/>
                <w:szCs w:val="24"/>
              </w:rPr>
            </w:pPr>
            <w:r>
              <w:rPr>
                <w:sz w:val="24"/>
                <w:szCs w:val="24"/>
              </w:rPr>
              <w:t>4.1.3.1. Факт выставления на посту охраны сотрудника, не имеющего удостоверения частного охранника, личной карточки охранника, не состоящего в трудовых отношениях с охранной организацией, не соответствующего требованиям к персоналу, обеспечивающему безопасность объектов ТЭК, и, соответственно, не имеющего права заниматься охранной деятельностью на объектах филиала.</w:t>
            </w:r>
          </w:p>
          <w:p>
            <w:pPr>
              <w:pStyle w:val="Normal"/>
              <w:jc w:val="both"/>
              <w:rPr>
                <w:sz w:val="24"/>
                <w:szCs w:val="24"/>
              </w:rPr>
            </w:pPr>
            <w:r>
              <w:rPr>
                <w:sz w:val="24"/>
                <w:szCs w:val="24"/>
              </w:rPr>
              <w:t>4.1.3.2. Факт не выставления в установленные графиком дежурства сроки и/или выставления поста охраны в неполном численном составе и/или с нарушением максимальной продолжительности смены и режима отдыха работников.</w:t>
            </w:r>
          </w:p>
          <w:p>
            <w:pPr>
              <w:pStyle w:val="Normal"/>
              <w:jc w:val="both"/>
              <w:rPr>
                <w:sz w:val="24"/>
                <w:szCs w:val="24"/>
              </w:rPr>
            </w:pPr>
            <w:r>
              <w:rPr>
                <w:sz w:val="24"/>
                <w:szCs w:val="24"/>
              </w:rPr>
              <w:t>4.1.3.3. Факт самовольного оставления поста или охраняемого объекта, а также несогласованного со старшим смены или начальником поста объекта охраны временного отсутствия на рабочем месте (посту) того или иного охранника из состава дежурной смены либо оставления поста дежурной сменой в полном составе.</w:t>
            </w:r>
          </w:p>
          <w:p>
            <w:pPr>
              <w:pStyle w:val="Normal"/>
              <w:jc w:val="both"/>
              <w:rPr>
                <w:sz w:val="24"/>
                <w:szCs w:val="24"/>
              </w:rPr>
            </w:pPr>
            <w:r>
              <w:rPr>
                <w:sz w:val="24"/>
                <w:szCs w:val="24"/>
              </w:rPr>
              <w:t xml:space="preserve">4.1.3.4. Факт (документально оформленный, в том числе с применением средств фото- и видео фиксации) курения в помещении, употребления спиртных напитков (наркотических веществ), просмотра фото, видео материалов, печатных изданий, интернет ресурсов и выполнения работ (оказание услуг), не связанных с обязанностями охранной организации по Договору, а также сна и отдыха (лежа) охранником в составе дежурной смены на рабочем месте (посту охраны). </w:t>
            </w:r>
          </w:p>
          <w:p>
            <w:pPr>
              <w:pStyle w:val="Normal"/>
              <w:jc w:val="both"/>
              <w:rPr>
                <w:sz w:val="24"/>
                <w:szCs w:val="24"/>
              </w:rPr>
            </w:pPr>
            <w:r>
              <w:rPr>
                <w:sz w:val="24"/>
                <w:szCs w:val="24"/>
              </w:rPr>
              <w:t>4.1.3.5. Факт (документально оформленный, в том числе с применением средств фото- и видео фиксации) ведения работниками охранной организации личных разговоров с использованием представленных Заказчиком средств связи.</w:t>
            </w:r>
          </w:p>
          <w:p>
            <w:pPr>
              <w:pStyle w:val="Normal"/>
              <w:jc w:val="both"/>
              <w:rPr>
                <w:sz w:val="24"/>
                <w:szCs w:val="24"/>
              </w:rPr>
            </w:pPr>
            <w:r>
              <w:rPr>
                <w:sz w:val="24"/>
                <w:szCs w:val="24"/>
              </w:rPr>
              <w:t xml:space="preserve">4.1.3.6. Факт (документально оформленный, в том числе с применением средств фото- и видео фиксации) невыполнения охранниками обязанности по проведению обхода охраняемой территории (зданий, помещений), в соответствии с утверждёнными и согласованными с Заказчиком графиком и схемой обхода, постовой документацией. </w:t>
            </w:r>
          </w:p>
          <w:p>
            <w:pPr>
              <w:pStyle w:val="Normal"/>
              <w:jc w:val="both"/>
              <w:rPr>
                <w:sz w:val="24"/>
                <w:szCs w:val="24"/>
              </w:rPr>
            </w:pPr>
            <w:r>
              <w:rPr>
                <w:sz w:val="24"/>
                <w:szCs w:val="24"/>
              </w:rPr>
              <w:t>4.1.3.7. Факт хищения имущества Заказчика на территории охраняемого объекта посторонними лицами, персоналом подрядных организаций, выполняющим работы для Заказчика на территории охраняемого объекта, работниками Заказчика или охранной организации.</w:t>
            </w:r>
          </w:p>
          <w:p>
            <w:pPr>
              <w:pStyle w:val="Normal"/>
              <w:jc w:val="both"/>
              <w:rPr>
                <w:sz w:val="24"/>
                <w:szCs w:val="24"/>
              </w:rPr>
            </w:pPr>
            <w:r>
              <w:rPr>
                <w:sz w:val="24"/>
                <w:szCs w:val="24"/>
              </w:rPr>
              <w:t>4.1.3.8. Факт повреждения (уничтожения) работниками охранной организации умышленно или по неосторожности (вследствие халатности) ИТСО или иного имущества Заказчика и (или) его работников, подрядных организаций, выполняющих работы для Заказчика на территории охраняемого объекта.</w:t>
            </w:r>
          </w:p>
          <w:p>
            <w:pPr>
              <w:pStyle w:val="Normal"/>
              <w:jc w:val="both"/>
              <w:rPr>
                <w:sz w:val="24"/>
                <w:szCs w:val="24"/>
              </w:rPr>
            </w:pPr>
            <w:r>
              <w:rPr>
                <w:sz w:val="24"/>
                <w:szCs w:val="24"/>
              </w:rPr>
              <w:t>4.1.3.9. Факт допуска сотрудником охранной организации входа (выхода) лиц, въезда (выезда) транспортных средств, ввоза (вывоза) и (или) вноса (выноса) имущества без предъявления документов (пропусков), дающих право на вход (выход) лиц, въезд (выезд) транспортных средств, внос (вынос), ввоз (вывоз) имущества на объекты охраны (с объектов охраны), то есть с нарушением требований пропускного и внутриобъектового режимов Заказчика.</w:t>
            </w:r>
          </w:p>
          <w:p>
            <w:pPr>
              <w:pStyle w:val="Normal"/>
              <w:jc w:val="both"/>
              <w:rPr>
                <w:sz w:val="24"/>
                <w:szCs w:val="24"/>
              </w:rPr>
            </w:pPr>
            <w:r>
              <w:rPr>
                <w:sz w:val="24"/>
                <w:szCs w:val="24"/>
              </w:rPr>
              <w:t>4.1.3.10. Факт оказания работниками частной охранной (охранной) организации охранных услуг по Договору с нарушением установленных Правил, в соответствии с п. 2 которых при оказании охранных услуг не допускается ношение:</w:t>
            </w:r>
          </w:p>
          <w:p>
            <w:pPr>
              <w:pStyle w:val="Normal"/>
              <w:jc w:val="both"/>
              <w:rPr>
                <w:sz w:val="24"/>
                <w:szCs w:val="24"/>
              </w:rPr>
            </w:pPr>
            <w:r>
              <w:rPr>
                <w:sz w:val="24"/>
                <w:szCs w:val="24"/>
              </w:rPr>
              <w:t>а) отдельных предметов специальной форменной одежды совместно с иной одеждой;</w:t>
            </w:r>
          </w:p>
          <w:p>
            <w:pPr>
              <w:pStyle w:val="Normal"/>
              <w:jc w:val="both"/>
              <w:rPr>
                <w:sz w:val="24"/>
                <w:szCs w:val="24"/>
              </w:rPr>
            </w:pPr>
            <w:r>
              <w:rPr>
                <w:sz w:val="24"/>
                <w:szCs w:val="24"/>
              </w:rPr>
              <w:t>б) специальной форменной одежды, аналогичной форме одежды сотрудников правоохранительных органов и военнослужащих, а также сходной с ними до степени смешения;</w:t>
            </w:r>
          </w:p>
          <w:p>
            <w:pPr>
              <w:pStyle w:val="Normal"/>
              <w:jc w:val="both"/>
              <w:rPr>
                <w:sz w:val="24"/>
                <w:szCs w:val="24"/>
              </w:rPr>
            </w:pPr>
            <w:r>
              <w:rPr>
                <w:sz w:val="24"/>
                <w:szCs w:val="24"/>
              </w:rPr>
              <w:t>в) специальной форменной одежды без личной карточки охранника и удостоверения частного охранника, а также не позволяющей определить принадлежность работников частной охранной/охранной организации к конкретной частной охранной/охранной организации;</w:t>
            </w:r>
          </w:p>
          <w:p>
            <w:pPr>
              <w:pStyle w:val="Normal"/>
              <w:jc w:val="both"/>
              <w:rPr>
                <w:sz w:val="24"/>
                <w:szCs w:val="24"/>
              </w:rPr>
            </w:pPr>
            <w:r>
              <w:rPr>
                <w:sz w:val="24"/>
                <w:szCs w:val="24"/>
              </w:rPr>
              <w:t>в соответствии с п. 3 – необходимо обеспечить в ходе оказания охранных услуг чистое и аккуратное ношение специальной форменной одежды работниками частной охранной/охранной организации.</w:t>
            </w:r>
          </w:p>
          <w:p>
            <w:pPr>
              <w:pStyle w:val="Normal"/>
              <w:jc w:val="both"/>
              <w:rPr>
                <w:sz w:val="24"/>
                <w:szCs w:val="24"/>
              </w:rPr>
            </w:pPr>
            <w:r>
              <w:rPr>
                <w:sz w:val="24"/>
                <w:szCs w:val="24"/>
              </w:rPr>
              <w:t xml:space="preserve">4.1.3.11. Факт отсутствия у охранников во время несения службы на объектах охраны филиала специальных средств либо несоответствия количества и наименования специальных средств требованиям Заказчика, установленным в настоящих ТТ, Договоре оказания охранных услуг и задания к нему. </w:t>
            </w:r>
          </w:p>
          <w:p>
            <w:pPr>
              <w:pStyle w:val="Normal"/>
              <w:jc w:val="both"/>
              <w:rPr>
                <w:sz w:val="24"/>
                <w:szCs w:val="24"/>
              </w:rPr>
            </w:pPr>
            <w:r>
              <w:rPr>
                <w:sz w:val="24"/>
                <w:szCs w:val="24"/>
              </w:rPr>
              <w:t>4.1.3.12. Факт невыполнение в процессе несения службы на объектах ТЭК филиала персоналом охранной организации Правил приобретения, учета, хранения и ношения специальных средств.</w:t>
            </w:r>
          </w:p>
          <w:p>
            <w:pPr>
              <w:pStyle w:val="Normal"/>
              <w:jc w:val="both"/>
              <w:rPr>
                <w:sz w:val="24"/>
                <w:szCs w:val="24"/>
              </w:rPr>
            </w:pPr>
            <w:r>
              <w:rPr>
                <w:sz w:val="24"/>
                <w:szCs w:val="24"/>
              </w:rPr>
              <w:t>4.1.3.13. Факт (документально оформленный, в том числе с применением средств фото- и видео фиксации) разглашения работниками охранной организации какой-либо информации об объекте, системах охраны, имуществе и персонале Заказчика, совершение на территории объекта охраны иных противоправных действий, не связанных с оказанием охранных услуг.</w:t>
            </w:r>
          </w:p>
          <w:p>
            <w:pPr>
              <w:pStyle w:val="Normal"/>
              <w:jc w:val="both"/>
              <w:rPr>
                <w:sz w:val="24"/>
                <w:szCs w:val="24"/>
              </w:rPr>
            </w:pPr>
            <w:r>
              <w:rPr>
                <w:sz w:val="24"/>
                <w:szCs w:val="24"/>
              </w:rPr>
              <w:t>4.1.3.14. Факт нахождения посторонних лиц и работников Заказчика на территории объекта охраны в нерабочее время без согласования с Заказчиком.</w:t>
            </w:r>
          </w:p>
          <w:p>
            <w:pPr>
              <w:pStyle w:val="Normal"/>
              <w:rPr>
                <w:sz w:val="24"/>
                <w:szCs w:val="24"/>
              </w:rPr>
            </w:pPr>
            <w:r>
              <w:rPr>
                <w:sz w:val="24"/>
                <w:szCs w:val="24"/>
              </w:rPr>
              <w:t>4.1.3.15. Исключительная ответственность, в том числе материальная, за действия посторонних лиц на объекте охраны и негативные последствия их пребывания на объекте возлагается на Исполнителя по Договору.</w:t>
            </w:r>
          </w:p>
        </w:tc>
        <w:tc>
          <w:tcPr>
            <w:tcW w:w="3919" w:type="dxa"/>
            <w:tcBorders/>
            <w:shd w:fill="auto" w:val="clear"/>
            <w:tcMar>
              <w:left w:w="108" w:type="dxa"/>
            </w:tcMar>
          </w:tcPr>
          <w:p>
            <w:pPr>
              <w:pStyle w:val="Style39"/>
              <w:keepNext w:val="false"/>
              <w:numPr>
                <w:ilvl w:val="0"/>
                <w:numId w:val="0"/>
              </w:numPr>
              <w:spacing w:before="60" w:after="60"/>
              <w:jc w:val="left"/>
              <w:outlineLvl w:val="2"/>
              <w:rPr>
                <w:rFonts w:eastAsia="Times New Roman"/>
                <w:b w:val="false"/>
                <w:b w:val="false"/>
                <w:lang w:val="ru-RU" w:eastAsia="ru-RU"/>
              </w:rPr>
            </w:pPr>
            <w:r>
              <w:rPr>
                <w:b w:val="false"/>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4.1.4.</w:t>
            </w:r>
          </w:p>
        </w:tc>
        <w:tc>
          <w:tcPr>
            <w:tcW w:w="9635" w:type="dxa"/>
            <w:tcBorders/>
            <w:shd w:fill="auto" w:val="clear"/>
            <w:tcMar>
              <w:left w:w="108" w:type="dxa"/>
            </w:tcMar>
          </w:tcPr>
          <w:p>
            <w:pPr>
              <w:pStyle w:val="Normal"/>
              <w:jc w:val="both"/>
              <w:rPr>
                <w:sz w:val="24"/>
                <w:szCs w:val="24"/>
              </w:rPr>
            </w:pPr>
            <w:r>
              <w:rPr>
                <w:sz w:val="24"/>
                <w:szCs w:val="24"/>
              </w:rPr>
              <w:t>Исполнитель обязан обеспечить в процессе оказания охранных услуг по Договору полное и качественное выполнение персоналом обязанностей охранной организации, предусмотренных настоящими ТТ, соответствующим разделом Договора и задания к нему, а также неукоснительное выполнение норм законодательных и иных нормативно-правовых актов, регламентирующих оказание охранных услуг, в том числе на объектах ТЭК, и деятельность частных охранных (охранных) организаций в целом, перечень которых содержится в разделе 5 настоящих ТТ, соответствующем разделе Договора и задания к нему, а равно локальных нормативных актов Заказчика, включая инструкции по пропускному и внутриобъектовому режимам на объектах филиала АО «ДРСК».</w:t>
            </w:r>
          </w:p>
        </w:tc>
        <w:tc>
          <w:tcPr>
            <w:tcW w:w="3919" w:type="dxa"/>
            <w:tcBorders/>
            <w:shd w:fill="auto" w:val="clear"/>
            <w:tcMar>
              <w:left w:w="108" w:type="dxa"/>
            </w:tcMar>
          </w:tcPr>
          <w:p>
            <w:pPr>
              <w:pStyle w:val="Style39"/>
              <w:keepNext w:val="false"/>
              <w:numPr>
                <w:ilvl w:val="0"/>
                <w:numId w:val="0"/>
              </w:numPr>
              <w:spacing w:before="60" w:after="60"/>
              <w:jc w:val="left"/>
              <w:outlineLvl w:val="2"/>
              <w:rPr>
                <w:rFonts w:eastAsia="Times New Roman"/>
                <w:b w:val="false"/>
                <w:b w:val="false"/>
                <w:lang w:val="ru-RU" w:eastAsia="ru-RU"/>
              </w:rPr>
            </w:pPr>
            <w:r>
              <w:rPr>
                <w:b w:val="false"/>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4.1.5.</w:t>
            </w:r>
          </w:p>
        </w:tc>
        <w:tc>
          <w:tcPr>
            <w:tcW w:w="9635" w:type="dxa"/>
            <w:tcBorders/>
            <w:shd w:fill="auto" w:val="clear"/>
            <w:tcMar>
              <w:left w:w="108" w:type="dxa"/>
            </w:tcMar>
          </w:tcPr>
          <w:p>
            <w:pPr>
              <w:pStyle w:val="Normal"/>
              <w:jc w:val="both"/>
              <w:rPr>
                <w:sz w:val="24"/>
                <w:szCs w:val="24"/>
              </w:rPr>
            </w:pPr>
            <w:r>
              <w:rPr>
                <w:sz w:val="24"/>
                <w:szCs w:val="24"/>
              </w:rPr>
              <w:t>Персонал охранной организации обязан предпринимать в случаях противоправного посягательства на жизнь и здоровье охраняемых лиц, имущество Заказчика, его работников и подрядных организаций Заказчика, выполняющих работы на территории объекта охраны, адекватные меры воздействия к правонарушителям, включая применение специальных средств и физической силы для предупреждения и пресечения таких посягательств, в случаях и порядке, предусмотренных действующим законодательством.</w:t>
            </w:r>
          </w:p>
        </w:tc>
        <w:tc>
          <w:tcPr>
            <w:tcW w:w="3919" w:type="dxa"/>
            <w:tcBorders/>
            <w:shd w:fill="auto" w:val="clear"/>
            <w:tcMar>
              <w:left w:w="108" w:type="dxa"/>
            </w:tcMar>
          </w:tcPr>
          <w:p>
            <w:pPr>
              <w:pStyle w:val="Style39"/>
              <w:keepNext w:val="false"/>
              <w:numPr>
                <w:ilvl w:val="0"/>
                <w:numId w:val="0"/>
              </w:numPr>
              <w:spacing w:before="60" w:after="60"/>
              <w:jc w:val="left"/>
              <w:outlineLvl w:val="2"/>
              <w:rPr>
                <w:rFonts w:eastAsia="Times New Roman"/>
                <w:b w:val="false"/>
                <w:b w:val="false"/>
                <w:lang w:val="ru-RU" w:eastAsia="ru-RU"/>
              </w:rPr>
            </w:pPr>
            <w:r>
              <w:rPr>
                <w:b w:val="false"/>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4.1.6.</w:t>
            </w:r>
          </w:p>
        </w:tc>
        <w:tc>
          <w:tcPr>
            <w:tcW w:w="9635" w:type="dxa"/>
            <w:tcBorders/>
            <w:shd w:fill="auto" w:val="clear"/>
            <w:tcMar>
              <w:left w:w="108" w:type="dxa"/>
            </w:tcMar>
          </w:tcPr>
          <w:p>
            <w:pPr>
              <w:pStyle w:val="Normal"/>
              <w:jc w:val="both"/>
              <w:rPr>
                <w:sz w:val="24"/>
                <w:szCs w:val="24"/>
              </w:rPr>
            </w:pPr>
            <w:r>
              <w:rPr>
                <w:sz w:val="24"/>
                <w:szCs w:val="24"/>
              </w:rPr>
              <w:t>Персонал охранной организации обязан обеспечить ношение и хранение специальных средств в процессе оказания охранных услуг в полном соответствии с требованиями Правил приобретения, учета, хранения и ношения специальных средств.</w:t>
            </w:r>
          </w:p>
        </w:tc>
        <w:tc>
          <w:tcPr>
            <w:tcW w:w="3919" w:type="dxa"/>
            <w:tcBorders/>
            <w:shd w:fill="auto" w:val="clear"/>
            <w:tcMar>
              <w:left w:w="108" w:type="dxa"/>
            </w:tcMar>
          </w:tcPr>
          <w:p>
            <w:pPr>
              <w:pStyle w:val="Style39"/>
              <w:keepNext w:val="false"/>
              <w:numPr>
                <w:ilvl w:val="0"/>
                <w:numId w:val="0"/>
              </w:numPr>
              <w:spacing w:before="60" w:after="60"/>
              <w:jc w:val="left"/>
              <w:outlineLvl w:val="2"/>
              <w:rPr>
                <w:rFonts w:eastAsia="Times New Roman"/>
                <w:b w:val="false"/>
                <w:b w:val="false"/>
                <w:lang w:val="ru-RU" w:eastAsia="ru-RU"/>
              </w:rPr>
            </w:pPr>
            <w:r>
              <w:rPr>
                <w:b w:val="false"/>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4.1.7.</w:t>
            </w:r>
          </w:p>
        </w:tc>
        <w:tc>
          <w:tcPr>
            <w:tcW w:w="9635" w:type="dxa"/>
            <w:tcBorders/>
            <w:shd w:fill="auto" w:val="clear"/>
            <w:tcMar>
              <w:left w:w="108" w:type="dxa"/>
            </w:tcMar>
          </w:tcPr>
          <w:p>
            <w:pPr>
              <w:pStyle w:val="Normal"/>
              <w:jc w:val="both"/>
              <w:rPr>
                <w:sz w:val="24"/>
                <w:szCs w:val="24"/>
              </w:rPr>
            </w:pPr>
            <w:r>
              <w:rPr>
                <w:sz w:val="24"/>
                <w:szCs w:val="24"/>
              </w:rPr>
              <w:t>Исполнитель обязан перед началом каждой рабочей смены, установленной графиком несения дежурства, проводить проверку работников охранной организации на предмет отсутствия признаков алкогольного, наркотического или токсического опьянения с последующим отстранением от работы охранника в случае обнаружения у него соответствующих признаков, и его заменой в составе дежурной смены в установленном порядке.</w:t>
            </w:r>
          </w:p>
        </w:tc>
        <w:tc>
          <w:tcPr>
            <w:tcW w:w="3919" w:type="dxa"/>
            <w:tcBorders/>
            <w:shd w:fill="auto" w:val="clear"/>
            <w:tcMar>
              <w:left w:w="108" w:type="dxa"/>
            </w:tcMar>
          </w:tcPr>
          <w:p>
            <w:pPr>
              <w:pStyle w:val="Style39"/>
              <w:keepNext w:val="false"/>
              <w:numPr>
                <w:ilvl w:val="0"/>
                <w:numId w:val="0"/>
              </w:numPr>
              <w:spacing w:before="60" w:after="60"/>
              <w:jc w:val="left"/>
              <w:outlineLvl w:val="2"/>
              <w:rPr>
                <w:rFonts w:eastAsia="Times New Roman"/>
                <w:b w:val="false"/>
                <w:b w:val="false"/>
                <w:lang w:val="ru-RU" w:eastAsia="ru-RU"/>
              </w:rPr>
            </w:pPr>
            <w:r>
              <w:rPr>
                <w:b w:val="false"/>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4.1.8.</w:t>
            </w:r>
          </w:p>
        </w:tc>
        <w:tc>
          <w:tcPr>
            <w:tcW w:w="9635" w:type="dxa"/>
            <w:tcBorders/>
            <w:shd w:fill="auto" w:val="clear"/>
            <w:tcMar>
              <w:left w:w="108" w:type="dxa"/>
            </w:tcMar>
          </w:tcPr>
          <w:p>
            <w:pPr>
              <w:pStyle w:val="Normal"/>
              <w:jc w:val="both"/>
              <w:rPr>
                <w:sz w:val="24"/>
                <w:szCs w:val="24"/>
              </w:rPr>
            </w:pPr>
            <w:r>
              <w:rPr>
                <w:sz w:val="24"/>
                <w:szCs w:val="24"/>
              </w:rPr>
              <w:t>Персонал Исполнителя обязан нести службу на объекте охраны в чистой, аккуратной, по сезону (для службы в помещении и на улице в любую погоду), форменной одежде работника частной охранной (охранной) организации, с логотипами охранной организации, не допуская ношение отдельных предметов специальной форменной одежды совместно с иной одеждой, а также обязательно иметь при себе: действующее удостоверение частного охранника установленного образца, личную карточку охранника с записью о принадлежности к конкретной охранной организации, выданные в установленном порядке.</w:t>
            </w:r>
          </w:p>
        </w:tc>
        <w:tc>
          <w:tcPr>
            <w:tcW w:w="3919" w:type="dxa"/>
            <w:tcBorders/>
            <w:shd w:fill="auto" w:val="clear"/>
            <w:tcMar>
              <w:left w:w="108" w:type="dxa"/>
            </w:tcMar>
          </w:tcPr>
          <w:p>
            <w:pPr>
              <w:pStyle w:val="Style39"/>
              <w:keepNext w:val="false"/>
              <w:numPr>
                <w:ilvl w:val="0"/>
                <w:numId w:val="0"/>
              </w:numPr>
              <w:spacing w:before="60" w:after="60"/>
              <w:jc w:val="left"/>
              <w:outlineLvl w:val="2"/>
              <w:rPr>
                <w:rFonts w:eastAsia="Times New Roman"/>
                <w:b w:val="false"/>
                <w:b w:val="false"/>
                <w:lang w:val="ru-RU" w:eastAsia="ru-RU"/>
              </w:rPr>
            </w:pPr>
            <w:r>
              <w:rPr>
                <w:b w:val="false"/>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4.1.9.</w:t>
            </w:r>
          </w:p>
        </w:tc>
        <w:tc>
          <w:tcPr>
            <w:tcW w:w="9635" w:type="dxa"/>
            <w:tcBorders/>
            <w:shd w:fill="auto" w:val="clear"/>
            <w:tcMar>
              <w:left w:w="108" w:type="dxa"/>
            </w:tcMar>
          </w:tcPr>
          <w:p>
            <w:pPr>
              <w:pStyle w:val="Normal"/>
              <w:jc w:val="both"/>
              <w:rPr>
                <w:sz w:val="24"/>
                <w:szCs w:val="24"/>
              </w:rPr>
            </w:pPr>
            <w:r>
              <w:rPr>
                <w:sz w:val="24"/>
                <w:szCs w:val="24"/>
              </w:rPr>
              <w:t>Состав дежурной смены определяется количеством постов в соответствии с Договором на оказание охранных услуг  и  графиком дежурств, утверждённым руководством Исполнителя и согласованным Заказчиком.</w:t>
            </w:r>
          </w:p>
        </w:tc>
        <w:tc>
          <w:tcPr>
            <w:tcW w:w="3919" w:type="dxa"/>
            <w:tcBorders/>
            <w:shd w:fill="auto" w:val="clear"/>
            <w:tcMar>
              <w:left w:w="108" w:type="dxa"/>
            </w:tcMar>
          </w:tcPr>
          <w:p>
            <w:pPr>
              <w:pStyle w:val="Style39"/>
              <w:keepNext w:val="false"/>
              <w:numPr>
                <w:ilvl w:val="0"/>
                <w:numId w:val="0"/>
              </w:numPr>
              <w:spacing w:before="60" w:after="60"/>
              <w:jc w:val="left"/>
              <w:outlineLvl w:val="2"/>
              <w:rPr>
                <w:rFonts w:eastAsia="Times New Roman"/>
                <w:b w:val="false"/>
                <w:b w:val="false"/>
                <w:lang w:val="ru-RU" w:eastAsia="ru-RU"/>
              </w:rPr>
            </w:pPr>
            <w:r>
              <w:rPr>
                <w:b w:val="false"/>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4.1.10.</w:t>
            </w:r>
          </w:p>
        </w:tc>
        <w:tc>
          <w:tcPr>
            <w:tcW w:w="9635" w:type="dxa"/>
            <w:tcBorders/>
            <w:shd w:fill="auto" w:val="clear"/>
            <w:tcMar>
              <w:left w:w="108" w:type="dxa"/>
            </w:tcMar>
          </w:tcPr>
          <w:p>
            <w:pPr>
              <w:pStyle w:val="Normal"/>
              <w:jc w:val="both"/>
              <w:rPr>
                <w:sz w:val="24"/>
                <w:szCs w:val="24"/>
              </w:rPr>
            </w:pPr>
            <w:r>
              <w:rPr>
                <w:sz w:val="24"/>
                <w:szCs w:val="24"/>
              </w:rPr>
              <w:t xml:space="preserve">Досматривать транспорт въезжающий (выезжающий) на территорию склада, в целях исключения фактов хищения ТМЦ и проникновения на склад посторонних лиц. </w:t>
            </w:r>
          </w:p>
          <w:p>
            <w:pPr>
              <w:pStyle w:val="Normal"/>
              <w:jc w:val="both"/>
              <w:rPr>
                <w:sz w:val="24"/>
                <w:szCs w:val="24"/>
              </w:rPr>
            </w:pPr>
            <w:r>
              <w:rPr>
                <w:sz w:val="24"/>
                <w:szCs w:val="24"/>
              </w:rPr>
              <w:t>При выносе, вывозе ТМЦ тщательно проверять соответствие наименований, количества материалов с записью в материальном пропуске, а также соответствие подписей уполномоченных на их подписание лиц.</w:t>
            </w:r>
          </w:p>
        </w:tc>
        <w:tc>
          <w:tcPr>
            <w:tcW w:w="3919" w:type="dxa"/>
            <w:tcBorders/>
            <w:shd w:fill="auto" w:val="clear"/>
            <w:tcMar>
              <w:left w:w="108" w:type="dxa"/>
            </w:tcMar>
          </w:tcPr>
          <w:p>
            <w:pPr>
              <w:pStyle w:val="Style39"/>
              <w:keepNext w:val="false"/>
              <w:numPr>
                <w:ilvl w:val="0"/>
                <w:numId w:val="0"/>
              </w:numPr>
              <w:spacing w:before="60" w:after="60"/>
              <w:jc w:val="left"/>
              <w:outlineLvl w:val="2"/>
              <w:rPr>
                <w:rFonts w:eastAsia="Times New Roman"/>
                <w:b w:val="false"/>
                <w:b w:val="false"/>
                <w:lang w:val="ru-RU" w:eastAsia="ru-RU"/>
              </w:rPr>
            </w:pPr>
            <w:r>
              <w:rPr>
                <w:b w:val="false"/>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4.1.11.</w:t>
            </w:r>
          </w:p>
        </w:tc>
        <w:tc>
          <w:tcPr>
            <w:tcW w:w="9635" w:type="dxa"/>
            <w:tcBorders/>
            <w:shd w:fill="auto" w:val="clear"/>
            <w:tcMar>
              <w:left w:w="108" w:type="dxa"/>
            </w:tcMar>
          </w:tcPr>
          <w:p>
            <w:pPr>
              <w:pStyle w:val="Normal"/>
              <w:jc w:val="both"/>
              <w:rPr>
                <w:sz w:val="24"/>
                <w:szCs w:val="24"/>
              </w:rPr>
            </w:pPr>
            <w:r>
              <w:rPr>
                <w:sz w:val="24"/>
                <w:szCs w:val="24"/>
              </w:rPr>
              <w:t>При заступлении на дежурство, сотрудник охраны должен:</w:t>
            </w:r>
          </w:p>
          <w:p>
            <w:pPr>
              <w:pStyle w:val="Normal"/>
              <w:jc w:val="both"/>
              <w:rPr>
                <w:sz w:val="24"/>
                <w:szCs w:val="24"/>
              </w:rPr>
            </w:pPr>
            <w:r>
              <w:rPr>
                <w:sz w:val="24"/>
                <w:szCs w:val="24"/>
              </w:rPr>
              <w:t>- убедиться в исправности средств связи (телефон, кнопка тревожной сигнализации);</w:t>
            </w:r>
          </w:p>
          <w:p>
            <w:pPr>
              <w:pStyle w:val="Normal"/>
              <w:jc w:val="both"/>
              <w:rPr>
                <w:sz w:val="24"/>
                <w:szCs w:val="24"/>
              </w:rPr>
            </w:pPr>
            <w:r>
              <w:rPr>
                <w:sz w:val="24"/>
                <w:szCs w:val="24"/>
              </w:rPr>
              <w:t xml:space="preserve"> </w:t>
            </w:r>
            <w:r>
              <w:rPr>
                <w:sz w:val="24"/>
                <w:szCs w:val="24"/>
              </w:rPr>
              <w:t>- проверить охраняемую территорию, убедиться в целостности запорных устройств, наличие пломб и замков на контейнерах, зданиях склада и внести соответствующие записи (при наличии замечания) в Журнал «приема-сдачи дежурства»;</w:t>
            </w:r>
          </w:p>
          <w:p>
            <w:pPr>
              <w:pStyle w:val="Normal"/>
              <w:jc w:val="both"/>
              <w:rPr>
                <w:sz w:val="24"/>
                <w:szCs w:val="24"/>
              </w:rPr>
            </w:pPr>
            <w:r>
              <w:rPr>
                <w:sz w:val="24"/>
                <w:szCs w:val="24"/>
              </w:rPr>
              <w:t>- о принятии смены доложить непосредственному руководителю (начальнику отделения и т. п.).</w:t>
            </w:r>
          </w:p>
        </w:tc>
        <w:tc>
          <w:tcPr>
            <w:tcW w:w="3919" w:type="dxa"/>
            <w:tcBorders/>
            <w:shd w:fill="auto" w:val="clear"/>
            <w:tcMar>
              <w:left w:w="108" w:type="dxa"/>
            </w:tcMar>
          </w:tcPr>
          <w:p>
            <w:pPr>
              <w:pStyle w:val="Style39"/>
              <w:keepNext w:val="false"/>
              <w:numPr>
                <w:ilvl w:val="0"/>
                <w:numId w:val="0"/>
              </w:numPr>
              <w:spacing w:before="60" w:after="60"/>
              <w:jc w:val="left"/>
              <w:outlineLvl w:val="2"/>
              <w:rPr>
                <w:rFonts w:eastAsia="Times New Roman"/>
                <w:b w:val="false"/>
                <w:b w:val="false"/>
                <w:lang w:val="ru-RU" w:eastAsia="ru-RU"/>
              </w:rPr>
            </w:pPr>
            <w:r>
              <w:rPr>
                <w:b w:val="false"/>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4.1.12.</w:t>
            </w:r>
          </w:p>
        </w:tc>
        <w:tc>
          <w:tcPr>
            <w:tcW w:w="9635" w:type="dxa"/>
            <w:tcBorders/>
            <w:shd w:fill="auto" w:val="clear"/>
            <w:tcMar>
              <w:left w:w="108" w:type="dxa"/>
            </w:tcMar>
          </w:tcPr>
          <w:p>
            <w:pPr>
              <w:pStyle w:val="Normal"/>
              <w:jc w:val="both"/>
              <w:rPr>
                <w:sz w:val="24"/>
                <w:szCs w:val="24"/>
              </w:rPr>
            </w:pPr>
            <w:r>
              <w:rPr>
                <w:sz w:val="24"/>
                <w:szCs w:val="24"/>
              </w:rPr>
              <w:t>Незамедлительно извещать Заказчика об обнаруженных обстоятельствах, угрожающих сохранности и безопасности Объектов. Вызвать (при необходимости) подразделения МВД и МЧС; должностные лица Заказчика. При авариях газо-, энерго-, водоснабжения на территории или вблизи Объектов немедленно сообщить о них Заказчику и в соответствующие обслуживающие организации, обеспечить принятие мер по ликвидации аварий и их последствий.</w:t>
            </w:r>
          </w:p>
        </w:tc>
        <w:tc>
          <w:tcPr>
            <w:tcW w:w="3919" w:type="dxa"/>
            <w:tcBorders/>
            <w:shd w:fill="auto" w:val="clear"/>
            <w:tcMar>
              <w:left w:w="108" w:type="dxa"/>
            </w:tcMar>
          </w:tcPr>
          <w:p>
            <w:pPr>
              <w:pStyle w:val="Style39"/>
              <w:keepNext w:val="false"/>
              <w:numPr>
                <w:ilvl w:val="0"/>
                <w:numId w:val="0"/>
              </w:numPr>
              <w:spacing w:before="60" w:after="60"/>
              <w:jc w:val="left"/>
              <w:outlineLvl w:val="2"/>
              <w:rPr>
                <w:rFonts w:eastAsia="Times New Roman"/>
                <w:b w:val="false"/>
                <w:b w:val="false"/>
                <w:lang w:val="ru-RU" w:eastAsia="ru-RU"/>
              </w:rPr>
            </w:pPr>
            <w:r>
              <w:rPr>
                <w:b w:val="false"/>
              </w:rPr>
              <w:t>Согласие с требованиями</w:t>
            </w:r>
          </w:p>
        </w:tc>
      </w:tr>
      <w:tr>
        <w:trPr/>
        <w:tc>
          <w:tcPr>
            <w:tcW w:w="1705" w:type="dxa"/>
            <w:tcBorders/>
            <w:shd w:fill="auto" w:val="clear"/>
            <w:tcMar>
              <w:left w:w="108" w:type="dxa"/>
            </w:tcMar>
            <w:vAlign w:val="center"/>
          </w:tcPr>
          <w:p>
            <w:pPr>
              <w:pStyle w:val="ListParagraph"/>
              <w:numPr>
                <w:ilvl w:val="0"/>
                <w:numId w:val="3"/>
              </w:numPr>
              <w:spacing w:before="60" w:after="60"/>
              <w:contextualSpacing/>
              <w:jc w:val="center"/>
              <w:rPr/>
            </w:pPr>
            <w:commentRangeStart w:id="0"/>
            <w:r>
              <w:rPr/>
            </w:r>
          </w:p>
        </w:tc>
        <w:tc>
          <w:tcPr>
            <w:tcW w:w="9635" w:type="dxa"/>
            <w:tcBorders/>
            <w:shd w:fill="auto" w:val="clear"/>
            <w:tcMar>
              <w:left w:w="108" w:type="dxa"/>
            </w:tcMar>
            <w:vAlign w:val="center"/>
          </w:tcPr>
          <w:p>
            <w:pPr>
              <w:pStyle w:val="Normal"/>
              <w:keepNext w:val="true"/>
              <w:spacing w:before="60" w:after="60"/>
              <w:rPr>
                <w:b/>
                <w:b/>
                <w:sz w:val="24"/>
                <w:szCs w:val="24"/>
              </w:rPr>
            </w:pPr>
            <w:r>
              <w:rPr>
                <w:b/>
                <w:sz w:val="24"/>
                <w:szCs w:val="24"/>
              </w:rPr>
              <w:t>Требования к обязательствам, влияющим на исполнение договора</w:t>
            </w:r>
            <w:commentRangeEnd w:id="0"/>
            <w:r>
              <w:commentReference w:id="0"/>
            </w:r>
            <w:r>
              <w:rPr>
                <w:b/>
                <w:sz w:val="24"/>
                <w:szCs w:val="24"/>
              </w:rPr>
            </w:r>
          </w:p>
        </w:tc>
        <w:tc>
          <w:tcPr>
            <w:tcW w:w="3919" w:type="dxa"/>
            <w:tcBorders/>
            <w:shd w:fill="auto" w:val="clear"/>
            <w:tcMar>
              <w:left w:w="108" w:type="dxa"/>
            </w:tcMar>
          </w:tcPr>
          <w:p>
            <w:pPr>
              <w:pStyle w:val="Normal"/>
              <w:keepNext w:val="true"/>
              <w:spacing w:before="60" w:after="60"/>
              <w:jc w:val="center"/>
              <w:rPr>
                <w:b/>
                <w:b/>
                <w:sz w:val="24"/>
                <w:szCs w:val="24"/>
              </w:rPr>
            </w:pPr>
            <w:r>
              <w:rPr>
                <w:b/>
                <w:sz w:val="24"/>
                <w:szCs w:val="24"/>
              </w:rPr>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5.1.</w:t>
            </w:r>
          </w:p>
        </w:tc>
        <w:tc>
          <w:tcPr>
            <w:tcW w:w="9635" w:type="dxa"/>
            <w:tcBorders/>
            <w:shd w:fill="auto" w:val="clear"/>
            <w:tcMar>
              <w:left w:w="108" w:type="dxa"/>
            </w:tcMar>
          </w:tcPr>
          <w:p>
            <w:pPr>
              <w:pStyle w:val="Normal"/>
              <w:jc w:val="both"/>
              <w:rPr>
                <w:sz w:val="24"/>
                <w:szCs w:val="24"/>
              </w:rPr>
            </w:pPr>
            <w:r>
              <w:rPr>
                <w:sz w:val="24"/>
                <w:szCs w:val="24"/>
              </w:rPr>
              <w:t>Исполнитель обязан назначить своим приказом лиц, ответственных за соблюдение на охраняемых объектах требований по охране труда и технике безопасности, пожарной безопасности и охране окружающей среды, предоставить приказ Заказчику.</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5.2.</w:t>
            </w:r>
          </w:p>
        </w:tc>
        <w:tc>
          <w:tcPr>
            <w:tcW w:w="9635" w:type="dxa"/>
            <w:tcBorders/>
            <w:shd w:fill="auto" w:val="clear"/>
            <w:tcMar>
              <w:left w:w="108" w:type="dxa"/>
            </w:tcMar>
          </w:tcPr>
          <w:p>
            <w:pPr>
              <w:pStyle w:val="Normal"/>
              <w:jc w:val="both"/>
              <w:rPr>
                <w:sz w:val="24"/>
                <w:szCs w:val="24"/>
              </w:rPr>
            </w:pPr>
            <w:r>
              <w:rPr>
                <w:sz w:val="24"/>
                <w:szCs w:val="24"/>
              </w:rPr>
              <w:t xml:space="preserve">Исполнитель обязан </w:t>
            </w:r>
            <w:r>
              <w:rPr>
                <w:bCs/>
                <w:sz w:val="24"/>
                <w:szCs w:val="24"/>
              </w:rPr>
              <w:t>разместить информацию для персонала и посетителей Объектов охраны, содержащую сведения об использовании видеонаблюдения, условиях пропускного режима и сведения об охранной организации.</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5.3.</w:t>
            </w:r>
          </w:p>
        </w:tc>
        <w:tc>
          <w:tcPr>
            <w:tcW w:w="9635" w:type="dxa"/>
            <w:tcBorders/>
            <w:shd w:fill="auto" w:val="clear"/>
            <w:tcMar>
              <w:left w:w="108" w:type="dxa"/>
            </w:tcMar>
          </w:tcPr>
          <w:p>
            <w:pPr>
              <w:pStyle w:val="Normal"/>
              <w:jc w:val="both"/>
              <w:rPr>
                <w:bCs/>
                <w:sz w:val="24"/>
                <w:szCs w:val="24"/>
              </w:rPr>
            </w:pPr>
            <w:r>
              <w:rPr>
                <w:sz w:val="24"/>
                <w:szCs w:val="24"/>
              </w:rPr>
              <w:t xml:space="preserve">Исполнитель обязан </w:t>
            </w:r>
            <w:r>
              <w:rPr>
                <w:bCs/>
                <w:sz w:val="24"/>
                <w:szCs w:val="24"/>
              </w:rPr>
              <w:t>содержать в надлежащем порядке представленные Заказчиком служебно-бытовые помещения, оборудование, инвентарь, приборы контроля и управления техническими средствами охранно-пожарной сигнализации, видеонаблюдения, шлагбаумом, средства связи, другое имущество и эксплуатировать их согласно требованиям действующих нормативных документов.</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5.4.</w:t>
            </w:r>
          </w:p>
        </w:tc>
        <w:tc>
          <w:tcPr>
            <w:tcW w:w="9635" w:type="dxa"/>
            <w:tcBorders/>
            <w:shd w:fill="auto" w:val="clear"/>
            <w:tcMar>
              <w:left w:w="108" w:type="dxa"/>
            </w:tcMar>
          </w:tcPr>
          <w:p>
            <w:pPr>
              <w:pStyle w:val="Normal"/>
              <w:jc w:val="both"/>
              <w:rPr>
                <w:bCs/>
                <w:sz w:val="24"/>
                <w:szCs w:val="24"/>
              </w:rPr>
            </w:pPr>
            <w:r>
              <w:rPr>
                <w:sz w:val="24"/>
                <w:szCs w:val="24"/>
              </w:rPr>
              <w:t>Исполнитель самостоятельно осуществляет страхование своего персонала на охраняемых объектах ТЭК от несчастных случаев на производстве.</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5.5.</w:t>
            </w:r>
          </w:p>
        </w:tc>
        <w:tc>
          <w:tcPr>
            <w:tcW w:w="9635" w:type="dxa"/>
            <w:tcBorders/>
            <w:shd w:fill="auto" w:val="clear"/>
            <w:tcMar>
              <w:left w:w="108" w:type="dxa"/>
            </w:tcMar>
          </w:tcPr>
          <w:p>
            <w:pPr>
              <w:pStyle w:val="Normal"/>
              <w:jc w:val="both"/>
              <w:rPr>
                <w:sz w:val="24"/>
                <w:szCs w:val="24"/>
              </w:rPr>
            </w:pPr>
            <w:r>
              <w:rPr>
                <w:sz w:val="24"/>
                <w:szCs w:val="24"/>
              </w:rPr>
              <w:t>Исполнитель при поступлении информации о несчастном случае на производстве, незамедлительно поставив в известность о нём Заказчика, самостоятельно расследует и учитывает каждый несчастный случай, произошедший с работниками охранной организации на охраняемых объектах Заказчика, в соответствии с законодательством Российской Федерации.</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r>
        <w:trPr/>
        <w:tc>
          <w:tcPr>
            <w:tcW w:w="1705" w:type="dxa"/>
            <w:tcBorders/>
            <w:shd w:fill="auto" w:val="clear"/>
            <w:tcMar>
              <w:left w:w="108" w:type="dxa"/>
            </w:tcMar>
            <w:vAlign w:val="center"/>
          </w:tcPr>
          <w:p>
            <w:pPr>
              <w:pStyle w:val="Normal"/>
              <w:spacing w:before="60" w:after="60"/>
              <w:jc w:val="center"/>
              <w:rPr>
                <w:sz w:val="24"/>
                <w:szCs w:val="24"/>
              </w:rPr>
            </w:pPr>
            <w:r>
              <w:rPr>
                <w:sz w:val="24"/>
                <w:szCs w:val="24"/>
              </w:rPr>
              <w:t>5.6.</w:t>
            </w:r>
          </w:p>
        </w:tc>
        <w:tc>
          <w:tcPr>
            <w:tcW w:w="9635" w:type="dxa"/>
            <w:tcBorders/>
            <w:shd w:fill="auto" w:val="clear"/>
            <w:tcMar>
              <w:left w:w="108" w:type="dxa"/>
            </w:tcMar>
          </w:tcPr>
          <w:p>
            <w:pPr>
              <w:pStyle w:val="Normal"/>
              <w:jc w:val="both"/>
              <w:rPr>
                <w:sz w:val="24"/>
                <w:szCs w:val="24"/>
              </w:rPr>
            </w:pPr>
            <w:r>
              <w:rPr>
                <w:sz w:val="24"/>
                <w:szCs w:val="24"/>
              </w:rPr>
              <w:t>Исполнитель, при возникновении групповых, тяжёлых и несчастных случаев со смертельных исходом, являясь работодателем для пострадавших на охраняемых объектах Заказчика работников охранной организации, в соответствии со статьей 228.1 Трудового кодекса Российской Федерации, в течение суток самостоятельно направляет извещения о несчастном случае в соответствующие органы исполнительной власти, прокуратуры, исполнительный орган страховщика и территориальное объединение организаций профсоюзов.</w:t>
            </w:r>
          </w:p>
        </w:tc>
        <w:tc>
          <w:tcPr>
            <w:tcW w:w="3919" w:type="dxa"/>
            <w:tcBorders/>
            <w:shd w:fill="auto" w:val="clear"/>
            <w:tcMar>
              <w:left w:w="108" w:type="dxa"/>
            </w:tcMar>
          </w:tcPr>
          <w:p>
            <w:pPr>
              <w:pStyle w:val="Normal"/>
              <w:rPr>
                <w:sz w:val="24"/>
                <w:szCs w:val="24"/>
              </w:rPr>
            </w:pPr>
            <w:r>
              <w:rPr>
                <w:sz w:val="24"/>
                <w:szCs w:val="24"/>
              </w:rPr>
              <w:t>Согласие с требованиями</w:t>
            </w:r>
          </w:p>
        </w:tc>
      </w:tr>
    </w:tbl>
    <w:p>
      <w:pPr>
        <w:sectPr>
          <w:headerReference w:type="default" r:id="rId4"/>
          <w:type w:val="nextPage"/>
          <w:pgSz w:orient="landscape" w:w="16838" w:h="11906"/>
          <w:pgMar w:left="992" w:right="567" w:header="680" w:top="851" w:footer="0" w:bottom="851" w:gutter="0"/>
          <w:pgNumType w:fmt="decimal"/>
          <w:formProt w:val="false"/>
          <w:titlePg/>
          <w:textDirection w:val="lrTb"/>
          <w:docGrid w:type="default" w:linePitch="381" w:charSpace="4294952959"/>
        </w:sectPr>
      </w:pPr>
    </w:p>
    <w:p>
      <w:pPr>
        <w:pStyle w:val="1"/>
        <w:keepLines/>
        <w:numPr>
          <w:ilvl w:val="0"/>
          <w:numId w:val="2"/>
        </w:numPr>
        <w:ind w:left="357" w:hanging="357"/>
        <w:jc w:val="center"/>
        <w:rPr>
          <w:sz w:val="26"/>
          <w:szCs w:val="26"/>
          <w:lang w:val="ru-RU"/>
        </w:rPr>
      </w:pPr>
      <w:bookmarkStart w:id="44" w:name="_Toc51339699"/>
      <w:bookmarkStart w:id="45" w:name="_Toc46743519"/>
      <w:bookmarkStart w:id="46" w:name="_Toc54643710"/>
      <w:bookmarkStart w:id="47" w:name="_Toc53395937"/>
      <w:bookmarkStart w:id="48" w:name="_Toc53393312"/>
      <w:bookmarkEnd w:id="44"/>
      <w:bookmarkEnd w:id="45"/>
      <w:r>
        <w:rPr>
          <w:sz w:val="26"/>
          <w:szCs w:val="26"/>
          <w:lang w:val="ru-RU"/>
        </w:rPr>
        <w:t>Требования к документации по ценообразованию</w:t>
      </w:r>
      <w:bookmarkEnd w:id="47"/>
      <w:bookmarkEnd w:id="48"/>
      <w:bookmarkEnd w:id="46"/>
      <w:r>
        <w:rPr>
          <w:sz w:val="26"/>
          <w:szCs w:val="26"/>
          <w:lang w:val="ru-RU"/>
        </w:rPr>
        <w:t xml:space="preserve"> на этапе закупки</w:t>
      </w:r>
    </w:p>
    <w:p>
      <w:pPr>
        <w:pStyle w:val="Normal"/>
        <w:rPr>
          <w:sz w:val="24"/>
          <w:szCs w:val="24"/>
          <w:lang w:eastAsia="x-none"/>
        </w:rPr>
      </w:pPr>
      <w:r>
        <w:rPr>
          <w:sz w:val="24"/>
          <w:szCs w:val="24"/>
          <w:lang w:eastAsia="x-none"/>
        </w:rPr>
      </w:r>
    </w:p>
    <w:p>
      <w:pPr>
        <w:pStyle w:val="Normal"/>
        <w:ind w:firstLine="357"/>
        <w:jc w:val="both"/>
        <w:rPr>
          <w:sz w:val="26"/>
          <w:szCs w:val="26"/>
        </w:rPr>
      </w:pPr>
      <w:r>
        <w:rPr>
          <w:sz w:val="26"/>
          <w:szCs w:val="26"/>
        </w:rPr>
        <w:t>3.1. В обоснование стоимости заявки, Участник предоставляет коммерческое предложение по форме, предусмотренной в Документации о закупке.</w:t>
      </w:r>
    </w:p>
    <w:p>
      <w:pPr>
        <w:pStyle w:val="Normal"/>
        <w:ind w:firstLine="357"/>
        <w:jc w:val="both"/>
        <w:rPr>
          <w:sz w:val="26"/>
          <w:szCs w:val="26"/>
        </w:rPr>
      </w:pPr>
      <w:r>
        <w:rPr>
          <w:sz w:val="26"/>
          <w:szCs w:val="26"/>
        </w:rPr>
        <w:t>3.2. Сметная документация составлена Заказчиком в рамках определения начальной (максимальной) цены договора и включается в состав договора с применением понижающего коэффициента, предложенного победителем закупочной процедуры. Понижающий коэффициент начисляется в локальных сметах единым индексом в итогах (после начисления лимитированных затрат в случае составления одной сметы).</w:t>
      </w:r>
    </w:p>
    <w:p>
      <w:pPr>
        <w:pStyle w:val="Normal"/>
        <w:ind w:firstLine="357"/>
        <w:jc w:val="both"/>
        <w:rPr>
          <w:sz w:val="26"/>
          <w:szCs w:val="26"/>
        </w:rPr>
      </w:pPr>
      <w:r>
        <w:rPr>
          <w:sz w:val="26"/>
          <w:szCs w:val="26"/>
        </w:rPr>
        <w:t>3.3. Внесение изменений в сметную документацию Заказчика, кроме применения понижающего коэффициента в соответствии с п. 3.2., не допускается.</w:t>
      </w:r>
    </w:p>
    <w:p>
      <w:pPr>
        <w:pStyle w:val="Normal"/>
        <w:ind w:firstLine="357"/>
        <w:rPr>
          <w:sz w:val="24"/>
          <w:szCs w:val="24"/>
        </w:rPr>
      </w:pPr>
      <w:r>
        <w:rPr>
          <w:sz w:val="24"/>
          <w:szCs w:val="24"/>
        </w:rPr>
      </w:r>
    </w:p>
    <w:p>
      <w:pPr>
        <w:pStyle w:val="Normal"/>
        <w:ind w:firstLine="357"/>
        <w:rPr>
          <w:sz w:val="24"/>
          <w:szCs w:val="24"/>
        </w:rPr>
      </w:pPr>
      <w:r>
        <w:rPr>
          <w:sz w:val="24"/>
          <w:szCs w:val="24"/>
        </w:rPr>
      </w:r>
    </w:p>
    <w:p>
      <w:pPr>
        <w:sectPr>
          <w:type w:val="nextPage"/>
          <w:pgSz w:w="11906" w:h="16838"/>
          <w:pgMar w:left="1134" w:right="851" w:header="0" w:top="1134" w:footer="0" w:bottom="992" w:gutter="0"/>
          <w:pgNumType w:fmt="decimal"/>
          <w:formProt w:val="false"/>
          <w:textDirection w:val="lrTb"/>
          <w:docGrid w:type="default" w:linePitch="381" w:charSpace="4294952959"/>
        </w:sectPr>
        <w:pStyle w:val="Normal"/>
        <w:rPr>
          <w:sz w:val="24"/>
          <w:szCs w:val="24"/>
        </w:rPr>
      </w:pPr>
      <w:bookmarkStart w:id="49" w:name="_Ref40301253"/>
      <w:bookmarkStart w:id="50" w:name="_Ref40301253"/>
      <w:bookmarkEnd w:id="50"/>
      <w:r>
        <w:rPr>
          <w:sz w:val="24"/>
          <w:szCs w:val="24"/>
        </w:rPr>
      </w:r>
    </w:p>
    <w:p>
      <w:pPr>
        <w:pStyle w:val="Normal"/>
        <w:spacing w:before="0" w:after="120"/>
        <w:jc w:val="both"/>
        <w:rPr>
          <w:rStyle w:val="Style14"/>
          <w:b w:val="false"/>
          <w:b w:val="false"/>
          <w:iCs/>
          <w:sz w:val="24"/>
          <w:szCs w:val="24"/>
        </w:rPr>
      </w:pPr>
      <w:bookmarkStart w:id="51" w:name="_Toc51339699"/>
      <w:bookmarkStart w:id="52" w:name="_Toc46743519"/>
      <w:bookmarkStart w:id="53" w:name="_Toc51339699"/>
      <w:bookmarkStart w:id="54" w:name="_Toc46743519"/>
      <w:bookmarkEnd w:id="53"/>
      <w:bookmarkEnd w:id="54"/>
      <w:r>
        <w:rPr>
          <w:b w:val="false"/>
          <w:iCs/>
          <w:sz w:val="24"/>
          <w:szCs w:val="24"/>
        </w:rPr>
      </w:r>
    </w:p>
    <w:p>
      <w:pPr>
        <w:pStyle w:val="Normal"/>
        <w:ind w:left="5812" w:hanging="142"/>
        <w:jc w:val="both"/>
        <w:rPr>
          <w:sz w:val="24"/>
          <w:szCs w:val="24"/>
        </w:rPr>
      </w:pPr>
      <w:r>
        <w:rPr>
          <w:sz w:val="24"/>
          <w:szCs w:val="24"/>
        </w:rPr>
      </w:r>
    </w:p>
    <w:p>
      <w:pPr>
        <w:pStyle w:val="1"/>
        <w:numPr>
          <w:ilvl w:val="0"/>
          <w:numId w:val="0"/>
        </w:numPr>
        <w:ind w:left="5038" w:hanging="0"/>
        <w:jc w:val="both"/>
        <w:rPr>
          <w:sz w:val="26"/>
          <w:szCs w:val="26"/>
        </w:rPr>
      </w:pPr>
      <w:bookmarkStart w:id="55" w:name="_Toc54643711"/>
      <w:bookmarkStart w:id="56" w:name="_Toc54281228"/>
      <w:r>
        <w:rPr>
          <w:sz w:val="26"/>
          <w:szCs w:val="26"/>
          <w:lang w:val="ru-RU"/>
        </w:rPr>
        <w:t xml:space="preserve">4. </w:t>
      </w:r>
      <w:bookmarkEnd w:id="55"/>
      <w:bookmarkEnd w:id="56"/>
      <w:r>
        <w:rPr>
          <w:sz w:val="26"/>
          <w:szCs w:val="26"/>
        </w:rPr>
        <w:t>Требования к документации по ценообразованию на этапе заключения (исполнения) договора</w:t>
      </w:r>
    </w:p>
    <w:p>
      <w:pPr>
        <w:pStyle w:val="Normal"/>
        <w:jc w:val="both"/>
        <w:rPr>
          <w:sz w:val="26"/>
          <w:szCs w:val="26"/>
          <w:lang w:eastAsia="x-none"/>
        </w:rPr>
      </w:pPr>
      <w:r>
        <w:rPr>
          <w:sz w:val="26"/>
          <w:szCs w:val="26"/>
          <w:lang w:eastAsia="x-none"/>
        </w:rPr>
      </w:r>
    </w:p>
    <w:p>
      <w:pPr>
        <w:pStyle w:val="Normal"/>
        <w:jc w:val="both"/>
        <w:rPr>
          <w:sz w:val="26"/>
          <w:szCs w:val="26"/>
        </w:rPr>
      </w:pPr>
      <w:r>
        <w:rPr>
          <w:sz w:val="26"/>
          <w:szCs w:val="26"/>
        </w:rPr>
        <w:t>4.1 Требования к ценообразованию при формировании Коммерческого предложения в составе заявки участника</w:t>
      </w:r>
    </w:p>
    <w:p>
      <w:pPr>
        <w:pStyle w:val="Normal"/>
        <w:jc w:val="both"/>
        <w:rPr>
          <w:sz w:val="26"/>
          <w:szCs w:val="26"/>
        </w:rPr>
      </w:pPr>
      <w:r>
        <w:rPr>
          <w:sz w:val="26"/>
          <w:szCs w:val="26"/>
        </w:rPr>
      </w:r>
    </w:p>
    <w:p>
      <w:pPr>
        <w:pStyle w:val="Normal"/>
        <w:jc w:val="both"/>
        <w:rPr>
          <w:sz w:val="26"/>
          <w:szCs w:val="26"/>
        </w:rPr>
      </w:pPr>
      <w:r>
        <w:rPr>
          <w:sz w:val="26"/>
          <w:szCs w:val="26"/>
        </w:rPr>
        <w:t>4.2. Размер понижающего коэффициента определяется по формуле:</w:t>
      </w:r>
    </w:p>
    <w:p>
      <w:pPr>
        <w:pStyle w:val="Normal"/>
        <w:jc w:val="both"/>
        <w:rPr>
          <w:sz w:val="26"/>
          <w:szCs w:val="26"/>
        </w:rPr>
      </w:pPr>
      <w:r>
        <w:rPr/>
      </w:r>
      <m:oMath xmlns:m="http://schemas.openxmlformats.org/officeDocument/2006/math">
        <m:r>
          <w:rPr>
            <w:rFonts w:ascii="Cambria Math" w:hAnsi="Cambria Math"/>
          </w:rPr>
          <m:t xml:space="preserve">k</m:t>
        </m:r>
        <m:r>
          <w:rPr>
            <w:rFonts w:ascii="Cambria Math" w:hAnsi="Cambria Math"/>
          </w:rPr>
          <m:t xml:space="preserve">=</m:t>
        </m:r>
        <m:f>
          <m:num>
            <m:r>
              <w:rPr>
                <w:rFonts w:ascii="Cambria Math" w:hAnsi="Cambria Math"/>
              </w:rPr>
              <m:t xml:space="preserve">P</m:t>
            </m:r>
          </m:num>
          <m:den>
            <m:r>
              <w:rPr>
                <w:rFonts w:ascii="Cambria Math" w:hAnsi="Cambria Math"/>
              </w:rPr>
              <m:t xml:space="preserve">N</m:t>
            </m:r>
          </m:den>
        </m:f>
      </m:oMath>
      <w:r>
        <w:rPr>
          <w:sz w:val="26"/>
          <w:szCs w:val="26"/>
        </w:rPr>
        <w:t>,</w:t>
      </w:r>
    </w:p>
    <w:p>
      <w:pPr>
        <w:pStyle w:val="Normal"/>
        <w:jc w:val="both"/>
        <w:rPr>
          <w:sz w:val="26"/>
          <w:szCs w:val="26"/>
        </w:rPr>
      </w:pPr>
      <w:r>
        <w:rPr>
          <w:sz w:val="26"/>
          <w:szCs w:val="26"/>
        </w:rPr>
      </w:r>
    </w:p>
    <w:p>
      <w:pPr>
        <w:pStyle w:val="Normal"/>
        <w:jc w:val="both"/>
        <w:rPr>
          <w:sz w:val="26"/>
          <w:szCs w:val="26"/>
        </w:rPr>
      </w:pPr>
      <w:r>
        <w:rPr>
          <w:sz w:val="26"/>
          <w:szCs w:val="26"/>
        </w:rPr>
        <w:t>где P – стоимость предложения Победителя;</w:t>
      </w:r>
    </w:p>
    <w:p>
      <w:pPr>
        <w:pStyle w:val="Normal"/>
        <w:jc w:val="both"/>
        <w:rPr>
          <w:sz w:val="26"/>
          <w:szCs w:val="26"/>
        </w:rPr>
      </w:pPr>
      <w:r>
        <w:rPr>
          <w:sz w:val="26"/>
          <w:szCs w:val="26"/>
        </w:rPr>
        <w:t>N – начальная (максимальная) цена договора (цена лота), определенная в соответствии со сметной документацией Заказчика, представленной в составе Документации о закупке</w:t>
      </w:r>
    </w:p>
    <w:p>
      <w:pPr>
        <w:pStyle w:val="Normal"/>
        <w:jc w:val="both"/>
        <w:rPr>
          <w:sz w:val="26"/>
          <w:szCs w:val="26"/>
        </w:rPr>
      </w:pPr>
      <w:r>
        <w:rPr>
          <w:sz w:val="26"/>
          <w:szCs w:val="26"/>
        </w:rPr>
        <w:t xml:space="preserve">k –  понижающий коэффициент, определяемый в соответствии с результатами закупочной процедуры, величину данного коэффициента рекомендуется учитывать с округлением до 7 (семи) знаков после запятой. </w:t>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1"/>
        <w:numPr>
          <w:ilvl w:val="0"/>
          <w:numId w:val="0"/>
        </w:numPr>
        <w:ind w:left="5038" w:hanging="0"/>
        <w:jc w:val="center"/>
        <w:rPr>
          <w:caps/>
          <w:sz w:val="26"/>
          <w:szCs w:val="26"/>
        </w:rPr>
      </w:pPr>
      <w:r>
        <w:rPr>
          <w:sz w:val="26"/>
          <w:szCs w:val="26"/>
          <w:lang w:val="ru-RU"/>
        </w:rPr>
        <w:t xml:space="preserve">5.  </w:t>
      </w:r>
      <w:r>
        <w:rPr>
          <w:sz w:val="26"/>
          <w:szCs w:val="26"/>
        </w:rPr>
        <w:t>При</w:t>
      </w:r>
      <w:commentRangeStart w:id="1"/>
      <w:commentRangeStart w:id="2"/>
      <w:r>
        <w:rPr>
          <w:sz w:val="26"/>
          <w:szCs w:val="26"/>
        </w:rPr>
        <w:t>ложени</w:t>
      </w:r>
      <w:r>
        <w:rPr>
          <w:sz w:val="26"/>
          <w:szCs w:val="26"/>
        </w:rPr>
      </w:r>
      <w:commentRangeEnd w:id="2"/>
      <w:r>
        <w:commentReference w:id="2"/>
      </w:r>
      <w:r>
        <w:rPr>
          <w:sz w:val="26"/>
          <w:szCs w:val="26"/>
        </w:rPr>
      </w:r>
      <w:commentRangeEnd w:id="1"/>
      <w:r>
        <w:commentReference w:id="1"/>
      </w:r>
      <w:r>
        <w:rPr>
          <w:sz w:val="26"/>
          <w:szCs w:val="26"/>
        </w:rPr>
        <w:t>я</w:t>
      </w:r>
    </w:p>
    <w:p>
      <w:pPr>
        <w:pStyle w:val="Normal"/>
        <w:rPr>
          <w:i/>
          <w:i/>
          <w:sz w:val="26"/>
          <w:szCs w:val="26"/>
        </w:rPr>
      </w:pPr>
      <w:r>
        <w:rPr>
          <w:i/>
          <w:sz w:val="26"/>
          <w:szCs w:val="26"/>
        </w:rPr>
      </w:r>
    </w:p>
    <w:p>
      <w:pPr>
        <w:pStyle w:val="Normal"/>
        <w:jc w:val="both"/>
        <w:rPr>
          <w:sz w:val="24"/>
          <w:szCs w:val="24"/>
        </w:rPr>
      </w:pPr>
      <w:r>
        <w:rPr>
          <w:sz w:val="24"/>
          <w:szCs w:val="24"/>
        </w:rPr>
        <w:t>Приложение: Требования к участнику закупки.</w:t>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sz w:val="24"/>
          <w:szCs w:val="24"/>
        </w:rPr>
      </w:pPr>
      <w:r>
        <w:rPr>
          <w:sz w:val="24"/>
          <w:szCs w:val="24"/>
        </w:rPr>
      </w:r>
    </w:p>
    <w:p>
      <w:pPr>
        <w:pStyle w:val="Normal"/>
        <w:ind w:left="5812" w:hanging="142"/>
        <w:jc w:val="both"/>
        <w:rPr/>
      </w:pPr>
      <w:r>
        <w:rPr/>
      </w:r>
    </w:p>
    <w:sectPr>
      <w:headerReference w:type="default" r:id="rId5"/>
      <w:type w:val="nextPage"/>
      <w:pgSz w:w="11906" w:h="16838"/>
      <w:pgMar w:left="1134" w:right="851" w:header="680" w:top="1134" w:footer="0" w:bottom="992" w:gutter="0"/>
      <w:pgNumType w:fmt="decimal"/>
      <w:formProt w:val="false"/>
      <w:titlePg/>
      <w:textDirection w:val="lrTb"/>
      <w:docGrid w:type="default" w:linePitch="381" w:charSpace="4294952959"/>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comment w:id="0" w:author="Коврижкина Елена Юрьевна" w:date="2023-08-21T10:37:00Z" w:initials="КЕЮ">
    <w:p>
      <w:r>
        <w:rPr>
          <w:rFonts w:ascii="Liberation Serif" w:hAnsi="Liberation Serif" w:eastAsia="Tahoma" w:cs="Tahoma"/>
          <w:sz w:val="24"/>
          <w:szCs w:val="24"/>
          <w:lang w:val="en-US" w:eastAsia="en-US" w:bidi="en-US"/>
        </w:rPr>
        <w:t>Аналогично – замечание выше</w:t>
      </w:r>
    </w:p>
  </w:comment>
  <w:comment w:id="2" w:author="Коврижкина Елена Юрьевна" w:date="2023-08-21T10:39:00Z" w:initials="КЕЮ">
    <w:p>
      <w:r>
        <w:rPr>
          <w:rFonts w:ascii="Liberation Serif" w:hAnsi="Liberation Serif" w:eastAsia="Tahoma" w:cs="Tahoma"/>
          <w:sz w:val="24"/>
          <w:szCs w:val="24"/>
          <w:lang w:val="en-US" w:eastAsia="en-US" w:bidi="en-US"/>
        </w:rPr>
        <w:t>Нет всех приложений</w:t>
      </w:r>
    </w:p>
  </w:comment>
  <w:comment w:id="1" w:author="Самарин Юрий Викторович" w:date="2023-08-28T10:04:00Z" w:initials="СЮВ">
    <w:p>
      <w:r>
        <w:rPr>
          <w:rFonts w:ascii="Liberation Serif" w:hAnsi="Liberation Serif" w:eastAsia="Tahoma" w:cs="Tahoma"/>
          <w:sz w:val="24"/>
          <w:szCs w:val="24"/>
          <w:lang w:val="en-US" w:eastAsia="en-US" w:bidi="en-US"/>
        </w:rPr>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Liberation Sans">
    <w:altName w:val="Arial"/>
    <w:charset w:val="01"/>
    <w:family w:val="swiss"/>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9"/>
      <w:jc w:val="center"/>
      <w:rPr/>
    </w:pPr>
    <w:r>
      <w:rPr/>
      <w:fldChar w:fldCharType="begin"/>
    </w:r>
    <w:r>
      <w:instrText> PAGE </w:instrText>
    </w:r>
    <w:r>
      <w:fldChar w:fldCharType="separate"/>
    </w:r>
    <w:r>
      <w:t>13</w:t>
    </w:r>
    <w: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9"/>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9"/>
      <w:jc w:val="center"/>
      <w:rPr/>
    </w:pPr>
    <w:r>
      <w:rPr/>
      <w:fldChar w:fldCharType="begin"/>
    </w:r>
    <w:r>
      <w:instrText> PAGE </w:instrText>
    </w:r>
    <w:r>
      <w:fldChar w:fldCharType="separate"/>
    </w:r>
    <w:r>
      <w:t>25</w:t>
    </w:r>
    <w:r>
      <w:fldChar w:fldCharType="end"/>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9"/>
      <w:jc w:val="center"/>
      <w:rPr/>
    </w:pPr>
    <w:r>
      <w:rPr/>
      <w:fldChar w:fldCharType="begin"/>
    </w:r>
    <w:r>
      <w:instrText> PAGE </w:instrText>
    </w:r>
    <w:r>
      <w:fldChar w:fldCharType="separate"/>
    </w:r>
    <w:r>
      <w:t>28</w:t>
    </w:r>
    <w: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1"/>
      <w:numFmt w:val="decimal"/>
      <w:lvlText w:val="%1."/>
      <w:lvlJc w:val="left"/>
      <w:pPr>
        <w:ind w:left="1353" w:hanging="360"/>
      </w:pPr>
      <w:rPr>
        <w:smallCaps w:val="false"/>
        <w:caps w:val="false"/>
        <w:dstrike w:val="false"/>
        <w:strike w:val="false"/>
        <w:vertAlign w:val="baseline"/>
        <w:position w:val="0"/>
        <w:sz w:val="28"/>
        <w:sz w:val="28"/>
        <w:spacing w:val="0"/>
        <w:i w:val="false"/>
        <w:u w:val="none"/>
        <w:b/>
        <w:effect w:val="none"/>
        <w:szCs w:val="28"/>
        <w:iCs w:val="false"/>
        <w:bCs w:val="false"/>
        <w:em w:val="none"/>
        <w:vanish w:val="false"/>
        <w:rFonts w:cs="Times New Roman"/>
        <w:color w:val="000000"/>
      </w:rPr>
    </w:lvl>
    <w:lvl w:ilvl="1">
      <w:start w:val="1"/>
      <w:pStyle w:val="4"/>
      <w:numFmt w:val="decimal"/>
      <w:lvlText w:val="%1.%2."/>
      <w:lvlJc w:val="left"/>
      <w:pPr>
        <w:ind w:left="432" w:hanging="432"/>
      </w:pPr>
      <w:rPr>
        <w:sz w:val="24"/>
        <w:i w:val="false"/>
        <w:b/>
        <w:szCs w:val="24"/>
        <w:iCs/>
        <w:bCs/>
      </w:rPr>
    </w:lvl>
    <w:lvl w:ilvl="2">
      <w:start w:val="1"/>
      <w:pStyle w:val="3"/>
      <w:numFmt w:val="decimal"/>
      <w:lvlText w:val="%1.%2.%3."/>
      <w:lvlJc w:val="left"/>
      <w:pPr>
        <w:ind w:left="1224" w:hanging="504"/>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1353" w:hanging="360"/>
      </w:pPr>
      <w:rPr>
        <w:smallCaps w:val="false"/>
        <w:caps w:val="false"/>
        <w:dstrike w:val="false"/>
        <w:strike w:val="false"/>
        <w:vertAlign w:val="baseline"/>
        <w:position w:val="0"/>
        <w:sz w:val="28"/>
        <w:sz w:val="28"/>
        <w:spacing w:val="0"/>
        <w:i w:val="false"/>
        <w:u w:val="none"/>
        <w:b/>
        <w:effect w:val="none"/>
        <w:szCs w:val="28"/>
        <w:iCs w:val="false"/>
        <w:bCs w:val="false"/>
        <w:em w:val="none"/>
        <w:vanish w:val="false"/>
        <w:rFonts w:cs="Times New Roman"/>
        <w:color w:val="000000"/>
      </w:rPr>
    </w:lvl>
    <w:lvl w:ilvl="1">
      <w:start w:val="1"/>
      <w:numFmt w:val="decimal"/>
      <w:lvlText w:val="%1.%2."/>
      <w:lvlJc w:val="left"/>
      <w:pPr>
        <w:ind w:left="432" w:hanging="432"/>
      </w:pPr>
      <w:rPr>
        <w:sz w:val="24"/>
        <w:i w:val="false"/>
        <w:b/>
        <w:szCs w:val="24"/>
        <w:iCs/>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lvl w:ilvl="0">
      <w:start w:val="1"/>
      <w:numFmt w:val="decimal"/>
      <w:lvlText w:val="%1."/>
      <w:lvlJc w:val="left"/>
      <w:pPr>
        <w:ind w:left="360" w:hanging="360"/>
      </w:pPr>
      <w:rPr>
        <w:sz w:val="24"/>
        <w:b/>
        <w:szCs w:val="24"/>
        <w:bCs w:val="false"/>
      </w:rPr>
    </w:lvl>
    <w:lvl w:ilvl="1">
      <w:start w:val="1"/>
      <w:numFmt w:val="decimal"/>
      <w:lvlText w:val="%1.%2."/>
      <w:lvlJc w:val="left"/>
      <w:pPr>
        <w:ind w:left="792" w:hanging="432"/>
      </w:pPr>
      <w:rPr>
        <w:sz w:val="24"/>
        <w:b/>
        <w:szCs w:val="24"/>
        <w:bCs/>
      </w:rPr>
    </w:lvl>
    <w:lvl w:ilvl="2">
      <w:start w:val="1"/>
      <w:numFmt w:val="decimal"/>
      <w:lvlText w:val="%1.%2.%3."/>
      <w:lvlJc w:val="left"/>
      <w:pPr>
        <w:ind w:left="1922"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2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zh-TW"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e3d62"/>
    <w:pPr>
      <w:widowControl/>
      <w:bidi w:val="0"/>
      <w:jc w:val="left"/>
    </w:pPr>
    <w:rPr>
      <w:rFonts w:ascii="Times New Roman" w:hAnsi="Times New Roman" w:eastAsia="Times New Roman" w:cs="Times New Roman"/>
      <w:color w:val="auto"/>
      <w:sz w:val="28"/>
      <w:szCs w:val="28"/>
      <w:lang w:val="ru-RU" w:eastAsia="ru-RU" w:bidi="ar-SA"/>
    </w:rPr>
  </w:style>
  <w:style w:type="paragraph" w:styleId="1">
    <w:name w:val="Heading 1"/>
    <w:basedOn w:val="3"/>
    <w:link w:val="12"/>
    <w:qFormat/>
    <w:rsid w:val="00353a27"/>
    <w:pPr>
      <w:numPr>
        <w:ilvl w:val="0"/>
        <w:numId w:val="1"/>
      </w:numPr>
      <w:ind w:left="5038" w:hanging="0"/>
      <w:outlineLvl w:val="0"/>
    </w:pPr>
    <w:rPr>
      <w:sz w:val="28"/>
      <w:szCs w:val="28"/>
    </w:rPr>
  </w:style>
  <w:style w:type="paragraph" w:styleId="2">
    <w:name w:val="Heading 2"/>
    <w:basedOn w:val="4"/>
    <w:link w:val="24"/>
    <w:qFormat/>
    <w:rsid w:val="00ea61a8"/>
    <w:pPr>
      <w:numPr>
        <w:ilvl w:val="0"/>
        <w:numId w:val="0"/>
      </w:numPr>
      <w:outlineLvl w:val="1"/>
    </w:pPr>
    <w:rPr/>
  </w:style>
  <w:style w:type="paragraph" w:styleId="3">
    <w:name w:val="Heading 3"/>
    <w:basedOn w:val="Normal"/>
    <w:link w:val="32"/>
    <w:autoRedefine/>
    <w:qFormat/>
    <w:rsid w:val="00035e96"/>
    <w:pPr>
      <w:keepNext w:val="true"/>
      <w:numPr>
        <w:ilvl w:val="2"/>
        <w:numId w:val="1"/>
      </w:numPr>
      <w:spacing w:before="120" w:after="60"/>
      <w:outlineLvl w:val="2"/>
    </w:pPr>
    <w:rPr>
      <w:rFonts w:eastAsia="Calibri"/>
      <w:b/>
      <w:sz w:val="24"/>
      <w:szCs w:val="24"/>
      <w:lang w:val="x-none" w:eastAsia="x-none"/>
    </w:rPr>
  </w:style>
  <w:style w:type="paragraph" w:styleId="4">
    <w:name w:val="Heading 4"/>
    <w:basedOn w:val="3"/>
    <w:link w:val="40"/>
    <w:qFormat/>
    <w:rsid w:val="006629c9"/>
    <w:pPr>
      <w:numPr>
        <w:ilvl w:val="1"/>
        <w:numId w:val="1"/>
      </w:numPr>
      <w:outlineLvl w:val="1"/>
    </w:pPr>
    <w:rPr>
      <w:bCs/>
    </w:rPr>
  </w:style>
  <w:style w:type="paragraph" w:styleId="5">
    <w:name w:val="Heading 5"/>
    <w:basedOn w:val="Normal"/>
    <w:link w:val="50"/>
    <w:uiPriority w:val="9"/>
    <w:qFormat/>
    <w:rsid w:val="0076353a"/>
    <w:pPr>
      <w:spacing w:before="240" w:after="60"/>
      <w:outlineLvl w:val="4"/>
    </w:pPr>
    <w:rPr>
      <w:b/>
      <w:bCs/>
      <w:i/>
      <w:iCs/>
      <w:sz w:val="26"/>
      <w:szCs w:val="26"/>
      <w:lang w:val="x-none" w:eastAsia="x-none"/>
    </w:rPr>
  </w:style>
  <w:style w:type="paragraph" w:styleId="6">
    <w:name w:val="Heading 6"/>
    <w:basedOn w:val="Normal"/>
    <w:link w:val="60"/>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7">
    <w:name w:val="Heading 7"/>
    <w:basedOn w:val="Normal"/>
    <w:link w:val="70"/>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8">
    <w:name w:val="Heading 8"/>
    <w:basedOn w:val="Normal"/>
    <w:link w:val="80"/>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9">
    <w:name w:val="Heading 9"/>
    <w:basedOn w:val="Normal"/>
    <w:link w:val="90"/>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Footnotereference">
    <w:name w:val="footnote reference"/>
    <w:uiPriority w:val="99"/>
    <w:qFormat/>
    <w:rsid w:val="00d561d9"/>
    <w:rPr>
      <w:vertAlign w:val="superscript"/>
    </w:rPr>
  </w:style>
  <w:style w:type="character" w:styleId="Pagenumber">
    <w:name w:val="page number"/>
    <w:basedOn w:val="DefaultParagraphFont"/>
    <w:qFormat/>
    <w:rsid w:val="006c2f3f"/>
    <w:rPr/>
  </w:style>
  <w:style w:type="character" w:styleId="Style5">
    <w:name w:val="Интернет-ссылка"/>
    <w:uiPriority w:val="99"/>
    <w:rsid w:val="006c2f3f"/>
    <w:rPr>
      <w:color w:val="0000FF"/>
      <w:u w:val="single"/>
    </w:rPr>
  </w:style>
  <w:style w:type="character" w:styleId="Annotationreference">
    <w:name w:val="annotation reference"/>
    <w:semiHidden/>
    <w:qFormat/>
    <w:rsid w:val="00b714b0"/>
    <w:rPr>
      <w:sz w:val="16"/>
      <w:szCs w:val="16"/>
    </w:rPr>
  </w:style>
  <w:style w:type="character" w:styleId="Strong">
    <w:name w:val="Strong"/>
    <w:uiPriority w:val="22"/>
    <w:qFormat/>
    <w:rsid w:val="00165965"/>
    <w:rPr>
      <w:b/>
      <w:bCs/>
    </w:rPr>
  </w:style>
  <w:style w:type="character" w:styleId="61" w:customStyle="1">
    <w:name w:val="Заголовок 6 Знак"/>
    <w:link w:val="6"/>
    <w:uiPriority w:val="9"/>
    <w:qFormat/>
    <w:rsid w:val="00d22f6d"/>
    <w:rPr>
      <w:rFonts w:ascii="Cambria" w:hAnsi="Cambria"/>
      <w:i/>
      <w:iCs/>
      <w:color w:val="243F60"/>
      <w:lang w:val="x-none" w:eastAsia="x-none"/>
    </w:rPr>
  </w:style>
  <w:style w:type="character" w:styleId="71" w:customStyle="1">
    <w:name w:val="Заголовок 7 Знак"/>
    <w:link w:val="7"/>
    <w:uiPriority w:val="9"/>
    <w:qFormat/>
    <w:rsid w:val="00d22f6d"/>
    <w:rPr>
      <w:rFonts w:ascii="Cambria" w:hAnsi="Cambria"/>
      <w:i/>
      <w:iCs/>
      <w:color w:val="404040"/>
      <w:lang w:val="x-none" w:eastAsia="x-none"/>
    </w:rPr>
  </w:style>
  <w:style w:type="character" w:styleId="81" w:customStyle="1">
    <w:name w:val="Заголовок 8 Знак"/>
    <w:link w:val="8"/>
    <w:uiPriority w:val="9"/>
    <w:qFormat/>
    <w:rsid w:val="00d22f6d"/>
    <w:rPr>
      <w:rFonts w:ascii="Cambria" w:hAnsi="Cambria"/>
      <w:color w:val="4F81BD"/>
      <w:lang w:val="x-none" w:eastAsia="x-none"/>
    </w:rPr>
  </w:style>
  <w:style w:type="character" w:styleId="11" w:customStyle="1">
    <w:name w:val="Заголовок 1 Знак"/>
    <w:link w:val="1"/>
    <w:qFormat/>
    <w:rsid w:val="00353a27"/>
    <w:rPr>
      <w:rFonts w:eastAsia="Calibri"/>
      <w:b/>
      <w:sz w:val="28"/>
      <w:szCs w:val="28"/>
      <w:lang w:val="x-none" w:eastAsia="x-none"/>
    </w:rPr>
  </w:style>
  <w:style w:type="character" w:styleId="21" w:customStyle="1">
    <w:name w:val="Заголовок 2 Знак"/>
    <w:link w:val="23"/>
    <w:qFormat/>
    <w:rsid w:val="00ea61a8"/>
    <w:rPr>
      <w:rFonts w:eastAsia="Calibri"/>
      <w:b/>
      <w:bCs/>
      <w:sz w:val="24"/>
      <w:szCs w:val="24"/>
      <w:lang w:val="x-none" w:eastAsia="x-none"/>
    </w:rPr>
  </w:style>
  <w:style w:type="character" w:styleId="31" w:customStyle="1">
    <w:name w:val="Заголовок 3 Знак"/>
    <w:link w:val="30"/>
    <w:qFormat/>
    <w:rsid w:val="00035e96"/>
    <w:rPr>
      <w:rFonts w:eastAsia="Calibri"/>
      <w:b/>
      <w:sz w:val="24"/>
      <w:szCs w:val="24"/>
      <w:lang w:val="x-none" w:eastAsia="x-none"/>
    </w:rPr>
  </w:style>
  <w:style w:type="character" w:styleId="41" w:customStyle="1">
    <w:name w:val="Заголовок 4 Знак"/>
    <w:link w:val="4"/>
    <w:qFormat/>
    <w:rsid w:val="006629c9"/>
    <w:rPr>
      <w:rFonts w:eastAsia="Calibri"/>
      <w:b/>
      <w:bCs/>
      <w:sz w:val="24"/>
      <w:szCs w:val="24"/>
      <w:lang w:val="x-none" w:eastAsia="x-none"/>
    </w:rPr>
  </w:style>
  <w:style w:type="character" w:styleId="51" w:customStyle="1">
    <w:name w:val="Заголовок 5 Знак"/>
    <w:link w:val="5"/>
    <w:uiPriority w:val="9"/>
    <w:qFormat/>
    <w:rsid w:val="00d22f6d"/>
    <w:rPr>
      <w:b/>
      <w:bCs/>
      <w:i/>
      <w:iCs/>
      <w:sz w:val="26"/>
      <w:szCs w:val="26"/>
    </w:rPr>
  </w:style>
  <w:style w:type="character" w:styleId="91" w:customStyle="1">
    <w:name w:val="Заголовок 9 Знак"/>
    <w:link w:val="9"/>
    <w:uiPriority w:val="9"/>
    <w:qFormat/>
    <w:rsid w:val="00d22f6d"/>
    <w:rPr>
      <w:rFonts w:ascii="Arial" w:hAnsi="Arial" w:cs="Arial"/>
      <w:sz w:val="22"/>
      <w:szCs w:val="22"/>
    </w:rPr>
  </w:style>
  <w:style w:type="character" w:styleId="Style6" w:customStyle="1">
    <w:name w:val="Название Знак"/>
    <w:link w:val="14"/>
    <w:uiPriority w:val="10"/>
    <w:qFormat/>
    <w:rsid w:val="00d22f6d"/>
    <w:rPr>
      <w:sz w:val="28"/>
    </w:rPr>
  </w:style>
  <w:style w:type="character" w:styleId="Style7" w:customStyle="1">
    <w:name w:val="Подзаголовок Знак"/>
    <w:link w:val="aff2"/>
    <w:uiPriority w:val="11"/>
    <w:qFormat/>
    <w:rsid w:val="00d22f6d"/>
    <w:rPr>
      <w:rFonts w:ascii="Cambria" w:hAnsi="Cambria"/>
      <w:i/>
      <w:iCs/>
      <w:color w:val="4F81BD"/>
      <w:spacing w:val="15"/>
      <w:sz w:val="24"/>
      <w:szCs w:val="24"/>
      <w:lang w:val="x-none" w:eastAsia="x-none"/>
    </w:rPr>
  </w:style>
  <w:style w:type="character" w:styleId="Style8">
    <w:name w:val="Выделение"/>
    <w:uiPriority w:val="20"/>
    <w:qFormat/>
    <w:rsid w:val="00d22f6d"/>
    <w:rPr>
      <w:i/>
      <w:iCs/>
    </w:rPr>
  </w:style>
  <w:style w:type="character" w:styleId="22" w:customStyle="1">
    <w:name w:val="Цитата 2 Знак"/>
    <w:link w:val="2c"/>
    <w:uiPriority w:val="29"/>
    <w:qFormat/>
    <w:rsid w:val="00d22f6d"/>
    <w:rPr>
      <w:rFonts w:ascii="Calibri" w:hAnsi="Calibri" w:eastAsia="Calibri"/>
      <w:i/>
      <w:iCs/>
      <w:color w:val="000000"/>
      <w:lang w:val="x-none" w:eastAsia="x-none"/>
    </w:rPr>
  </w:style>
  <w:style w:type="character" w:styleId="Style9" w:customStyle="1">
    <w:name w:val="Выделенная цитата Знак"/>
    <w:link w:val="aff7"/>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10" w:customStyle="1">
    <w:name w:val="Электронная подпись Знак"/>
    <w:link w:val="afff"/>
    <w:uiPriority w:val="99"/>
    <w:qFormat/>
    <w:rsid w:val="00d22f6d"/>
    <w:rPr>
      <w:rFonts w:eastAsia="Calibri"/>
      <w:sz w:val="24"/>
      <w:szCs w:val="24"/>
    </w:rPr>
  </w:style>
  <w:style w:type="character" w:styleId="12" w:customStyle="1">
    <w:name w:val="Подпункт Знак1"/>
    <w:link w:val="af4"/>
    <w:qFormat/>
    <w:locked/>
    <w:rsid w:val="00d22f6d"/>
    <w:rPr>
      <w:sz w:val="28"/>
    </w:rPr>
  </w:style>
  <w:style w:type="character" w:styleId="Style11" w:customStyle="1">
    <w:name w:val="Текст сноски Знак"/>
    <w:link w:val="a8"/>
    <w:qFormat/>
    <w:rsid w:val="00d22f6d"/>
    <w:rPr/>
  </w:style>
  <w:style w:type="character" w:styleId="Style12" w:customStyle="1">
    <w:name w:val="Основной текст Знак"/>
    <w:link w:val="af1"/>
    <w:qFormat/>
    <w:rsid w:val="004459a5"/>
    <w:rPr>
      <w:sz w:val="28"/>
      <w:szCs w:val="28"/>
    </w:rPr>
  </w:style>
  <w:style w:type="character" w:styleId="Blk" w:customStyle="1">
    <w:name w:val="blk"/>
    <w:qFormat/>
    <w:rsid w:val="00431ace"/>
    <w:rPr/>
  </w:style>
  <w:style w:type="character" w:styleId="Style13" w:customStyle="1">
    <w:name w:val="Абзац списка Знак"/>
    <w:link w:val="aff5"/>
    <w:uiPriority w:val="34"/>
    <w:qFormat/>
    <w:locked/>
    <w:rsid w:val="00310eb4"/>
    <w:rPr>
      <w:rFonts w:eastAsia="Calibri"/>
      <w:sz w:val="24"/>
      <w:szCs w:val="24"/>
    </w:rPr>
  </w:style>
  <w:style w:type="character" w:styleId="Style14" w:customStyle="1">
    <w:name w:val="комментарий"/>
    <w:qFormat/>
    <w:rsid w:val="0025139e"/>
    <w:rPr>
      <w:i/>
      <w:shd w:fill="FFFF99" w:val="clear"/>
    </w:rPr>
  </w:style>
  <w:style w:type="character" w:styleId="Style15" w:customStyle="1">
    <w:name w:val="Подподпункт Знак"/>
    <w:link w:val="afff7"/>
    <w:qFormat/>
    <w:locked/>
    <w:rsid w:val="0025139e"/>
    <w:rPr>
      <w:sz w:val="26"/>
      <w:szCs w:val="26"/>
    </w:rPr>
  </w:style>
  <w:style w:type="character" w:styleId="32" w:customStyle="1">
    <w:name w:val="УРОВЕНЬ_Абзац_тип3 Знак"/>
    <w:link w:val="3"/>
    <w:qFormat/>
    <w:rsid w:val="00b56f46"/>
    <w:rPr>
      <w:rFonts w:eastAsia="Calibri"/>
      <w:sz w:val="26"/>
      <w:szCs w:val="28"/>
      <w:lang w:eastAsia="en-US"/>
    </w:rPr>
  </w:style>
  <w:style w:type="character" w:styleId="Style16" w:customStyle="1">
    <w:name w:val="Верхний колонтитул Знак"/>
    <w:link w:val="ac"/>
    <w:uiPriority w:val="99"/>
    <w:qFormat/>
    <w:rsid w:val="002f31af"/>
    <w:rPr>
      <w:sz w:val="24"/>
      <w:szCs w:val="24"/>
    </w:rPr>
  </w:style>
  <w:style w:type="character" w:styleId="Style17" w:customStyle="1">
    <w:name w:val="Текст примечания Знак"/>
    <w:link w:val="afb"/>
    <w:semiHidden/>
    <w:qFormat/>
    <w:rsid w:val="00dc0f7d"/>
    <w:rPr/>
  </w:style>
  <w:style w:type="character" w:styleId="Style18" w:customStyle="1">
    <w:name w:val="Текст концевой сноски Знак"/>
    <w:basedOn w:val="DefaultParagraphFont"/>
    <w:link w:val="afff9"/>
    <w:qFormat/>
    <w:rsid w:val="003879d4"/>
    <w:rPr/>
  </w:style>
  <w:style w:type="character" w:styleId="Endnotereference">
    <w:name w:val="endnote reference"/>
    <w:basedOn w:val="DefaultParagraphFont"/>
    <w:qFormat/>
    <w:rsid w:val="003879d4"/>
    <w:rPr>
      <w:vertAlign w:val="superscript"/>
    </w:rPr>
  </w:style>
  <w:style w:type="character" w:styleId="23" w:customStyle="1">
    <w:name w:val="Пункт2 Знак"/>
    <w:link w:val="28"/>
    <w:qFormat/>
    <w:rsid w:val="00de52bc"/>
    <w:rPr>
      <w:b/>
      <w:sz w:val="28"/>
    </w:rPr>
  </w:style>
  <w:style w:type="character" w:styleId="13" w:customStyle="1">
    <w:name w:val="УРОВЕНЬ_1. Знак"/>
    <w:link w:val="1a"/>
    <w:qFormat/>
    <w:rsid w:val="004a17ae"/>
    <w:rPr>
      <w:rFonts w:eastAsia="Calibri"/>
      <w:caps/>
      <w:sz w:val="28"/>
      <w:szCs w:val="28"/>
      <w:lang w:eastAsia="en-US"/>
    </w:rPr>
  </w:style>
  <w:style w:type="character" w:styleId="Style19" w:customStyle="1">
    <w:name w:val="Привязка сноски"/>
    <w:rsid w:val="00a61baf"/>
    <w:rPr>
      <w:vertAlign w:val="superscript"/>
    </w:rPr>
  </w:style>
  <w:style w:type="character" w:styleId="ListLabel1">
    <w:name w:val="ListLabel 1"/>
    <w:qFormat/>
    <w:rPr>
      <w:rFonts w:eastAsia="Times New Roman" w:cs="Times New Roman"/>
    </w:rPr>
  </w:style>
  <w:style w:type="character" w:styleId="ListLabel2">
    <w:name w:val="ListLabel 2"/>
    <w:qFormat/>
    <w:rPr>
      <w:rFonts w:cs="Times New Roman"/>
      <w:b/>
      <w:bCs w:val="false"/>
      <w:i w:val="false"/>
      <w:iCs w:val="false"/>
      <w:caps w:val="false"/>
      <w:smallCaps w:val="false"/>
      <w:strike w:val="false"/>
      <w:dstrike w:val="false"/>
      <w:vanish w:val="false"/>
      <w:color w:val="000000"/>
      <w:spacing w:val="0"/>
      <w:position w:val="0"/>
      <w:sz w:val="28"/>
      <w:sz w:val="28"/>
      <w:szCs w:val="28"/>
      <w:u w:val="none"/>
      <w:effect w:val="none"/>
      <w:vertAlign w:val="baseline"/>
      <w:em w:val="none"/>
    </w:rPr>
  </w:style>
  <w:style w:type="character" w:styleId="ListLabel3">
    <w:name w:val="ListLabel 3"/>
    <w:qFormat/>
    <w:rPr>
      <w:b/>
      <w:bCs/>
      <w:i w:val="false"/>
      <w:iCs/>
      <w:sz w:val="24"/>
      <w:szCs w:val="24"/>
    </w:rPr>
  </w:style>
  <w:style w:type="character" w:styleId="ListLabel4">
    <w:name w:val="ListLabel 4"/>
    <w:qFormat/>
    <w:rPr>
      <w:sz w:val="28"/>
    </w:rPr>
  </w:style>
  <w:style w:type="character" w:styleId="ListLabel5">
    <w:name w:val="ListLabel 5"/>
    <w:qFormat/>
    <w:rPr>
      <w:rFonts w:cs="Times New Roman"/>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b/>
      <w:bCs w:val="false"/>
      <w:sz w:val="24"/>
      <w:szCs w:val="24"/>
    </w:rPr>
  </w:style>
  <w:style w:type="character" w:styleId="ListLabel25">
    <w:name w:val="ListLabel 25"/>
    <w:qFormat/>
    <w:rPr>
      <w:b/>
      <w:bCs/>
      <w:sz w:val="24"/>
      <w:szCs w:val="24"/>
    </w:rPr>
  </w:style>
  <w:style w:type="character" w:styleId="ListLabel26">
    <w:name w:val="ListLabel 26"/>
    <w:qFormat/>
    <w:rPr>
      <w:sz w:val="24"/>
      <w:szCs w:val="24"/>
    </w:rPr>
  </w:style>
  <w:style w:type="character" w:styleId="ListLabel27">
    <w:name w:val="ListLabel 27"/>
    <w:qFormat/>
    <w:rPr>
      <w:rFonts w:cs="Courier New"/>
    </w:rPr>
  </w:style>
  <w:style w:type="character" w:styleId="ListLabel28">
    <w:name w:val="ListLabel 28"/>
    <w:qFormat/>
    <w:rPr>
      <w:rFonts w:cs="Courier New"/>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cs="Courier New"/>
    </w:rPr>
  </w:style>
  <w:style w:type="character" w:styleId="ListLabel37">
    <w:name w:val="ListLabel 37"/>
    <w:qFormat/>
    <w:rPr>
      <w:rFonts w:cs="Courier New"/>
    </w:rPr>
  </w:style>
  <w:style w:type="character" w:styleId="ListLabel38">
    <w:name w:val="ListLabel 38"/>
    <w:qFormat/>
    <w:rPr>
      <w:rFonts w:cs="Courier New"/>
    </w:rPr>
  </w:style>
  <w:style w:type="character" w:styleId="ListLabel39">
    <w:name w:val="ListLabel 39"/>
    <w:qFormat/>
    <w:rPr>
      <w:rFonts w:cs="Courier New"/>
    </w:rPr>
  </w:style>
  <w:style w:type="character" w:styleId="ListLabel40">
    <w:name w:val="ListLabel 40"/>
    <w:qFormat/>
    <w:rPr>
      <w:rFonts w:cs="Courier New"/>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rFonts w:cs="Courier New"/>
    </w:rPr>
  </w:style>
  <w:style w:type="character" w:styleId="ListLabel51">
    <w:name w:val="ListLabel 51"/>
    <w:qFormat/>
    <w:rPr>
      <w:rFonts w:cs="Courier New"/>
    </w:rPr>
  </w:style>
  <w:style w:type="character" w:styleId="ListLabel52">
    <w:name w:val="ListLabel 52"/>
    <w:qFormat/>
    <w:rPr>
      <w:rFonts w:cs="Courier New"/>
    </w:rPr>
  </w:style>
  <w:style w:type="character" w:styleId="ListLabel53">
    <w:name w:val="ListLabel 53"/>
    <w:qFormat/>
    <w:rPr>
      <w:rFonts w:cs="Courier New"/>
    </w:rPr>
  </w:style>
  <w:style w:type="character" w:styleId="ListLabel54">
    <w:name w:val="ListLabel 54"/>
    <w:qFormat/>
    <w:rPr>
      <w:rFonts w:cs="Courier New"/>
    </w:rPr>
  </w:style>
  <w:style w:type="character" w:styleId="ListLabel55">
    <w:name w:val="ListLabel 55"/>
    <w:qFormat/>
    <w:rPr>
      <w:rFonts w:cs="Courier New"/>
    </w:rPr>
  </w:style>
  <w:style w:type="character" w:styleId="ListLabel56">
    <w:name w:val="ListLabel 56"/>
    <w:qFormat/>
    <w:rPr>
      <w:rFonts w:cs="Courier New"/>
    </w:rPr>
  </w:style>
  <w:style w:type="character" w:styleId="ListLabel57">
    <w:name w:val="ListLabel 57"/>
    <w:qFormat/>
    <w:rPr>
      <w:rFonts w:cs="Courier New"/>
    </w:rPr>
  </w:style>
  <w:style w:type="character" w:styleId="ListLabel58">
    <w:name w:val="ListLabel 58"/>
    <w:qFormat/>
    <w:rPr>
      <w:rFonts w:cs="Courier New"/>
    </w:rPr>
  </w:style>
  <w:style w:type="character" w:styleId="ListLabel59">
    <w:name w:val="ListLabel 59"/>
    <w:qFormat/>
    <w:rPr>
      <w:rFonts w:cs="Courier New"/>
    </w:rPr>
  </w:style>
  <w:style w:type="character" w:styleId="ListLabel60">
    <w:name w:val="ListLabel 60"/>
    <w:qFormat/>
    <w:rPr>
      <w:rFonts w:cs="Courier New"/>
    </w:rPr>
  </w:style>
  <w:style w:type="character" w:styleId="ListLabel61">
    <w:name w:val="ListLabel 61"/>
    <w:qFormat/>
    <w:rPr>
      <w:rFonts w:cs="Courier New"/>
    </w:rPr>
  </w:style>
  <w:style w:type="character" w:styleId="ListLabel62">
    <w:name w:val="ListLabel 62"/>
    <w:qFormat/>
    <w:rPr>
      <w:rFonts w:cs="Courier New"/>
    </w:rPr>
  </w:style>
  <w:style w:type="character" w:styleId="ListLabel63">
    <w:name w:val="ListLabel 63"/>
    <w:qFormat/>
    <w:rPr>
      <w:rFonts w:eastAsia="Times New Roman" w:cs="Times New Roman"/>
      <w:sz w:val="22"/>
    </w:rPr>
  </w:style>
  <w:style w:type="character" w:styleId="ListLabel64">
    <w:name w:val="ListLabel 64"/>
    <w:qFormat/>
    <w:rPr>
      <w:rFonts w:cs="Symbol"/>
    </w:rPr>
  </w:style>
  <w:style w:type="character" w:styleId="ListLabel65">
    <w:name w:val="ListLabel 65"/>
    <w:qFormat/>
    <w:rPr>
      <w:rFonts w:cs="Courier New"/>
    </w:rPr>
  </w:style>
  <w:style w:type="character" w:styleId="ListLabel66">
    <w:name w:val="ListLabel 66"/>
    <w:qFormat/>
    <w:rPr>
      <w:rFonts w:cs="Wingdings"/>
    </w:rPr>
  </w:style>
  <w:style w:type="character" w:styleId="ListLabel67">
    <w:name w:val="ListLabel 67"/>
    <w:qFormat/>
    <w:rPr>
      <w:rFonts w:cs="Symbol"/>
    </w:rPr>
  </w:style>
  <w:style w:type="character" w:styleId="ListLabel68">
    <w:name w:val="ListLabel 68"/>
    <w:qFormat/>
    <w:rPr>
      <w:rFonts w:cs="Courier New"/>
    </w:rPr>
  </w:style>
  <w:style w:type="character" w:styleId="ListLabel69">
    <w:name w:val="ListLabel 69"/>
    <w:qFormat/>
    <w:rPr>
      <w:rFonts w:cs="Wingdings"/>
    </w:rPr>
  </w:style>
  <w:style w:type="character" w:styleId="ListLabel70">
    <w:name w:val="ListLabel 70"/>
    <w:qFormat/>
    <w:rPr>
      <w:rFonts w:cs="Symbol"/>
    </w:rPr>
  </w:style>
  <w:style w:type="character" w:styleId="ListLabel71">
    <w:name w:val="ListLabel 71"/>
    <w:qFormat/>
    <w:rPr>
      <w:rFonts w:cs="Courier New"/>
    </w:rPr>
  </w:style>
  <w:style w:type="character" w:styleId="ListLabel72">
    <w:name w:val="ListLabel 72"/>
    <w:qFormat/>
    <w:rPr>
      <w:rFonts w:cs="Wingdings"/>
    </w:rPr>
  </w:style>
  <w:style w:type="character" w:styleId="ListLabel73">
    <w:name w:val="ListLabel 73"/>
    <w:qFormat/>
    <w:rPr>
      <w:rFonts w:cs="Symbol"/>
    </w:rPr>
  </w:style>
  <w:style w:type="character" w:styleId="ListLabel74">
    <w:name w:val="ListLabel 74"/>
    <w:qFormat/>
    <w:rPr>
      <w:rFonts w:cs="Courier New"/>
    </w:rPr>
  </w:style>
  <w:style w:type="character" w:styleId="ListLabel75">
    <w:name w:val="ListLabel 75"/>
    <w:qFormat/>
    <w:rPr>
      <w:rFonts w:cs="Wingdings"/>
    </w:rPr>
  </w:style>
  <w:style w:type="character" w:styleId="ListLabel76">
    <w:name w:val="ListLabel 76"/>
    <w:qFormat/>
    <w:rPr>
      <w:rFonts w:cs="Symbol"/>
    </w:rPr>
  </w:style>
  <w:style w:type="character" w:styleId="ListLabel77">
    <w:name w:val="ListLabel 77"/>
    <w:qFormat/>
    <w:rPr>
      <w:rFonts w:cs="Courier New"/>
    </w:rPr>
  </w:style>
  <w:style w:type="character" w:styleId="ListLabel78">
    <w:name w:val="ListLabel 78"/>
    <w:qFormat/>
    <w:rPr>
      <w:rFonts w:cs="Wingdings"/>
    </w:rPr>
  </w:style>
  <w:style w:type="character" w:styleId="ListLabel79">
    <w:name w:val="ListLabel 79"/>
    <w:qFormat/>
    <w:rPr>
      <w:rFonts w:cs="Symbol"/>
    </w:rPr>
  </w:style>
  <w:style w:type="character" w:styleId="ListLabel80">
    <w:name w:val="ListLabel 80"/>
    <w:qFormat/>
    <w:rPr>
      <w:rFonts w:cs="Courier New"/>
    </w:rPr>
  </w:style>
  <w:style w:type="character" w:styleId="ListLabel81">
    <w:name w:val="ListLabel 81"/>
    <w:qFormat/>
    <w:rPr>
      <w:rFonts w:cs="Wingdings"/>
    </w:rPr>
  </w:style>
  <w:style w:type="character" w:styleId="ListLabel82">
    <w:name w:val="ListLabel 82"/>
    <w:qFormat/>
    <w:rPr>
      <w:rFonts w:eastAsia="Calibri" w:cs="Times New Roman"/>
    </w:rPr>
  </w:style>
  <w:style w:type="character" w:styleId="ListLabel83">
    <w:name w:val="ListLabel 83"/>
    <w:qFormat/>
    <w:rPr>
      <w:rFonts w:cs="Symbol"/>
      <w:sz w:val="22"/>
    </w:rPr>
  </w:style>
  <w:style w:type="character" w:styleId="ListLabel84">
    <w:name w:val="ListLabel 84"/>
    <w:qFormat/>
    <w:rPr>
      <w:rFonts w:cs="Courier New"/>
    </w:rPr>
  </w:style>
  <w:style w:type="character" w:styleId="ListLabel85">
    <w:name w:val="ListLabel 85"/>
    <w:qFormat/>
    <w:rPr>
      <w:rFonts w:cs="Wingdings"/>
    </w:rPr>
  </w:style>
  <w:style w:type="character" w:styleId="ListLabel86">
    <w:name w:val="ListLabel 86"/>
    <w:qFormat/>
    <w:rPr>
      <w:rFonts w:cs="Symbol"/>
    </w:rPr>
  </w:style>
  <w:style w:type="character" w:styleId="ListLabel87">
    <w:name w:val="ListLabel 87"/>
    <w:qFormat/>
    <w:rPr>
      <w:rFonts w:cs="Courier New"/>
    </w:rPr>
  </w:style>
  <w:style w:type="character" w:styleId="ListLabel88">
    <w:name w:val="ListLabel 88"/>
    <w:qFormat/>
    <w:rPr>
      <w:rFonts w:cs="Wingdings"/>
    </w:rPr>
  </w:style>
  <w:style w:type="character" w:styleId="ListLabel89">
    <w:name w:val="ListLabel 89"/>
    <w:qFormat/>
    <w:rPr>
      <w:rFonts w:cs="Symbol"/>
    </w:rPr>
  </w:style>
  <w:style w:type="character" w:styleId="ListLabel90">
    <w:name w:val="ListLabel 90"/>
    <w:qFormat/>
    <w:rPr>
      <w:rFonts w:cs="Courier New"/>
    </w:rPr>
  </w:style>
  <w:style w:type="character" w:styleId="ListLabel91">
    <w:name w:val="ListLabel 91"/>
    <w:qFormat/>
    <w:rPr>
      <w:rFonts w:cs="Wingdings"/>
    </w:rPr>
  </w:style>
  <w:style w:type="character" w:styleId="Style20">
    <w:name w:val="Ссылка указателя"/>
    <w:qFormat/>
    <w:rPr/>
  </w:style>
  <w:style w:type="paragraph" w:styleId="Style21">
    <w:name w:val="Заголовок"/>
    <w:basedOn w:val="Normal"/>
    <w:next w:val="Style22"/>
    <w:qFormat/>
    <w:pPr>
      <w:keepNext w:val="true"/>
      <w:spacing w:before="240" w:after="120"/>
    </w:pPr>
    <w:rPr>
      <w:rFonts w:ascii="Liberation Sans" w:hAnsi="Liberation Sans" w:eastAsia="Tahoma" w:cs="Lohit Devanagari"/>
      <w:sz w:val="28"/>
      <w:szCs w:val="28"/>
    </w:rPr>
  </w:style>
  <w:style w:type="paragraph" w:styleId="Style22">
    <w:name w:val="Body Text"/>
    <w:basedOn w:val="Normal"/>
    <w:link w:val="af2"/>
    <w:rsid w:val="0076353a"/>
    <w:pPr>
      <w:spacing w:before="0" w:after="120"/>
    </w:pPr>
    <w:rPr/>
  </w:style>
  <w:style w:type="paragraph" w:styleId="Style23">
    <w:name w:val="List"/>
    <w:basedOn w:val="Style22"/>
    <w:pPr/>
    <w:rPr>
      <w:rFonts w:cs="Lohit Devanagari"/>
    </w:rPr>
  </w:style>
  <w:style w:type="paragraph" w:styleId="Style24">
    <w:name w:val="Caption"/>
    <w:basedOn w:val="Normal"/>
    <w:qFormat/>
    <w:pPr>
      <w:suppressLineNumbers/>
      <w:spacing w:before="120" w:after="120"/>
    </w:pPr>
    <w:rPr>
      <w:rFonts w:cs="Lohit Devanagari"/>
      <w:i/>
      <w:iCs/>
      <w:sz w:val="24"/>
      <w:szCs w:val="24"/>
    </w:rPr>
  </w:style>
  <w:style w:type="paragraph" w:styleId="Style25">
    <w:name w:val="Указатель"/>
    <w:basedOn w:val="Normal"/>
    <w:qFormat/>
    <w:pPr>
      <w:suppressLineNumbers/>
    </w:pPr>
    <w:rPr>
      <w:rFonts w:cs="Lohit Devanagari"/>
    </w:rPr>
  </w:style>
  <w:style w:type="paragraph" w:styleId="Style26" w:customStyle="1">
    <w:name w:val="Название раздела инструкции"/>
    <w:basedOn w:val="Normal"/>
    <w:autoRedefine/>
    <w:qFormat/>
    <w:rsid w:val="00275328"/>
    <w:pPr>
      <w:jc w:val="center"/>
    </w:pPr>
    <w:rPr>
      <w:b/>
    </w:rPr>
  </w:style>
  <w:style w:type="paragraph" w:styleId="Style27" w:customStyle="1">
    <w:name w:val="Раздел положения"/>
    <w:basedOn w:val="Normal"/>
    <w:autoRedefine/>
    <w:qFormat/>
    <w:rsid w:val="007475ee"/>
    <w:pPr>
      <w:spacing w:before="80" w:after="80"/>
      <w:jc w:val="center"/>
    </w:pPr>
    <w:rPr>
      <w:b/>
      <w:sz w:val="32"/>
      <w:szCs w:val="32"/>
    </w:rPr>
  </w:style>
  <w:style w:type="paragraph" w:styleId="Style28" w:customStyle="1">
    <w:name w:val="Подраздел раздела положения"/>
    <w:basedOn w:val="Normal"/>
    <w:autoRedefine/>
    <w:qFormat/>
    <w:rsid w:val="007475ee"/>
    <w:pPr>
      <w:spacing w:before="80" w:after="80"/>
      <w:jc w:val="both"/>
    </w:pPr>
    <w:rPr/>
  </w:style>
  <w:style w:type="paragraph" w:styleId="Footnotetext">
    <w:name w:val="footnote text"/>
    <w:basedOn w:val="Normal"/>
    <w:link w:val="a9"/>
    <w:qFormat/>
    <w:rsid w:val="00d561d9"/>
    <w:pPr/>
    <w:rPr>
      <w:sz w:val="20"/>
      <w:szCs w:val="20"/>
    </w:rPr>
  </w:style>
  <w:style w:type="paragraph" w:styleId="14" w:customStyle="1">
    <w:name w:val="Шапка 1"/>
    <w:basedOn w:val="Normal"/>
    <w:qFormat/>
    <w:rsid w:val="00d561d9"/>
    <w:pPr>
      <w:pBdr>
        <w:bottom w:val="thickThinSmallGap" w:sz="24" w:space="1" w:color="00000A"/>
      </w:pBdr>
      <w:spacing w:before="0" w:after="240"/>
      <w:jc w:val="center"/>
    </w:pPr>
    <w:rPr>
      <w:sz w:val="22"/>
      <w:szCs w:val="22"/>
    </w:rPr>
  </w:style>
  <w:style w:type="paragraph" w:styleId="24" w:customStyle="1">
    <w:name w:val="Шапка 2"/>
    <w:basedOn w:val="Normal"/>
    <w:qFormat/>
    <w:rsid w:val="00d561d9"/>
    <w:pPr>
      <w:pBdr>
        <w:bottom w:val="thickThinSmallGap" w:sz="24" w:space="1" w:color="00000A"/>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A"/>
      </w:pBdr>
      <w:spacing w:before="240" w:after="360"/>
      <w:jc w:val="center"/>
    </w:pPr>
    <w:rPr>
      <w:b/>
      <w:sz w:val="24"/>
      <w:szCs w:val="24"/>
    </w:rPr>
  </w:style>
  <w:style w:type="paragraph" w:styleId="15" w:customStyle="1">
    <w:name w:val="Название1"/>
    <w:basedOn w:val="Normal"/>
    <w:link w:val="ab"/>
    <w:uiPriority w:val="10"/>
    <w:qFormat/>
    <w:rsid w:val="00bd4014"/>
    <w:pPr>
      <w:jc w:val="center"/>
    </w:pPr>
    <w:rPr>
      <w:szCs w:val="20"/>
      <w:lang w:val="x-none" w:eastAsia="x-none"/>
    </w:rPr>
  </w:style>
  <w:style w:type="paragraph" w:styleId="Style29">
    <w:name w:val="Header"/>
    <w:basedOn w:val="Normal"/>
    <w:link w:val="ad"/>
    <w:uiPriority w:val="99"/>
    <w:rsid w:val="0076353a"/>
    <w:pPr>
      <w:tabs>
        <w:tab w:val="center" w:pos="4677" w:leader="none"/>
        <w:tab w:val="right" w:pos="9355" w:leader="none"/>
      </w:tabs>
    </w:pPr>
    <w:rPr>
      <w:sz w:val="24"/>
      <w:szCs w:val="24"/>
    </w:rPr>
  </w:style>
  <w:style w:type="paragraph" w:styleId="Style30">
    <w:name w:val="Body Text Indent"/>
    <w:basedOn w:val="Normal"/>
    <w:rsid w:val="0076353a"/>
    <w:pPr>
      <w:ind w:left="360" w:hanging="0"/>
    </w:pPr>
    <w:rPr>
      <w:sz w:val="24"/>
      <w:szCs w:val="24"/>
    </w:rPr>
  </w:style>
  <w:style w:type="paragraph" w:styleId="Style31">
    <w:name w:val="Footer"/>
    <w:basedOn w:val="Normal"/>
    <w:rsid w:val="0076353a"/>
    <w:pPr>
      <w:tabs>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left="283" w:hanging="0"/>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qFormat/>
    <w:rsid w:val="0076353a"/>
    <w:pPr>
      <w:spacing w:before="0" w:after="120"/>
      <w:ind w:left="283" w:hanging="0"/>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left="-567" w:right="-766" w:hanging="0"/>
      <w:jc w:val="center"/>
    </w:pPr>
    <w:rPr>
      <w:b/>
      <w:bCs/>
      <w:sz w:val="24"/>
      <w:szCs w:val="20"/>
    </w:rPr>
  </w:style>
  <w:style w:type="paragraph" w:styleId="Style32" w:customStyle="1">
    <w:name w:val="Подпункт"/>
    <w:basedOn w:val="Normal"/>
    <w:link w:val="15"/>
    <w:qFormat/>
    <w:rsid w:val="0076353a"/>
    <w:pPr>
      <w:tabs>
        <w:tab w:val="left" w:pos="1134" w:leader="none"/>
      </w:tabs>
      <w:snapToGrid w:val="false"/>
      <w:spacing w:lineRule="auto" w:line="360"/>
      <w:ind w:left="1134" w:hanging="1134"/>
      <w:jc w:val="both"/>
    </w:pPr>
    <w:rPr>
      <w:szCs w:val="20"/>
      <w:lang w:val="x-none" w:eastAsia="x-none"/>
    </w:rPr>
  </w:style>
  <w:style w:type="paragraph" w:styleId="25" w:customStyle="1">
    <w:name w:val="Пункт2"/>
    <w:basedOn w:val="Normal"/>
    <w:link w:val="29"/>
    <w:qFormat/>
    <w:rsid w:val="0076353a"/>
    <w:pPr>
      <w:keepNext w:val="true"/>
      <w:tabs>
        <w:tab w:val="left" w:pos="1134" w:leader="none"/>
      </w:tabs>
      <w:suppressAutoHyphens w:val="true"/>
      <w:snapToGrid w:val="false"/>
      <w:spacing w:before="240" w:after="120"/>
      <w:ind w:left="1134" w:hanging="1134"/>
      <w:outlineLvl w:val="2"/>
    </w:pPr>
    <w:rPr>
      <w:b/>
      <w:szCs w:val="20"/>
    </w:rPr>
  </w:style>
  <w:style w:type="paragraph" w:styleId="16">
    <w:name w:val="TOC 1"/>
    <w:basedOn w:val="Normal"/>
    <w:autoRedefine/>
    <w:uiPriority w:val="39"/>
    <w:rsid w:val="00c517de"/>
    <w:pPr>
      <w:spacing w:before="120" w:after="0"/>
    </w:pPr>
    <w:rPr>
      <w:rFonts w:cs="Calibri Light (Заголовки)"/>
      <w:b/>
      <w:bCs/>
      <w:sz w:val="24"/>
      <w:szCs w:val="24"/>
    </w:rPr>
  </w:style>
  <w:style w:type="paragraph" w:styleId="34">
    <w:name w:val="TOC 3"/>
    <w:basedOn w:val="Normal"/>
    <w:autoRedefine/>
    <w:uiPriority w:val="39"/>
    <w:rsid w:val="0005022c"/>
    <w:pPr>
      <w:tabs>
        <w:tab w:val="left" w:pos="1120" w:leader="none"/>
        <w:tab w:val="right" w:pos="9911" w:leader="dot"/>
      </w:tabs>
      <w:ind w:left="280" w:hanging="0"/>
    </w:pPr>
    <w:rPr>
      <w:rFonts w:cs="Calibri" w:cstheme="minorHAnsi"/>
      <w:color w:val="000000" w:themeColor="text1"/>
      <w:sz w:val="20"/>
      <w:szCs w:val="20"/>
    </w:rPr>
  </w:style>
  <w:style w:type="paragraph" w:styleId="Style33" w:customStyle="1">
    <w:name w:val="Раздел регламента"/>
    <w:basedOn w:val="Normal"/>
    <w:qFormat/>
    <w:rsid w:val="00e228fa"/>
    <w:pPr/>
    <w:rPr/>
  </w:style>
  <w:style w:type="paragraph" w:styleId="Style34" w:customStyle="1">
    <w:name w:val="Приложение к регламенту"/>
    <w:basedOn w:val="Normal"/>
    <w:qFormat/>
    <w:rsid w:val="00e228fa"/>
    <w:pPr>
      <w:jc w:val="right"/>
    </w:pPr>
    <w:rPr/>
  </w:style>
  <w:style w:type="paragraph" w:styleId="26">
    <w:name w:val="TOC 2"/>
    <w:basedOn w:val="Normal"/>
    <w:autoRedefine/>
    <w:uiPriority w:val="39"/>
    <w:rsid w:val="00693883"/>
    <w:pPr>
      <w:spacing w:before="240" w:after="0"/>
    </w:pPr>
    <w:rPr>
      <w:rFonts w:cs="Calibri" w:cstheme="minorHAnsi"/>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afc"/>
    <w:semiHidden/>
    <w:qFormat/>
    <w:rsid w:val="00b714b0"/>
    <w:pPr/>
    <w:rPr>
      <w:sz w:val="20"/>
      <w:szCs w:val="20"/>
    </w:rPr>
  </w:style>
  <w:style w:type="paragraph" w:styleId="Annotationsubject">
    <w:name w:val="annotation subject"/>
    <w:basedOn w:val="Annotationtext"/>
    <w:semiHidden/>
    <w:qFormat/>
    <w:rsid w:val="00b714b0"/>
    <w:pPr/>
    <w:rPr>
      <w:b/>
      <w:bCs/>
    </w:rPr>
  </w:style>
  <w:style w:type="paragraph" w:styleId="17"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92">
    <w:name w:val="TOC 9"/>
    <w:basedOn w:val="Normal"/>
    <w:autoRedefine/>
    <w:semiHidden/>
    <w:rsid w:val="00f57628"/>
    <w:pPr>
      <w:ind w:left="1960" w:hanging="0"/>
    </w:pPr>
    <w:rPr>
      <w:rFonts w:ascii="Calibri" w:hAnsi="Calibri" w:cs="Calibri" w:asciiTheme="minorHAnsi" w:cstheme="minorHAnsi" w:hAnsiTheme="minorHAnsi"/>
      <w:sz w:val="20"/>
      <w:szCs w:val="20"/>
    </w:rPr>
  </w:style>
  <w:style w:type="paragraph" w:styleId="52">
    <w:name w:val="TOC 5"/>
    <w:basedOn w:val="Normal"/>
    <w:autoRedefine/>
    <w:semiHidden/>
    <w:rsid w:val="00f57628"/>
    <w:pPr>
      <w:ind w:left="840" w:hanging="0"/>
    </w:pPr>
    <w:rPr>
      <w:rFonts w:ascii="Calibri" w:hAnsi="Calibri" w:cs="Calibri" w:asciiTheme="minorHAnsi" w:cstheme="minorHAnsi" w:hAnsiTheme="minorHAnsi"/>
      <w:sz w:val="20"/>
      <w:szCs w:val="20"/>
    </w:rPr>
  </w:style>
  <w:style w:type="paragraph" w:styleId="42">
    <w:name w:val="TOC 4"/>
    <w:basedOn w:val="Normal"/>
    <w:autoRedefine/>
    <w:uiPriority w:val="39"/>
    <w:rsid w:val="006b6b70"/>
    <w:pPr>
      <w:tabs>
        <w:tab w:val="left" w:pos="1120" w:leader="none"/>
        <w:tab w:val="right" w:pos="9911" w:leader="none"/>
      </w:tabs>
      <w:ind w:left="560" w:hanging="0"/>
    </w:pPr>
    <w:rPr>
      <w:rFonts w:cs="Calibri" w:cstheme="minorHAnsi"/>
      <w:sz w:val="20"/>
      <w:szCs w:val="20"/>
    </w:rPr>
  </w:style>
  <w:style w:type="paragraph" w:styleId="27" w:customStyle="1">
    <w:name w:val="Раздел положения 2"/>
    <w:basedOn w:val="Normal"/>
    <w:qFormat/>
    <w:rsid w:val="002c1e0e"/>
    <w:pPr>
      <w:pageBreakBefore/>
      <w:jc w:val="both"/>
      <w:outlineLvl w:val="0"/>
    </w:pPr>
    <w:rPr>
      <w:b/>
    </w:rPr>
  </w:style>
  <w:style w:type="paragraph" w:styleId="Style35"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Caption">
    <w:name w:val="caption"/>
    <w:basedOn w:val="Normal"/>
    <w:uiPriority w:val="35"/>
    <w:qFormat/>
    <w:rsid w:val="00d22f6d"/>
    <w:pPr/>
    <w:rPr>
      <w:rFonts w:eastAsia="Calibri"/>
      <w:b/>
      <w:bCs/>
      <w:color w:val="4F81BD"/>
      <w:sz w:val="18"/>
      <w:szCs w:val="18"/>
    </w:rPr>
  </w:style>
  <w:style w:type="paragraph" w:styleId="Style36">
    <w:name w:val="Subtitle"/>
    <w:basedOn w:val="Normal"/>
    <w:link w:val="aff3"/>
    <w:uiPriority w:val="11"/>
    <w:qFormat/>
    <w:rsid w:val="00d22f6d"/>
    <w:pPr>
      <w:ind w:left="1066" w:firstLine="709"/>
    </w:pPr>
    <w:rPr>
      <w:rFonts w:ascii="Cambria" w:hAnsi="Cambria"/>
      <w:i/>
      <w:iCs/>
      <w:color w:val="4F81BD"/>
      <w:spacing w:val="15"/>
      <w:sz w:val="24"/>
      <w:szCs w:val="24"/>
      <w:lang w:val="x-none" w:eastAsia="x-none"/>
    </w:rPr>
  </w:style>
  <w:style w:type="paragraph" w:styleId="ListParagraph">
    <w:name w:val="List Paragraph"/>
    <w:basedOn w:val="Normal"/>
    <w:link w:val="aff6"/>
    <w:uiPriority w:val="34"/>
    <w:qFormat/>
    <w:rsid w:val="00d22f6d"/>
    <w:pPr>
      <w:spacing w:before="0" w:after="0"/>
      <w:ind w:left="720" w:hanging="0"/>
      <w:contextualSpacing/>
    </w:pPr>
    <w:rPr>
      <w:rFonts w:eastAsia="Calibri"/>
      <w:sz w:val="24"/>
      <w:szCs w:val="24"/>
    </w:rPr>
  </w:style>
  <w:style w:type="paragraph" w:styleId="Quote">
    <w:name w:val="Quote"/>
    <w:basedOn w:val="Normal"/>
    <w:link w:val="2d"/>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link w:val="aff8"/>
    <w:uiPriority w:val="30"/>
    <w:qFormat/>
    <w:rsid w:val="00d22f6d"/>
    <w:pPr>
      <w:pBdr>
        <w:bottom w:val="single" w:sz="4" w:space="4" w:color="4F81BD"/>
      </w:pBdr>
      <w:spacing w:before="200" w:after="280"/>
      <w:ind w:left="936" w:right="936" w:hanging="0"/>
    </w:pPr>
    <w:rPr>
      <w:rFonts w:ascii="Calibri" w:hAnsi="Calibri" w:eastAsia="Calibri"/>
      <w:b/>
      <w:bCs/>
      <w:i/>
      <w:iCs/>
      <w:color w:val="4F81BD"/>
      <w:sz w:val="20"/>
      <w:szCs w:val="20"/>
      <w:lang w:val="x-none" w:eastAsia="x-none"/>
    </w:rPr>
  </w:style>
  <w:style w:type="paragraph" w:styleId="TOCHeading">
    <w:name w:val="TOC Heading"/>
    <w:basedOn w:val="1"/>
    <w:uiPriority w:val="39"/>
    <w:qFormat/>
    <w:rsid w:val="00d22f6d"/>
    <w:pPr>
      <w:keepLines/>
      <w:numPr>
        <w:ilvl w:val="0"/>
        <w:numId w:val="0"/>
      </w:numPr>
      <w:spacing w:before="480" w:after="60"/>
      <w:ind w:left="5038" w:hanging="0"/>
    </w:pPr>
    <w:rPr>
      <w:rFonts w:ascii="Cambria" w:hAnsi="Cambria"/>
      <w:bCs/>
      <w:color w:val="365F91"/>
    </w:rPr>
  </w:style>
  <w:style w:type="paragraph" w:styleId="EmailSignature">
    <w:name w:val="E-mail Signature"/>
    <w:basedOn w:val="Normal"/>
    <w:link w:val="afff0"/>
    <w:uiPriority w:val="99"/>
    <w:unhideWhenUsed/>
    <w:qFormat/>
    <w:rsid w:val="00d22f6d"/>
    <w:pPr/>
    <w:rPr>
      <w:rFonts w:eastAsia="Calibri"/>
      <w:sz w:val="24"/>
      <w:szCs w:val="24"/>
      <w:lang w:val="x-none" w:eastAsia="x-none"/>
    </w:rPr>
  </w:style>
  <w:style w:type="paragraph" w:styleId="Style37"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5" w:customStyle="1">
    <w:name w:val="Нумерованный список ур3"/>
    <w:basedOn w:val="Normal"/>
    <w:qFormat/>
    <w:rsid w:val="00d22f6d"/>
    <w:pPr>
      <w:jc w:val="both"/>
    </w:pPr>
    <w:rPr>
      <w:rFonts w:ascii="Garamond" w:hAnsi="Garamond"/>
      <w:sz w:val="24"/>
      <w:szCs w:val="20"/>
    </w:rPr>
  </w:style>
  <w:style w:type="paragraph" w:styleId="18" w:customStyle="1">
    <w:name w:val="List 3"/>
    <w:basedOn w:val="Normal"/>
    <w:rsid w:val="00d22f6d"/>
    <w:pPr>
      <w:spacing w:before="120" w:after="0"/>
      <w:jc w:val="both"/>
    </w:pPr>
    <w:rPr>
      <w:rFonts w:ascii="Garamond" w:hAnsi="Garamond"/>
      <w:sz w:val="24"/>
      <w:szCs w:val="20"/>
    </w:rPr>
  </w:style>
  <w:style w:type="paragraph" w:styleId="28" w:customStyle="1">
    <w:name w:val="Нумерованный список ур2"/>
    <w:basedOn w:val="Normal"/>
    <w:qFormat/>
    <w:rsid w:val="00d22f6d"/>
    <w:pPr>
      <w:spacing w:before="120" w:after="0"/>
      <w:jc w:val="both"/>
    </w:pPr>
    <w:rPr>
      <w:rFonts w:ascii="Garamond" w:hAnsi="Garamond"/>
      <w:sz w:val="24"/>
      <w:szCs w:val="20"/>
    </w:rPr>
  </w:style>
  <w:style w:type="paragraph" w:styleId="Revision">
    <w:name w:val="Revision"/>
    <w:uiPriority w:val="99"/>
    <w:semiHidden/>
    <w:qFormat/>
    <w:rsid w:val="00d22f6d"/>
    <w:pPr>
      <w:widowControl/>
      <w:bidi w:val="0"/>
      <w:jc w:val="left"/>
    </w:pPr>
    <w:rPr>
      <w:rFonts w:eastAsia="Calibri" w:ascii="Times New Roman" w:hAnsi="Times New Roman" w:cs="Times New Roman"/>
      <w:color w:val="auto"/>
      <w:sz w:val="24"/>
      <w:szCs w:val="24"/>
      <w:lang w:val="ru-RU" w:eastAsia="ru-RU" w:bidi="ar-SA"/>
    </w:rPr>
  </w:style>
  <w:style w:type="paragraph" w:styleId="ConsPlusNormal" w:customStyle="1">
    <w:name w:val="ConsPlusNormal"/>
    <w:qFormat/>
    <w:rsid w:val="00d22f6d"/>
    <w:pPr>
      <w:widowControl w:val="false"/>
      <w:bidi w:val="0"/>
      <w:ind w:firstLine="720"/>
      <w:jc w:val="left"/>
    </w:pPr>
    <w:rPr>
      <w:rFonts w:ascii="Arial" w:hAnsi="Arial" w:cs="Arial" w:eastAsia="Times New Roman"/>
      <w:color w:val="auto"/>
      <w:sz w:val="28"/>
      <w:szCs w:val="20"/>
      <w:lang w:val="ru-RU" w:eastAsia="ru-RU" w:bidi="ar-SA"/>
    </w:rPr>
  </w:style>
  <w:style w:type="paragraph" w:styleId="36"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38" w:customStyle="1">
    <w:name w:val="Пункт"/>
    <w:basedOn w:val="Normal"/>
    <w:qFormat/>
    <w:rsid w:val="00d22f6d"/>
    <w:pPr>
      <w:widowControl w:val="false"/>
      <w:tabs>
        <w:tab w:val="left" w:pos="1134" w:leader="none"/>
      </w:tabs>
      <w:spacing w:lineRule="auto" w:line="360" w:before="120" w:after="0"/>
      <w:ind w:left="1134" w:right="800" w:hanging="1134"/>
      <w:jc w:val="both"/>
    </w:pPr>
    <w:rPr>
      <w:rFonts w:ascii="Arial" w:hAnsi="Arial"/>
      <w:b/>
      <w:i/>
      <w:szCs w:val="20"/>
    </w:rPr>
  </w:style>
  <w:style w:type="paragraph" w:styleId="19" w:customStyle="1">
    <w:name w:val="Абзац списка1"/>
    <w:basedOn w:val="Normal"/>
    <w:qFormat/>
    <w:rsid w:val="00d22f6d"/>
    <w:pPr>
      <w:spacing w:lineRule="auto" w:line="276" w:before="0" w:after="200"/>
      <w:ind w:left="720" w:hanging="0"/>
      <w:contextualSpacing/>
    </w:pPr>
    <w:rPr>
      <w:rFonts w:ascii="Calibri" w:hAnsi="Calibri"/>
      <w:sz w:val="22"/>
      <w:szCs w:val="22"/>
      <w:lang w:eastAsia="en-US"/>
    </w:rPr>
  </w:style>
  <w:style w:type="paragraph" w:styleId="Style39"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40" w:customStyle="1">
    <w:name w:val="Таблица шапка"/>
    <w:basedOn w:val="Normal"/>
    <w:qFormat/>
    <w:rsid w:val="00f64089"/>
    <w:pPr>
      <w:keepNext w:val="true"/>
      <w:spacing w:before="40" w:after="40"/>
      <w:ind w:left="57" w:right="57" w:hanging="0"/>
    </w:pPr>
    <w:rPr>
      <w:sz w:val="22"/>
      <w:szCs w:val="26"/>
    </w:rPr>
  </w:style>
  <w:style w:type="paragraph" w:styleId="Style41" w:customStyle="1">
    <w:name w:val="Подподпункт"/>
    <w:basedOn w:val="Style32"/>
    <w:link w:val="afff8"/>
    <w:qFormat/>
    <w:rsid w:val="0025139e"/>
    <w:pPr>
      <w:tabs>
        <w:tab w:val="left" w:pos="5104" w:leader="none"/>
      </w:tabs>
      <w:snapToGrid w:val="true"/>
      <w:spacing w:lineRule="auto" w:line="240" w:before="120" w:after="0"/>
      <w:ind w:left="5104" w:hanging="567"/>
    </w:pPr>
    <w:rPr>
      <w:sz w:val="26"/>
      <w:szCs w:val="26"/>
      <w:lang w:val="ru-RU" w:eastAsia="ru-RU"/>
    </w:rPr>
  </w:style>
  <w:style w:type="paragraph" w:styleId="Style42" w:customStyle="1">
    <w:name w:val="УРОВЕНЬ_(а)"/>
    <w:basedOn w:val="ListParagraph"/>
    <w:qFormat/>
    <w:rsid w:val="00b56f46"/>
    <w:pPr>
      <w:spacing w:lineRule="exact" w:line="360" w:before="120" w:after="0"/>
      <w:jc w:val="both"/>
      <w:outlineLvl w:val="3"/>
    </w:pPr>
    <w:rPr>
      <w:sz w:val="26"/>
      <w:szCs w:val="28"/>
      <w:lang w:eastAsia="en-US"/>
    </w:rPr>
  </w:style>
  <w:style w:type="paragraph" w:styleId="Style43" w:customStyle="1">
    <w:name w:val="УРОВЕНЬ_-"/>
    <w:basedOn w:val="ListParagraph"/>
    <w:qFormat/>
    <w:rsid w:val="00b56f46"/>
    <w:pPr>
      <w:spacing w:lineRule="exact" w:line="360" w:before="120" w:after="0"/>
      <w:jc w:val="both"/>
      <w:outlineLvl w:val="4"/>
    </w:pPr>
    <w:rPr>
      <w:sz w:val="26"/>
      <w:szCs w:val="28"/>
      <w:lang w:eastAsia="en-US"/>
    </w:rPr>
  </w:style>
  <w:style w:type="paragraph" w:styleId="29" w:customStyle="1">
    <w:name w:val="УРОВЕНЬ_Абзац_тип2"/>
    <w:basedOn w:val="ListParagraph"/>
    <w:qFormat/>
    <w:rsid w:val="00b56f46"/>
    <w:pPr>
      <w:spacing w:lineRule="exact" w:line="360" w:before="120" w:after="0"/>
      <w:jc w:val="both"/>
    </w:pPr>
    <w:rPr>
      <w:sz w:val="26"/>
      <w:szCs w:val="28"/>
      <w:lang w:eastAsia="en-US"/>
    </w:rPr>
  </w:style>
  <w:style w:type="paragraph" w:styleId="37" w:customStyle="1">
    <w:name w:val="УРОВЕНЬ_Абзац_тип3"/>
    <w:basedOn w:val="ListParagraph"/>
    <w:link w:val="38"/>
    <w:qFormat/>
    <w:rsid w:val="00b56f46"/>
    <w:pPr>
      <w:spacing w:lineRule="exact" w:line="360" w:before="120" w:after="0"/>
      <w:jc w:val="both"/>
    </w:pPr>
    <w:rPr>
      <w:sz w:val="26"/>
      <w:szCs w:val="28"/>
      <w:lang w:eastAsia="en-US"/>
    </w:rPr>
  </w:style>
  <w:style w:type="paragraph" w:styleId="Style44" w:customStyle="1">
    <w:name w:val="УРОВЕНЬ_Подпись"/>
    <w:basedOn w:val="ListParagraph"/>
    <w:qFormat/>
    <w:rsid w:val="00b56f46"/>
    <w:pPr>
      <w:keepNext w:val="true"/>
      <w:spacing w:lineRule="exact" w:line="360" w:before="120" w:after="120"/>
      <w:jc w:val="right"/>
      <w:outlineLvl w:val="3"/>
    </w:pPr>
    <w:rPr>
      <w:sz w:val="26"/>
      <w:szCs w:val="28"/>
      <w:lang w:eastAsia="en-US"/>
    </w:rPr>
  </w:style>
  <w:style w:type="paragraph" w:styleId="110" w:customStyle="1">
    <w:name w:val="Стиль Заголовок 1 + по ширине"/>
    <w:basedOn w:val="1"/>
    <w:qFormat/>
    <w:rsid w:val="005773b2"/>
    <w:pPr>
      <w:keepLines/>
      <w:numPr>
        <w:ilvl w:val="0"/>
        <w:numId w:val="0"/>
      </w:numPr>
      <w:tabs>
        <w:tab w:val="left" w:pos="567" w:leader="none"/>
      </w:tabs>
      <w:suppressAutoHyphens w:val="true"/>
      <w:spacing w:before="480" w:after="240"/>
      <w:ind w:left="567" w:hanging="567"/>
      <w:jc w:val="both"/>
    </w:pPr>
    <w:rPr>
      <w:rFonts w:ascii="Arial" w:hAnsi="Arial" w:eastAsia="Times New Roman"/>
      <w:bCs/>
      <w:sz w:val="40"/>
      <w:szCs w:val="20"/>
      <w:lang w:val="ru-RU" w:eastAsia="ru-RU"/>
    </w:rPr>
  </w:style>
  <w:style w:type="paragraph" w:styleId="Endnotetext">
    <w:name w:val="endnote text"/>
    <w:basedOn w:val="Normal"/>
    <w:link w:val="afffa"/>
    <w:qFormat/>
    <w:rsid w:val="003879d4"/>
    <w:pPr/>
    <w:rPr>
      <w:sz w:val="20"/>
      <w:szCs w:val="20"/>
    </w:rPr>
  </w:style>
  <w:style w:type="paragraph" w:styleId="210" w:customStyle="1">
    <w:name w:val="Заголовок 2 КВВ"/>
    <w:basedOn w:val="Normal"/>
    <w:qFormat/>
    <w:rsid w:val="00cb35e8"/>
    <w:pPr>
      <w:keepNext w:val="true"/>
      <w:suppressAutoHyphens w:val="true"/>
      <w:spacing w:before="120" w:after="120"/>
      <w:jc w:val="both"/>
      <w:outlineLvl w:val="0"/>
    </w:pPr>
    <w:rPr>
      <w:b/>
      <w:sz w:val="24"/>
      <w:szCs w:val="20"/>
      <w:lang w:eastAsia="x-none"/>
    </w:rPr>
  </w:style>
  <w:style w:type="paragraph" w:styleId="Style45" w:customStyle="1">
    <w:name w:val="Таблица текст"/>
    <w:basedOn w:val="Normal"/>
    <w:qFormat/>
    <w:rsid w:val="00343e95"/>
    <w:pPr>
      <w:spacing w:before="40" w:after="40"/>
      <w:ind w:left="57" w:right="57" w:hanging="0"/>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11" w:customStyle="1">
    <w:name w:val="УРОВЕНЬ_1."/>
    <w:basedOn w:val="ListParagraph"/>
    <w:link w:val="1b"/>
    <w:qFormat/>
    <w:rsid w:val="004a17ae"/>
    <w:pPr>
      <w:keepNext w:val="true"/>
      <w:keepLines/>
      <w:spacing w:lineRule="auto" w:line="276" w:before="240" w:after="120"/>
      <w:ind w:left="0" w:hanging="0"/>
      <w:jc w:val="both"/>
      <w:outlineLvl w:val="0"/>
    </w:pPr>
    <w:rPr>
      <w:caps/>
      <w:sz w:val="28"/>
      <w:szCs w:val="28"/>
      <w:lang w:eastAsia="en-US"/>
    </w:rPr>
  </w:style>
  <w:style w:type="paragraph" w:styleId="62">
    <w:name w:val="TOC 6"/>
    <w:basedOn w:val="Normal"/>
    <w:autoRedefine/>
    <w:unhideWhenUsed/>
    <w:rsid w:val="00d849aa"/>
    <w:pPr>
      <w:ind w:left="1120" w:hanging="0"/>
    </w:pPr>
    <w:rPr>
      <w:rFonts w:ascii="Calibri" w:hAnsi="Calibri" w:cs="Calibri" w:asciiTheme="minorHAnsi" w:cstheme="minorHAnsi" w:hAnsiTheme="minorHAnsi"/>
      <w:sz w:val="20"/>
      <w:szCs w:val="20"/>
    </w:rPr>
  </w:style>
  <w:style w:type="paragraph" w:styleId="72">
    <w:name w:val="TOC 7"/>
    <w:basedOn w:val="Normal"/>
    <w:autoRedefine/>
    <w:unhideWhenUsed/>
    <w:rsid w:val="00d849aa"/>
    <w:pPr>
      <w:ind w:left="1400" w:hanging="0"/>
    </w:pPr>
    <w:rPr>
      <w:rFonts w:ascii="Calibri" w:hAnsi="Calibri" w:cs="Calibri" w:asciiTheme="minorHAnsi" w:cstheme="minorHAnsi" w:hAnsiTheme="minorHAnsi"/>
      <w:sz w:val="20"/>
      <w:szCs w:val="20"/>
    </w:rPr>
  </w:style>
  <w:style w:type="paragraph" w:styleId="82">
    <w:name w:val="TOC 8"/>
    <w:basedOn w:val="Normal"/>
    <w:autoRedefine/>
    <w:unhideWhenUsed/>
    <w:rsid w:val="00d849aa"/>
    <w:pPr>
      <w:ind w:left="1680" w:hanging="0"/>
    </w:pPr>
    <w:rPr>
      <w:rFonts w:ascii="Calibri" w:hAnsi="Calibri" w:cs="Calibri" w:asciiTheme="minorHAnsi" w:cstheme="minorHAnsi" w:hAnsiTheme="minorHAnsi"/>
      <w:sz w:val="20"/>
      <w:szCs w:val="20"/>
    </w:rPr>
  </w:style>
  <w:style w:type="paragraph" w:styleId="Style46" w:customStyle="1">
    <w:name w:val="[РГ] Текст"/>
    <w:basedOn w:val="Normal"/>
    <w:qFormat/>
    <w:rsid w:val="00334111"/>
    <w:pPr>
      <w:spacing w:before="120" w:after="0"/>
      <w:jc w:val="both"/>
    </w:pPr>
    <w:rPr>
      <w:rFonts w:cs="Times New Roman (???????? ?????"/>
      <w:color w:val="000000"/>
      <w:sz w:val="26"/>
      <w:szCs w:val="24"/>
      <w:lang w:eastAsia="en-US"/>
    </w:rPr>
  </w:style>
  <w:style w:type="paragraph" w:styleId="Standard" w:customStyle="1">
    <w:name w:val="Standard"/>
    <w:qFormat/>
    <w:rsid w:val="00ab08c7"/>
    <w:pPr>
      <w:widowControl/>
      <w:suppressAutoHyphens w:val="true"/>
      <w:bidi w:val="0"/>
      <w:jc w:val="left"/>
      <w:textAlignment w:val="baseline"/>
    </w:pPr>
    <w:rPr>
      <w:rFonts w:ascii="Liberation Serif" w:hAnsi="Liberation Serif" w:eastAsia="Tahoma" w:cs="Lohit Devanagari"/>
      <w:color w:val="auto"/>
      <w:sz w:val="24"/>
      <w:szCs w:val="24"/>
      <w:lang w:eastAsia="zh-CN" w:bidi="hi-IN" w:val="ru-RU"/>
    </w:rPr>
  </w:style>
  <w:style w:type="numbering" w:styleId="NoList" w:default="1">
    <w:name w:val="No List"/>
    <w:uiPriority w:val="99"/>
    <w:semiHidden/>
    <w:unhideWhenUsed/>
    <w:qFormat/>
  </w:style>
  <w:style w:type="numbering" w:styleId="112" w:customStyle="1">
    <w:name w:val="Стиль1"/>
    <w:uiPriority w:val="99"/>
    <w:qFormat/>
    <w:rsid w:val="00f001e4"/>
  </w:style>
  <w:style w:type="numbering" w:styleId="211" w:customStyle="1">
    <w:name w:val="Стиль2"/>
    <w:uiPriority w:val="99"/>
    <w:qFormat/>
    <w:rsid w:val="006629c9"/>
  </w:style>
  <w:style w:type="table" w:default="1" w:styleId="a5">
    <w:name w:val="Normal Table"/>
    <w:uiPriority w:val="99"/>
    <w:semiHidden/>
    <w:unhideWhenUsed/>
    <w:tblPr>
      <w:tblInd w:w="0" w:type="dxa"/>
      <w:tblCellMar>
        <w:top w:w="0" w:type="dxa"/>
        <w:left w:w="108" w:type="dxa"/>
        <w:bottom w:w="0" w:type="dxa"/>
        <w:right w:w="108" w:type="dxa"/>
      </w:tblCellMar>
    </w:tblPr>
  </w:style>
  <w:style w:type="table" w:styleId="af">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c">
    <w:name w:val="Сетка таблицы1"/>
    <w:basedOn w:val="a5"/>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59BCE-681E-472B-A387-9D67295AF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LibreOffice/5.3.6.1$Linux_X86_64 LibreOffice_project/30$Build-1</Application>
  <Pages>28</Pages>
  <Words>6914</Words>
  <Characters>48745</Characters>
  <CharactersWithSpaces>55742</CharactersWithSpaces>
  <Paragraphs>760</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2023-08-23T06:00:00Z</dcterms:created>
  <dc:creator>Быстров Олег Геннадьевич</dc:creator>
  <dc:description/>
  <dc:language>ru-RU</dc:language>
  <cp:lastModifiedBy/>
  <cp:lastPrinted>2006-07-26T14:04:00Z</cp:lastPrinted>
  <dcterms:modified xsi:type="dcterms:W3CDTF">2026-10-01T15:45:53Z</dcterms:modified>
  <cp:revision>5</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