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spacing w:before="0" w:after="120"/>
        <w:jc w:val="right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Приложение</w:t>
      </w:r>
      <w:bookmarkStart w:id="0" w:name="_GoBack"/>
      <w:bookmarkEnd w:id="0"/>
      <w:r>
        <w:rPr>
          <w:rFonts w:eastAsia="Calibri"/>
          <w:b/>
          <w:i/>
          <w:sz w:val="26"/>
          <w:szCs w:val="26"/>
        </w:rPr>
        <w:t xml:space="preserve"> к ТТ</w:t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  <w:t>требования к Участнику закупки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 закупку </w:t>
      </w:r>
      <w:r>
        <w:rPr>
          <w:rFonts w:eastAsia="Microsoft YaHei"/>
          <w:b/>
          <w:sz w:val="26"/>
          <w:szCs w:val="26"/>
        </w:rPr>
        <w:t>«ОКПД2 80.10.12. Услуги по обеспечению физической охраны административных и производственных объектов филиала АО «ДРСК» «Приморские электрические сети»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/>
          <w:sz w:val="26"/>
          <w:szCs w:val="26"/>
        </w:rPr>
      </w:pPr>
      <w:r>
        <w:rPr/>
      </w:r>
    </w:p>
    <w:p>
      <w:pPr>
        <w:pStyle w:val="ListParagraph"/>
        <w:keepNext w:val="true"/>
        <w:numPr>
          <w:ilvl w:val="0"/>
          <w:numId w:val="2"/>
        </w:numPr>
        <w:spacing w:before="60" w:after="240"/>
        <w:ind w:left="567" w:hanging="567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Специальные требования</w:t>
      </w:r>
    </w:p>
    <w:p>
      <w:pPr>
        <w:pStyle w:val="ListParagraph"/>
        <w:keepNext w:val="true"/>
        <w:spacing w:before="60" w:after="0"/>
        <w:ind w:left="0" w:hanging="0"/>
        <w:contextualSpacing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 1. Перечень специальных требований</w:t>
      </w:r>
    </w:p>
    <w:p>
      <w:pPr>
        <w:pStyle w:val="ListParagraph"/>
        <w:keepNext w:val="true"/>
        <w:spacing w:before="60" w:after="0"/>
        <w:ind w:left="0" w:hanging="0"/>
        <w:contextualSpacing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tbl>
      <w:tblPr>
        <w:tblW w:w="9923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75"/>
        <w:gridCol w:w="4527"/>
        <w:gridCol w:w="4821"/>
      </w:tblGrid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№ </w:t>
            </w:r>
            <w:r>
              <w:rPr>
                <w:b/>
                <w:bCs/>
                <w:szCs w:val="24"/>
              </w:rPr>
              <w:t>п/п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Требования к Участникам</w:t>
            </w:r>
          </w:p>
          <w:p>
            <w:pPr>
              <w:pStyle w:val="Normal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соответствии со ст. 11 ФЗ № 2487-1 от 11.03.1992: </w:t>
            </w:r>
          </w:p>
          <w:p>
            <w:pPr>
              <w:pStyle w:val="Normal"/>
              <w:jc w:val="both"/>
              <w:rPr>
                <w:i/>
                <w:i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i/>
                <w:szCs w:val="24"/>
              </w:rPr>
              <w:t>Оказание услуг в сфере охраны разрешается только организациям, специально учреждаемым для их выполнения и имеющим лицензию, предоставленную федеральным органом исполнительной власти, уполномоченным в сфере частной охранной деятельности, или его территориальным органом.</w:t>
            </w:r>
          </w:p>
          <w:p>
            <w:pPr>
              <w:pStyle w:val="Normal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 xml:space="preserve">  </w:t>
            </w:r>
          </w:p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Для подтверждения указанному требованию </w:t>
            </w:r>
            <w:r>
              <w:rPr>
                <w:szCs w:val="24"/>
              </w:rPr>
              <w:t>Участник должен предоставить в составе заявки: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tabs>
                <w:tab w:val="left" w:pos="0" w:leader="none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1. Для частных охранных предприятий: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копию действующей лицензии от органов лицензионно-разрешительной системы Федеральной службы войск национальной гвардии на оказание охранных услуг по требуемым видам деятельности. согласно ст. 12 Федерального закона от 04.05.2011 № 99-ФЗ «О лицензировании отдельных видов деятельности»: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Частная охранная организация должна иметь лицензию на право осуществления охранной деятельности на территории РФ по следующим видам охранных услуг  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п. 1) защита жизни и здоровья граждан;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п. 3)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информацию;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п. 7)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РФ от 11.03.1992 № 2487-1 (ред. от 28.12.2022) «О частной детективной и охранной деятельности в Российской Федерации».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2. Для подразделений войск национальной гвардии: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копию Положения о соответствующем подразделении Росгвардии с разрешенным видом деятельности: охрана имущества физических и юридических лиц по договорам (п. 8 ст. 2 Закона РФ от 03.07.2016 № 226-ФЗ) согласно Федеральному закону от 03.07.2016 № 226-ФЗ (ред. от 24.06.2023) «О войсках национальной гвардии Российской Федерации», Приказу Росгвардии от 28.12.2018 № 669 «Об утверждении Правил охраны имущества физических и юридических лиц по договорам войсками национальной гвардии Российской Федерации», Приказу Росгвардии от 12.05.2021 № 165 «Об утверждении Устава федерального государственного унитарного предприятия «Охрана» Федеральной службы войск национальной гвардии Российской Федерации и некоторых вопросах организации его деятельности»: 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В соответствии с п. 4 постановления Правительства РФ от 08.12.2022 № 2258: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i/>
                <w:szCs w:val="24"/>
              </w:rPr>
              <w:t>Участнику необходимо наличие трудовых договоров, заключенных с физическими лицами, имеющими документы, дающие право частному охраннику работать по трудовому договору с такой охранной организацией на должности, связанной непосредственно с оказанием охранных услуг, в количестве, определенном настоящими Техническими требованиями.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Для подтверждения соответствия указанному требованию предоставить заверенные копии  трудовых договоров охранников с охранной организацией на полную ставку</w:t>
            </w:r>
            <w:r>
              <w:rPr>
                <w:i/>
                <w:szCs w:val="24"/>
              </w:rPr>
              <w:t xml:space="preserve"> </w:t>
            </w:r>
            <w:r>
              <w:rPr>
                <w:szCs w:val="24"/>
              </w:rPr>
              <w:t>в количестве, согласно п. 2 таблицы 2 настоящих требований,   согласия работников на обработку ПДн.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В соответствии с п. 1 Постановления Правительства РФ от 08.12.2022 № 2258: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i/>
                <w:szCs w:val="24"/>
              </w:rPr>
              <w:t>Охранная организация должна иметь уставный капитал  750 тыс. руб.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Для подтверждения соответствия указанному требованию </w:t>
            </w:r>
            <w:r>
              <w:rPr>
                <w:szCs w:val="24"/>
              </w:rPr>
              <w:t xml:space="preserve">Участник должен предоставить в составе заявки копию выписки из ЕГРЮЛ сроком не более 1 месяца. 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 соответствии с п. 6 Постановления Правительства РФ от 08.12.2022 № 2258: 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rFonts w:eastAsia="Calibri"/>
                <w:i/>
                <w:szCs w:val="24"/>
              </w:rPr>
              <w:t>Необходимо наличие у Участника закупки действующего соглашения об обеспечении правопорядка (в том числе в местах оказания охранных услуг на объектах ТЭК и на прилегающих к ним территориях) с соответствующим правоохранительным органом (его структурным подразделением) на весь период действия договора на оказание услуг по физической охране объектов.</w:t>
            </w:r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Для подтверждения соответствия указанному требованию, </w:t>
            </w:r>
            <w:r>
              <w:rPr>
                <w:szCs w:val="24"/>
              </w:rPr>
              <w:t xml:space="preserve">Участник должен предоставить в составе заявки копию </w:t>
            </w:r>
            <w:r>
              <w:rPr>
                <w:rFonts w:eastAsia="Calibri"/>
                <w:szCs w:val="24"/>
              </w:rPr>
              <w:t xml:space="preserve">действующего соглашения об обеспечении правопорядка. 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1.5.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соответствии с п. 2 Постановления Правительства РФ от 08.12.2022                            № 2258: 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 xml:space="preserve">Необходимо </w:t>
            </w:r>
            <w:r>
              <w:rPr>
                <w:b/>
                <w:i/>
                <w:szCs w:val="24"/>
              </w:rPr>
              <w:t>наличие у Участника не менее 3 лет опыта работы в сфере оказания охранных услуг на объектах топливно-энергетического комплекса</w:t>
            </w:r>
            <w:r>
              <w:rPr>
                <w:i/>
                <w:szCs w:val="24"/>
              </w:rPr>
              <w:t>, которым присвоена низкая или средняя категория опасности.</w:t>
            </w:r>
          </w:p>
          <w:p>
            <w:pPr>
              <w:pStyle w:val="Normal"/>
              <w:jc w:val="both"/>
              <w:rPr>
                <w:i/>
                <w:i/>
                <w:szCs w:val="24"/>
              </w:rPr>
            </w:pPr>
            <w:r>
              <w:rPr>
                <w:szCs w:val="24"/>
              </w:rPr>
              <w:t>Объектами ТЭК являются объекты, информация о которых содержится</w:t>
            </w:r>
            <w:r>
              <w:rPr>
                <w:i/>
                <w:szCs w:val="24"/>
              </w:rPr>
              <w:t xml:space="preserve"> в </w:t>
            </w:r>
            <w:r>
              <w:rPr>
                <w:b/>
                <w:szCs w:val="24"/>
              </w:rPr>
              <w:t>перечне объектов ТЭК Минэнерго РФ</w:t>
            </w:r>
            <w:r>
              <w:rPr>
                <w:szCs w:val="24"/>
              </w:rPr>
              <w:t>.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Соответствие установленному требованию подтверждается путем предоставления участником закупки в составе заявки сведений о ранее выполненных договорах по форме «Справка об опыте Участника», приведенной в Документации о закупке, с приложением подтверждающих документов (копий договоров физической охраны объектов и актов оказания услуг, содержащих все обязательные реквизиты, установленные частью 2 статьи 9 Федерального закона «О бухгалтерском учете», и подтверждающих стоимость контракта (договора), подписанных с обеих сторон.</w:t>
            </w:r>
          </w:p>
          <w:p>
            <w:pPr>
              <w:pStyle w:val="Normal"/>
              <w:tabs>
                <w:tab w:val="left" w:pos="317" w:leader="none"/>
                <w:tab w:val="left" w:pos="900" w:leader="none"/>
              </w:tabs>
              <w:ind w:left="34" w:firstLine="533"/>
              <w:jc w:val="both"/>
              <w:rPr>
                <w:i/>
                <w:i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 рассмотрении заявки Участника будут учитываться только те сведения об объемах оказания услуг по физической охране объектов ТЭК, которые подтверждены документами, указанными выше.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eastAsia="en-US"/>
              </w:rPr>
              <w:t>Указанные документы должны быть подписаны не ранее чем за 3 года до даты окончания срока подачи заявок на участие в закупке.</w:t>
            </w:r>
          </w:p>
          <w:p>
            <w:pPr>
              <w:pStyle w:val="Normal"/>
              <w:tabs>
                <w:tab w:val="left" w:pos="317" w:leader="none"/>
                <w:tab w:val="left" w:pos="900" w:leader="none"/>
              </w:tabs>
              <w:ind w:left="34" w:firstLine="533"/>
              <w:jc w:val="both"/>
              <w:rPr>
                <w:szCs w:val="24"/>
                <w:lang w:eastAsia="en-US"/>
              </w:rPr>
            </w:pPr>
            <w:r>
              <w:rPr>
                <w:bCs/>
                <w:i/>
                <w:szCs w:val="24"/>
                <w:lang w:eastAsia="en-US"/>
              </w:rPr>
              <w:t>Сведения, не позволяющие явно/однозначно определить наличие требуемого опыта у Участника, не оцениваются,</w:t>
            </w:r>
            <w:r>
              <w:rPr>
                <w:color w:val="000000"/>
                <w:szCs w:val="24"/>
                <w:lang w:eastAsia="en-US"/>
              </w:rPr>
              <w:t xml:space="preserve"> не являются подтверждением совокупного опыта Участника.</w:t>
            </w:r>
          </w:p>
          <w:p>
            <w:pPr>
              <w:pStyle w:val="Normal"/>
              <w:widowControl w:val="false"/>
              <w:tabs>
                <w:tab w:val="left" w:pos="0" w:leader="none"/>
              </w:tabs>
              <w:spacing w:before="0" w:after="0"/>
              <w:contextualSpacing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ab/>
              <w:t>Сведения, не позволяющие явно/однозначно определить опыт Участника, не оцениваются.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1.6.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В соответствии с п. 5 Постановления Правительства РФ от 08.12.2022 № 2258: </w:t>
            </w:r>
            <w:r>
              <w:rPr>
                <w:rFonts w:eastAsia="Calibri"/>
                <w:i/>
                <w:szCs w:val="24"/>
              </w:rPr>
              <w:t>проверяется отсутствие у частной охранной организации в течение 2 лет, предшествующих началу оказания охранных услуг, а также в период оказания охранных услуг на объекте ТЭК низкой или средней категории опасности вступивших в законную силу решений судов о приостановлении действия лицензии и (или) аннулировании лицензии.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Соответствие установленному требованию подтверждается путем проверки Участника по перечню лицензий на охранную деятельность, размещённому на сайте Росгвардии.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1.7.</w:t>
            </w:r>
          </w:p>
        </w:tc>
        <w:tc>
          <w:tcPr>
            <w:tcW w:w="4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Согласно ст. 55 Гражданского кодекса РФ (</w:t>
            </w:r>
            <w:r>
              <w:rPr>
                <w:rFonts w:eastAsia="Calibri"/>
                <w:b/>
                <w:szCs w:val="24"/>
              </w:rPr>
              <w:t>для иногородних Участников</w:t>
            </w:r>
            <w:r>
              <w:rPr>
                <w:rFonts w:eastAsia="Calibri"/>
                <w:szCs w:val="24"/>
              </w:rPr>
              <w:t xml:space="preserve">): </w:t>
            </w:r>
            <w:r>
              <w:rPr>
                <w:rFonts w:eastAsia="Calibri"/>
                <w:i/>
                <w:szCs w:val="24"/>
              </w:rPr>
              <w:t xml:space="preserve">Иметь на территории Приморского края обособленное подразделение / филиал для фактического исполнения заключенного договора охраны объектов, </w:t>
            </w:r>
            <w:r>
              <w:rPr>
                <w:rFonts w:eastAsia="Calibri"/>
                <w:szCs w:val="24"/>
              </w:rPr>
              <w:t>т.к.  юридическое лицо согласно п. 2 и 3 ст. 54 ГК РФ имеет место нахождения по месту его государственной регистрации.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Соответствие установленному требованию, согласно ст. 55 ГК,  подтверждается путем предоставления выписки из ЕГРЮЛ, Положения об ОП/филиале.</w:t>
            </w:r>
          </w:p>
        </w:tc>
      </w:tr>
    </w:tbl>
    <w:p>
      <w:pPr>
        <w:pStyle w:val="ListParagraph"/>
        <w:keepNext w:val="true"/>
        <w:spacing w:before="60" w:after="120"/>
        <w:contextualSpacing/>
        <w:jc w:val="center"/>
        <w:rPr>
          <w:rStyle w:val="Style14"/>
          <w:bCs/>
          <w:i w:val="false"/>
          <w:i w:val="false"/>
          <w:sz w:val="26"/>
          <w:szCs w:val="26"/>
          <w:shd w:fill="FFFFFF" w:val="clear"/>
        </w:rPr>
      </w:pPr>
      <w:r>
        <w:rPr>
          <w:bCs/>
          <w:i w:val="false"/>
          <w:sz w:val="26"/>
          <w:szCs w:val="26"/>
          <w:shd w:fill="FFFFFF" w:val="clear"/>
        </w:rPr>
      </w:r>
    </w:p>
    <w:p>
      <w:pPr>
        <w:pStyle w:val="Normal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</w:r>
    </w:p>
    <w:p>
      <w:pPr>
        <w:pStyle w:val="ListParagraph"/>
        <w:keepNext w:val="true"/>
        <w:numPr>
          <w:ilvl w:val="0"/>
          <w:numId w:val="2"/>
        </w:numPr>
        <w:spacing w:before="60" w:after="24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Квалификационные требования</w:t>
      </w:r>
    </w:p>
    <w:p>
      <w:pPr>
        <w:pStyle w:val="Normal"/>
        <w:rPr>
          <w:b/>
          <w:b/>
          <w:bCs/>
          <w:i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Таблица 2 «Перечень квалификационных требований»</w:t>
      </w:r>
    </w:p>
    <w:p>
      <w:pPr>
        <w:pStyle w:val="Normal"/>
        <w:rPr>
          <w:b/>
          <w:b/>
          <w:bCs/>
          <w:i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</w:r>
    </w:p>
    <w:tbl>
      <w:tblPr>
        <w:tblW w:w="9923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66"/>
        <w:gridCol w:w="4176"/>
        <w:gridCol w:w="4781"/>
      </w:tblGrid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spacing w:before="120" w:after="0"/>
              <w:ind w:left="284" w:hanging="0"/>
              <w:contextualSpacing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№ </w:t>
            </w:r>
            <w:r>
              <w:rPr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Требования к Участникам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4"/>
              </w:numPr>
              <w:spacing w:before="120" w:after="0"/>
              <w:ind w:left="284" w:hanging="295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 w:val="26"/>
                <w:szCs w:val="26"/>
              </w:rPr>
            </w:pPr>
            <w:r>
              <w:rPr>
                <w:rFonts w:eastAsia="Calibri"/>
                <w:b/>
                <w:bCs/>
                <w:i/>
                <w:iCs/>
                <w:sz w:val="26"/>
                <w:szCs w:val="26"/>
              </w:rPr>
              <w:t>Квалификационные требования к персоналу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spacing w:before="120" w:after="0"/>
              <w:ind w:left="284" w:hanging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В соответствии с п. 3 Постановления Правительства РФ от 08.12.2022 № 2258: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/>
                <w:i/>
                <w:iCs/>
                <w:szCs w:val="24"/>
              </w:rPr>
            </w:pPr>
            <w:r>
              <w:rPr>
                <w:rFonts w:eastAsia="Calibri"/>
                <w:i/>
                <w:iCs/>
                <w:szCs w:val="24"/>
              </w:rPr>
              <w:t>Наличие у частной охранной организации охранников 5 и (или) 6 разрядов в количестве, определенном Перечнем объектов и графиком оказания услуг (Приложение № 1).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Кадровые ресурсы Участника, привлекаемые для выполнения работ по охране объектов ТЭК (пункт 4 Перечня работ, утвержденного Приказом Министерства энергетики РФ от 13.12.2011 № 587 «Об утверждении перечня работ, непосредственно связанных с обеспечением безопасности объектов ТЭК»), должны удовлетворять требованиям к персоналу, обеспечивающему безопасность объектов ТЭК (часть 1 статьи 10 Федерального Закона от 21.07.2011 № 256-ФЗ «О безопасности объектов топливно-энергетического комплекса»):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Участник должен иметь минимально необходимое для оказания услуг количество квалифицированного персонала (оформленного в соответствии с Гражданским Кодексом Российской Федерации привлекаемого по трудовым договорам, либо гражданско-правовым договорам или на ином законном основании) согласно Приложения № 1.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 xml:space="preserve">Учитывая применение при физической охране объектов филиала только специальных средств (без применения гражданского и служебного оружия), </w:t>
            </w:r>
            <w:r>
              <w:rPr>
                <w:rFonts w:eastAsia="Calibri"/>
                <w:b/>
                <w:iCs/>
                <w:szCs w:val="24"/>
              </w:rPr>
              <w:t>допускается привлечение к охране объектов охранников 4 разряда</w:t>
            </w:r>
            <w:r>
              <w:rPr>
                <w:rFonts w:eastAsia="Calibri"/>
                <w:iCs/>
                <w:szCs w:val="24"/>
              </w:rPr>
              <w:t>, согласно § 262а «ОХРАННИК» Приказа Министерства здравоохранения и социального развития РФ от 17.04.2009 № 199 «О внесении изменения в единый тарифно-квалификационный справочник работ и профессий рабочих, выпуск 1»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Для 4 разряда согласно § 262а «Требуется профессиональная подготовка; повышение квалификации не реже одного раза в 5 лет; наличие удостоверения частного охранника соответствующего образца, полученного в органах внутренних дел».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Участник, согласно § 262а, в составе заявки обязан предоставить на охранников 4,5,6 разряда (в минимальном количестве) согласно Приложения № 1: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- действующее удостоверение частного охранника (все страницы);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- свидетельство о присвоении квалификации частного охранника, с датой выдачи не более 5 лет;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-  согласие на обработку ПДн, подписанное сотрудником (Постановление Правительства от 09.11.2022 № 2011).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Информация о действительности предоставленных удостоверений частного охранника проверяется на официальном сайте Росгвардии: https://rosguard.gov.ru/page/index/proverka-udostovereniya-chastnogo-oxrannika.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4"/>
              </w:numPr>
              <w:spacing w:before="120" w:after="0"/>
              <w:ind w:left="284" w:hanging="295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b/>
                <w:i/>
                <w:szCs w:val="24"/>
              </w:rPr>
              <w:t>Требования к количеству охранников Участника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spacing w:before="120" w:after="0"/>
              <w:ind w:left="284" w:hanging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Участник для оказания услуг обязан иметь минимальное количество охранников согласно Приложению № 1 «Перечень объектов и график оказания услуг», имеющих право применять при оказании услуг физической охраны объектов специальные средства.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spacing w:before="120" w:after="0"/>
              <w:ind w:left="284" w:hanging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color w:val="000000"/>
                <w:szCs w:val="24"/>
              </w:rPr>
              <w:t>Должность (разряд)**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rFonts w:eastAsia="Calibri"/>
                <w:iCs/>
                <w:szCs w:val="24"/>
              </w:rPr>
            </w:pPr>
            <w:r>
              <w:rPr>
                <w:color w:val="000000"/>
                <w:szCs w:val="24"/>
              </w:rPr>
              <w:t>Чел, не менее*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ind w:left="360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color w:val="000000"/>
                <w:szCs w:val="24"/>
              </w:rPr>
              <w:t>Сотрудник охраны не ниже 4 разряда (круглосуточный пост)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rFonts w:eastAsia="Calibri"/>
                <w:b/>
                <w:b/>
                <w:iCs/>
                <w:szCs w:val="24"/>
              </w:rPr>
            </w:pPr>
            <w:r>
              <w:rPr>
                <w:rFonts w:eastAsia="Calibri"/>
                <w:b/>
                <w:iCs/>
                <w:szCs w:val="24"/>
              </w:rPr>
              <w:t>171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ind w:left="360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color w:val="000000"/>
                <w:szCs w:val="24"/>
              </w:rPr>
              <w:t xml:space="preserve">Начальник группы охраны объектов не ниже 4 разряда по объектам 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rFonts w:eastAsia="Calibri"/>
                <w:iCs/>
                <w:szCs w:val="24"/>
              </w:rPr>
            </w:pPr>
            <w:r>
              <w:rPr>
                <w:b/>
                <w:color w:val="000000"/>
                <w:szCs w:val="24"/>
              </w:rPr>
              <w:t>4</w:t>
            </w:r>
            <w:r>
              <w:rPr>
                <w:bCs/>
                <w:szCs w:val="24"/>
              </w:rPr>
              <w:t xml:space="preserve"> (</w:t>
            </w:r>
            <w:r>
              <w:rPr>
                <w:color w:val="000000"/>
                <w:szCs w:val="24"/>
              </w:rPr>
              <w:t>*</w:t>
            </w:r>
            <w:r>
              <w:rPr>
                <w:bCs/>
                <w:szCs w:val="24"/>
              </w:rPr>
              <w:t>входит в состав круглосуточного поста)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ind w:left="360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color w:val="000000"/>
                <w:szCs w:val="24"/>
              </w:rPr>
              <w:t>Сотрудник охраны не ниже 4 разряда (ночной 15-час.  пост)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rFonts w:eastAsia="Calibri"/>
                <w:iCs/>
                <w:szCs w:val="24"/>
              </w:rPr>
            </w:pPr>
            <w:r>
              <w:rPr>
                <w:b/>
                <w:color w:val="000000"/>
                <w:szCs w:val="24"/>
              </w:rPr>
              <w:t>24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spacing w:before="120" w:after="0"/>
              <w:ind w:left="284" w:hanging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Cs w:val="24"/>
              </w:rPr>
            </w:pPr>
            <w:r>
              <w:rPr>
                <w:color w:val="000000"/>
                <w:szCs w:val="24"/>
              </w:rPr>
              <w:t>ИТОГО охранников не ниже 4 разряда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b/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195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</w:r>
          </w:p>
        </w:tc>
      </w:tr>
      <w:tr>
        <w:trPr/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 xml:space="preserve">*- ст. 94 главы 15 Трудового кодекса и Производственный календарь (ПК) на год: 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000000"/>
                <w:szCs w:val="24"/>
              </w:rPr>
            </w:pPr>
            <w:r>
              <w:rPr>
                <w:i/>
                <w:color w:val="000000"/>
                <w:szCs w:val="24"/>
              </w:rPr>
              <w:t>-расчет численности сотрудников охраны на одном круглосуточном посту произведен из расчета коэффициента сменности поста 4,4 охранника на круглосуточный пост, с учетом больничных и отпусков, для расчета требуемой численности взято 5 человек на один круглосуточный пост: общее количества часов охраны объекта в год 365 дней * 24 час в сутки = 8760 час., норма рабочего времени по ПК при 40-час. рабочей неделе в год 1987 час, коэффициент сменности поста равен: 8760 час. / 1987 час.  = 4,4 охранника на один круглосуточный пост,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** – </w:t>
            </w:r>
            <w:r>
              <w:rPr>
                <w:i/>
                <w:color w:val="000000"/>
                <w:szCs w:val="24"/>
              </w:rPr>
              <w:t>определено по Единому квалификационному справочнику, параграф 262-</w:t>
            </w:r>
            <w:r>
              <w:rPr>
                <w:bCs/>
                <w:i/>
                <w:color w:val="000000"/>
                <w:szCs w:val="24"/>
              </w:rPr>
              <w:t>а</w:t>
            </w:r>
            <w:r>
              <w:rPr>
                <w:i/>
                <w:color w:val="000000"/>
                <w:szCs w:val="24"/>
              </w:rPr>
              <w:t xml:space="preserve"> Приказа Минздрава и Министерства Социальной Политики РФ от 19.04.1999 № 199.</w:t>
            </w:r>
            <w:r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i/>
                <w:color w:val="000000"/>
                <w:szCs w:val="24"/>
              </w:rPr>
              <w:t>«О внесении изменения в единый тарифно-квалификационный справочник работ и профессий рабочих, выпуск 1»,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color w:val="000000"/>
                <w:szCs w:val="24"/>
              </w:rPr>
              <w:t>-</w:t>
            </w:r>
            <w:r>
              <w:rPr>
                <w:i/>
                <w:color w:val="000000"/>
                <w:szCs w:val="24"/>
              </w:rPr>
              <w:t xml:space="preserve"> при наличии пяти и более сотрудников охраны структурного подразделения, с целью обеспечения контроля за службой, вводится должность начальника группы охраны объектов</w:t>
            </w:r>
            <w:r>
              <w:rPr>
                <w:i/>
                <w:color w:val="000000"/>
                <w:sz w:val="26"/>
                <w:szCs w:val="26"/>
              </w:rPr>
              <w:t>.</w:t>
            </w:r>
          </w:p>
        </w:tc>
      </w:tr>
      <w:tr>
        <w:trPr/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b/>
                <w:b/>
                <w:i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3.</w:t>
              <w:tab/>
              <w:t>Требования к опыту (выполнение работ: оценка количества исполненных договоров)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center"/>
              <w:rPr>
                <w:b/>
                <w:b/>
                <w:i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ind w:left="360" w:hanging="0"/>
              <w:rPr>
                <w:szCs w:val="24"/>
              </w:rPr>
            </w:pPr>
            <w:r>
              <w:rPr>
                <w:szCs w:val="24"/>
              </w:rPr>
              <w:t xml:space="preserve">3.1. 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соответствии с п. 2 Постановления Правительства РФ от 08.12.2022                            № 2258: </w:t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 xml:space="preserve">Необходимо </w:t>
            </w:r>
            <w:r>
              <w:rPr>
                <w:b/>
                <w:i/>
                <w:szCs w:val="24"/>
              </w:rPr>
              <w:t>наличие у Участника не менее 3 лет опыта работы в сфере оказания охранных услуг на объектах топливно-энергетического комплекса</w:t>
            </w:r>
            <w:r>
              <w:rPr>
                <w:i/>
                <w:szCs w:val="24"/>
              </w:rPr>
              <w:t>, которым присвоена низкая или средняя категория опасности.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/>
                <w:i/>
                <w:szCs w:val="24"/>
                <w:highlight w:val="yellow"/>
              </w:rPr>
            </w:pPr>
            <w:r>
              <w:rPr>
                <w:szCs w:val="24"/>
              </w:rPr>
              <w:t>Объектами ТЭК являются объекты, информация о которых содержится</w:t>
            </w:r>
            <w:r>
              <w:rPr>
                <w:i/>
                <w:szCs w:val="24"/>
              </w:rPr>
              <w:t xml:space="preserve"> в </w:t>
            </w:r>
            <w:r>
              <w:rPr>
                <w:b/>
                <w:szCs w:val="24"/>
              </w:rPr>
              <w:t>перечне объектов ТЭК Минэнерго РФ</w:t>
            </w:r>
            <w:r>
              <w:rPr>
                <w:szCs w:val="24"/>
              </w:rPr>
              <w:t>.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  <w:t>Соответствие установленному требованию подтверждается путем предоставления участником закупки в составе заявки сведений о ранее выполненных договорах по форме «Справка об опыте Участника», приведенной в Документации о закупке, с приложением подтверждающих документов (копий договоров физической охраны объектов и актов оказания услуг, содержащих все обязательные реквизиты, установленные частью 2 статьи 9 Федерального закона «О бухгалтерском учете», и подтверждающих стоимость контракта (договора), подписанных с обеих сторон.</w:t>
            </w:r>
          </w:p>
          <w:p>
            <w:pPr>
              <w:pStyle w:val="Normal"/>
              <w:tabs>
                <w:tab w:val="left" w:pos="317" w:leader="none"/>
                <w:tab w:val="left" w:pos="900" w:leader="none"/>
              </w:tabs>
              <w:ind w:left="34" w:firstLine="533"/>
              <w:jc w:val="both"/>
              <w:rPr>
                <w:i/>
                <w:i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 рассмотрении заявки Участника будут учитываться только те сведения об объемах оказания услуг по физической охране объектов ТЭК, которые подтверждены документами, указанными выше.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eastAsia="en-US"/>
              </w:rPr>
              <w:t>Указанные документы должны быть подписаны не ранее чем за 3 года до даты окончания срока подачи заявок на участие в закупке.</w:t>
            </w:r>
          </w:p>
          <w:p>
            <w:pPr>
              <w:pStyle w:val="Normal"/>
              <w:tabs>
                <w:tab w:val="left" w:pos="317" w:leader="none"/>
                <w:tab w:val="left" w:pos="900" w:leader="none"/>
              </w:tabs>
              <w:ind w:left="34" w:firstLine="533"/>
              <w:jc w:val="both"/>
              <w:rPr>
                <w:szCs w:val="24"/>
                <w:lang w:eastAsia="en-US"/>
              </w:rPr>
            </w:pPr>
            <w:r>
              <w:rPr>
                <w:bCs/>
                <w:i/>
                <w:szCs w:val="24"/>
                <w:lang w:eastAsia="en-US"/>
              </w:rPr>
              <w:t>Сведения, не позволяющие явно/однозначно определить наличие требуемого опыта у Участника, не оцениваются,</w:t>
            </w:r>
            <w:r>
              <w:rPr>
                <w:color w:val="000000"/>
                <w:szCs w:val="24"/>
                <w:lang w:eastAsia="en-US"/>
              </w:rPr>
              <w:t xml:space="preserve"> не являются подтверждением совокупного опыта Участника.</w:t>
            </w:r>
          </w:p>
          <w:p>
            <w:pPr>
              <w:pStyle w:val="Normal"/>
              <w:spacing w:before="60" w:after="60"/>
              <w:jc w:val="both"/>
              <w:rPr>
                <w:rFonts w:eastAsia="Calibri"/>
                <w:szCs w:val="24"/>
                <w:highlight w:val="yellow"/>
              </w:rPr>
            </w:pPr>
            <w:r>
              <w:rPr>
                <w:color w:val="000000"/>
                <w:szCs w:val="24"/>
              </w:rPr>
              <w:tab/>
              <w:t>Сведения, не позволяющие явно/однозначно определить опыт Участника, не оцениваются.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ind w:left="360" w:hanging="0"/>
              <w:rPr>
                <w:szCs w:val="24"/>
              </w:rPr>
            </w:pPr>
            <w:r>
              <w:rPr>
                <w:szCs w:val="24"/>
              </w:rPr>
              <w:t>3.2.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 xml:space="preserve">Наличие у Участника совокупного опыта оказания услуг по обеспечению физической охраны объектов/территорий объектов (в том числе на объектах ТЭК)  в общем (совокупном) объеме, </w:t>
            </w:r>
            <w:r>
              <w:rPr>
                <w:rFonts w:eastAsia="Calibri"/>
                <w:b/>
                <w:i/>
                <w:szCs w:val="24"/>
              </w:rPr>
              <w:t>не менее 50% от начальной максимальной цены лота за последние 5 (пять) лет,</w:t>
            </w:r>
            <w:r>
              <w:rPr>
                <w:rFonts w:eastAsia="Calibri"/>
                <w:i/>
                <w:szCs w:val="24"/>
              </w:rPr>
              <w:t xml:space="preserve">  предшествующие дате окончания срока подачи заявок на участие в конкурентной закупке.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rFonts w:eastAsia="Calibri"/>
                <w:i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60" w:after="60"/>
              <w:ind w:left="-4" w:firstLine="4"/>
              <w:jc w:val="both"/>
              <w:rPr/>
            </w:pPr>
            <w:r>
              <w:rPr/>
              <w:t xml:space="preserve">копии исполненных договоров физической охраны объектов, подписанные с обеих сторон (все страницы);  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60" w:after="60"/>
              <w:ind w:left="138" w:hanging="0"/>
              <w:jc w:val="both"/>
              <w:rPr/>
            </w:pPr>
            <w:r>
              <w:rPr/>
              <w:t>копии документов, предусмотренных требованиями договора, подтверждающих факт его исполнения (акты, УПД), с указанием стоимости и наименования выполненных работ, содержащих все обязательные реквизиты, установленные частью 2 статьи 9 Федерального закона «О бухгалтерском учете», подписанных с обеих сторон.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60" w:after="60"/>
              <w:ind w:left="138" w:hanging="142"/>
              <w:jc w:val="both"/>
              <w:rPr/>
            </w:pPr>
            <w:r>
              <w:rPr/>
              <w:t xml:space="preserve">при рассмотрении заявки будут учитываться только те сведения об объемах оказания услуг по физической охране объектов, которые указаны в справке и подтверждены документами, указанными выше. 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60" w:after="60"/>
              <w:ind w:left="138" w:hanging="142"/>
              <w:jc w:val="both"/>
              <w:rPr/>
            </w:pPr>
            <w:r>
              <w:rPr/>
              <w:t xml:space="preserve"> </w:t>
            </w:r>
            <w:r>
              <w:rPr/>
              <w:t>указанные документы должны быть подписаны не ранее чем за 5 лет до даты окончания срока подачи заявок на участие в закупке.</w:t>
            </w:r>
          </w:p>
          <w:p>
            <w:pPr>
              <w:pStyle w:val="Normal"/>
              <w:spacing w:before="60" w:after="60"/>
              <w:ind w:left="28" w:hanging="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К рассмотрению не принимаются подтверждающие документы, </w:t>
            </w:r>
            <w:r>
              <w:rPr>
                <w:rFonts w:eastAsia="Calibri"/>
                <w:b/>
                <w:szCs w:val="24"/>
              </w:rPr>
              <w:t>не указанные в «Справке об опыте Участника»,</w:t>
            </w:r>
            <w:r>
              <w:rPr>
                <w:rFonts w:eastAsia="Calibri"/>
                <w:szCs w:val="24"/>
              </w:rPr>
              <w:t xml:space="preserve"> а также сведения, не позволяющие явным (однозначным) образом определить опыт Участника.</w:t>
            </w:r>
          </w:p>
        </w:tc>
      </w:tr>
      <w:tr>
        <w:trPr/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60" w:after="60"/>
              <w:jc w:val="both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i/>
                <w:szCs w:val="24"/>
              </w:rPr>
              <w:t xml:space="preserve">4. </w:t>
              <w:tab/>
              <w:t>Требования к материально-техническим ресурсам (МТР)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Согласно Приложения 2 Постановления Правительства РФ от 14.08.1992 № 587 (ред. от 01.11.2022) «Вопросы частной детективной (сыскной) и частной охранной деятельности»: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szCs w:val="24"/>
              </w:rPr>
            </w:pPr>
            <w:r>
              <w:rPr>
                <w:rFonts w:eastAsia="Calibri"/>
                <w:i/>
                <w:szCs w:val="24"/>
              </w:rPr>
              <w:t>Участник должен иметь в наличии (на правах собственности/ ином законном праве владения) минимальное количество МТР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i/>
                <w:szCs w:val="24"/>
              </w:rPr>
              <w:t>необходимое для оказания услуг</w:t>
            </w:r>
            <w:r>
              <w:rPr>
                <w:rFonts w:eastAsia="Calibri"/>
                <w:szCs w:val="24"/>
              </w:rPr>
              <w:t>: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szCs w:val="24"/>
              </w:rPr>
            </w:pPr>
            <w:r>
              <w:rPr>
                <w:szCs w:val="24"/>
              </w:rPr>
              <w:t>- Палка резиновая отечественного производства «ПР-73М», «ПР-К», «ПР-Т», «ПУС-1», «ПУС-2», «ПУС-3» - 47 шт.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szCs w:val="24"/>
              </w:rPr>
            </w:pPr>
            <w:r>
              <w:rPr>
                <w:szCs w:val="24"/>
              </w:rPr>
              <w:t>- Наручники отечественного производства «БР-С», «БР-С2», «БКС-1», «БОС»- 47 шт.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szCs w:val="24"/>
              </w:rPr>
            </w:pPr>
            <w:r>
              <w:rPr>
                <w:szCs w:val="24"/>
              </w:rPr>
              <w:t>- Фонарь электрический аккумуляторный с напряжением 6 В укомплектованный зарядным устройством от сети 220 В (для патрулирования объектов в ночное время) - 47 шт.</w:t>
              <w:tab/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szCs w:val="24"/>
              </w:rPr>
            </w:pPr>
            <w:r>
              <w:rPr>
                <w:szCs w:val="24"/>
              </w:rPr>
              <w:t>- Переносные мобильные радиостанции/ мобильные телефоны (для охраны объектов база СП «СЭС» и СП «ЦЭС») - 17 шт.</w:t>
              <w:tab/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 составе заявки Участник должен предоставить Справку о наличии МТР.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Согласно п.3, п. 4, п.6   Приложения                           № 13 к Постановлению Правительства РФ от 14.08.1992 № 587, на специальные средства (палка резиновая, наручники) предоставить: 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 копии документов, подтверждающих приобретение частной охранной организацией специальных средств у поставщиков (продавцов), имеющих право на их продажу;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 копии документов, подтверждающих учет специальных средств в частной охранной организации;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 разрешение на эксплуатацию средств связи радиостанций, выданное региональным управлением Госсвязьнадзора России, согласно п. 9 Постановления Правительства Российской Федерации от 20.10.2021 № 1800 «О порядке регистрации радиоэлектронных средств и высокочастотных устройств»/ Договор ЧОП на предоставление услуг мобильной связи.</w:t>
            </w:r>
          </w:p>
          <w:p>
            <w:pPr>
              <w:pStyle w:val="Normal"/>
              <w:keepNext w:val="true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b/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  <w:t>5.</w:t>
            </w:r>
          </w:p>
        </w:tc>
        <w:tc>
          <w:tcPr>
            <w:tcW w:w="8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b/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  <w:t>Требования к документам, предоставляемым Победителем закупочной процедуры до заключения договора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i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Участник, признанный победителем закупочной процедуры, в течение 5 (пяти) рабочих дней после размещения итогового протокола по выбору победителя на сайте www.zakupki.gov.ru (до заключения Договора) обязан предоставить в адрес «Заказчика» пакет документов согласно данного требования.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Пакет документации направить с официальным сопроводительным письмом.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Охранная организация должна предоставить документы, подтверждающие наличие   постоянного  обособленного Представительства или Филиала в Приморском крае для оперативного решения вопросов по охране объектов (для иногородних организаций).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Выписку из ЕГРЮЛ со сроком не более 1 месяца,  заверенную копию Положения об ОП/филиале.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  <w:r>
              <w:rPr>
                <w:szCs w:val="24"/>
                <w:lang w:val="en-US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Информацию о наличии МТР, указанных в п.  4. Таблицы 2 Специальных требований. 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Справка о материально-технических ресурсах» с предоставлением копий подтверждающих документов согласно п. 4 таблицы 2.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szCs w:val="24"/>
              </w:rPr>
            </w:pPr>
            <w:r>
              <w:rPr>
                <w:szCs w:val="24"/>
              </w:rPr>
              <w:t>5.4.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eastAsia="Calibri"/>
                <w:szCs w:val="24"/>
              </w:rPr>
              <w:t xml:space="preserve">В соответствии с </w:t>
            </w:r>
            <w:hyperlink r:id="rId2">
              <w:r>
                <w:rPr>
                  <w:rStyle w:val="Style5"/>
                  <w:color w:val="00000A"/>
                  <w:szCs w:val="24"/>
                  <w:u w:val="none"/>
                </w:rPr>
                <w:t>частью первой статьи 11.1</w:t>
              </w:r>
            </w:hyperlink>
            <w:r>
              <w:rPr>
                <w:rFonts w:eastAsia="Calibri"/>
                <w:szCs w:val="24"/>
              </w:rPr>
              <w:t xml:space="preserve">, </w:t>
            </w:r>
            <w:hyperlink r:id="rId3">
              <w:r>
                <w:rPr>
                  <w:rStyle w:val="Style5"/>
                  <w:color w:val="00000A"/>
                  <w:szCs w:val="24"/>
                  <w:u w:val="none"/>
                </w:rPr>
                <w:t>частью седьмой статьи 12</w:t>
              </w:r>
            </w:hyperlink>
            <w:r>
              <w:rPr>
                <w:rFonts w:eastAsia="Calibri"/>
                <w:szCs w:val="24"/>
              </w:rPr>
              <w:t xml:space="preserve"> Закона Российской Федерации от 11.03.1992 № 2487-1 «О частной детективной и охранной деятельности в РФ», </w:t>
            </w:r>
            <w:hyperlink r:id="rId4">
              <w:r>
                <w:rPr>
                  <w:rStyle w:val="Style5"/>
                  <w:color w:val="00000A"/>
                  <w:szCs w:val="24"/>
                  <w:u w:val="none"/>
                </w:rPr>
                <w:t>подпунктом «ж» пункта 10</w:t>
              </w:r>
            </w:hyperlink>
            <w:r>
              <w:rPr>
                <w:rFonts w:eastAsia="Calibri"/>
                <w:szCs w:val="24"/>
              </w:rPr>
              <w:t xml:space="preserve"> и </w:t>
            </w:r>
            <w:hyperlink r:id="rId5">
              <w:r>
                <w:rPr>
                  <w:rStyle w:val="Style5"/>
                  <w:color w:val="00000A"/>
                  <w:szCs w:val="24"/>
                  <w:u w:val="none"/>
                </w:rPr>
                <w:t>подпунктом «б» пункта 11</w:t>
              </w:r>
            </w:hyperlink>
            <w:r>
              <w:rPr>
                <w:rFonts w:eastAsia="Calibri"/>
                <w:szCs w:val="24"/>
              </w:rPr>
              <w:t xml:space="preserve"> Положения о лицензировании частной охранной деятельности, утвержденного ПП РФ от 23.06.2011 № 498.Информацию о наличие кадрового состава персонала по форме «Справки о кадровых ресурсах» (приложение № 17 к Договору), с разбивкой по постам охраны объектов.</w:t>
            </w:r>
          </w:p>
          <w:p>
            <w:pPr>
              <w:pStyle w:val="Normal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</w:p>
          <w:p>
            <w:pPr>
              <w:pStyle w:val="Normal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Заверенные в установленном порядке Исполнителем документы на привлекаемый персонал согласно п. 1.2. таблицы 1, п. 1 таблицы 2 Специальных требований. Справку о кадровых ресурсах, с указанием: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- ФИО (полностью) работников охраны, 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-указанием номеров и даты выдачи удостоверений частных охранников, 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-датой прохождения профессионального обучения по программе повышения квалификации частных охранников,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- обучения на применение ими спецсредств, - прохождения медосмотра (дата и номер справки), 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 ссылки на трудовые договоры (дата, номер),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 даты выдачи личной карточки охранника в охранной организации Победителя,</w:t>
            </w:r>
          </w:p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с приложением заверенных  подтверждающих документов.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szCs w:val="24"/>
              </w:rPr>
            </w:pPr>
            <w:r>
              <w:rPr>
                <w:szCs w:val="24"/>
              </w:rPr>
              <w:t>5.5.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>С пакетом документов при заключении договора, предоставить Информационное письмо от налоговой инспекции о системе налогообложения и задолженности Исполнителя.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Информационное письмо от налоговой инспекции, датированное сроком не ранее одного месяца от даты предоставления документов</w:t>
            </w:r>
          </w:p>
        </w:tc>
      </w:tr>
      <w:tr>
        <w:trPr/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120" w:after="0"/>
              <w:jc w:val="center"/>
              <w:rPr>
                <w:szCs w:val="24"/>
              </w:rPr>
            </w:pPr>
            <w:r>
              <w:rPr>
                <w:szCs w:val="24"/>
              </w:rPr>
              <w:t>5.6.</w:t>
            </w:r>
          </w:p>
        </w:tc>
        <w:tc>
          <w:tcPr>
            <w:tcW w:w="4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 xml:space="preserve">В случае непредставления документов, указанных в пунктах 5.1 – 5.5. </w:t>
            </w:r>
            <w:r>
              <w:rPr>
                <w:b/>
                <w:szCs w:val="24"/>
              </w:rPr>
              <w:t>Победитель признается уклонившимся от подписания Договора.</w:t>
            </w:r>
          </w:p>
        </w:tc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spacing w:before="60" w:after="60"/>
              <w:jc w:val="both"/>
              <w:rPr/>
            </w:pPr>
            <w:r>
              <w:rPr>
                <w:rFonts w:eastAsia="Calibri"/>
                <w:szCs w:val="24"/>
              </w:rPr>
              <w:t xml:space="preserve">В случае не предоставления полного/ предоставления неполного пакета документации, по окончании 5 (пяти) рабочих дней после размещения итогового протокола по выбору победителя на сайте </w:t>
            </w:r>
            <w:hyperlink r:id="rId6">
              <w:r>
                <w:rPr>
                  <w:rStyle w:val="Style5"/>
                  <w:rFonts w:eastAsia="Calibri"/>
                  <w:szCs w:val="24"/>
                </w:rPr>
                <w:t>www.zakupki.gov.ru</w:t>
              </w:r>
            </w:hyperlink>
            <w:r>
              <w:rPr>
                <w:rFonts w:eastAsia="Calibri"/>
                <w:szCs w:val="24"/>
              </w:rPr>
              <w:t>, Заказчик имеет право перейти к следующему участнику.</w:t>
            </w:r>
          </w:p>
        </w:tc>
      </w:tr>
    </w:tbl>
    <w:p>
      <w:pPr>
        <w:pStyle w:val="Normal"/>
        <w:widowControl w:val="false"/>
        <w:pBdr/>
        <w:tabs>
          <w:tab w:val="left" w:pos="426" w:leader="none"/>
        </w:tabs>
        <w:spacing w:before="120" w:after="120"/>
        <w:jc w:val="both"/>
        <w:rPr/>
      </w:pPr>
      <w:r>
        <w:rPr/>
      </w:r>
    </w:p>
    <w:sectPr>
      <w:headerReference w:type="default" r:id="rId7"/>
      <w:headerReference w:type="first" r:id="rId8"/>
      <w:footerReference w:type="default" r:id="rId9"/>
      <w:footerReference w:type="first" r:id="rId10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05833682"/>
    </w:sdtPr>
    <w:sdtContent>
      <w:p>
        <w:pPr>
          <w:pStyle w:val="Style30"/>
          <w:jc w:val="center"/>
          <w:rPr/>
        </w:pPr>
        <w:r>
          <w:rPr>
            <w:szCs w:val="24"/>
          </w:rPr>
          <w:fldChar w:fldCharType="begin"/>
        </w:r>
        <w:r>
          <w:instrText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Style3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9</w:t>
    </w:r>
    <w: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decimal"/>
      <w:lvlText w:val="%1."/>
      <w:lvlJc w:val="left"/>
      <w:pPr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ind w:left="1224" w:hanging="504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z w:val="26"/>
        <w:i/>
        <w:iCs/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b73ce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8"/>
      <w:lang w:val="ru-RU" w:eastAsia="ru-RU" w:bidi="ar-SA"/>
    </w:rPr>
  </w:style>
  <w:style w:type="paragraph" w:styleId="1">
    <w:name w:val="Heading 1"/>
    <w:basedOn w:val="3"/>
    <w:link w:val="12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4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link w:val="32"/>
    <w:autoRedefine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Cs w:val="24"/>
    </w:rPr>
  </w:style>
  <w:style w:type="paragraph" w:styleId="4">
    <w:name w:val="Heading 4"/>
    <w:basedOn w:val="3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">
    <w:name w:val="footnote reference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5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</w:rPr>
  </w:style>
  <w:style w:type="character" w:styleId="11" w:customStyle="1">
    <w:name w:val="Заголовок 1 Знак"/>
    <w:link w:val="1"/>
    <w:qFormat/>
    <w:rsid w:val="00353a27"/>
    <w:rPr>
      <w:rFonts w:eastAsia="Calibri"/>
      <w:b/>
      <w:sz w:val="28"/>
      <w:szCs w:val="28"/>
    </w:rPr>
  </w:style>
  <w:style w:type="character" w:styleId="21" w:customStyle="1">
    <w:name w:val="Заголовок 2 Знак"/>
    <w:link w:val="23"/>
    <w:qFormat/>
    <w:rsid w:val="00ea61a8"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link w:val="30"/>
    <w:qFormat/>
    <w:rsid w:val="00035e96"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7" w:customStyle="1">
    <w:name w:val="Подзаголовок Знак"/>
    <w:link w:val="aff3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8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2c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9" w:customStyle="1">
    <w:name w:val="Выделенная цитата Знак"/>
    <w:link w:val="aff8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0" w:customStyle="1">
    <w:name w:val="Электронная подпись Знак"/>
    <w:link w:val="afff0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af5"/>
    <w:qFormat/>
    <w:locked/>
    <w:rsid w:val="00d22f6d"/>
    <w:rPr>
      <w:sz w:val="28"/>
    </w:rPr>
  </w:style>
  <w:style w:type="character" w:styleId="Style11" w:customStyle="1">
    <w:name w:val="Текст сноски Знак"/>
    <w:link w:val="a8"/>
    <w:qFormat/>
    <w:rsid w:val="00d22f6d"/>
    <w:rPr/>
  </w:style>
  <w:style w:type="character" w:styleId="Style12" w:customStyle="1">
    <w:name w:val="Основной текст Знак"/>
    <w:link w:val="af2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3" w:customStyle="1">
    <w:name w:val="Абзац списка Знак"/>
    <w:link w:val="aff6"/>
    <w:uiPriority w:val="34"/>
    <w:qFormat/>
    <w:locked/>
    <w:rsid w:val="00310eb4"/>
    <w:rPr>
      <w:rFonts w:eastAsia="Calibri"/>
      <w:sz w:val="24"/>
      <w:szCs w:val="24"/>
    </w:rPr>
  </w:style>
  <w:style w:type="character" w:styleId="Style14" w:customStyle="1">
    <w:name w:val="комментарий"/>
    <w:qFormat/>
    <w:rsid w:val="0025139e"/>
    <w:rPr>
      <w:i/>
      <w:shd w:fill="FFFF99" w:val="clear"/>
    </w:rPr>
  </w:style>
  <w:style w:type="character" w:styleId="Style15" w:customStyle="1">
    <w:name w:val="Подподпункт Знак"/>
    <w:link w:val="afff8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6" w:customStyle="1">
    <w:name w:val="Верхний колонтитул Знак"/>
    <w:link w:val="ac"/>
    <w:uiPriority w:val="99"/>
    <w:qFormat/>
    <w:rsid w:val="002f31af"/>
    <w:rPr>
      <w:sz w:val="24"/>
      <w:szCs w:val="24"/>
    </w:rPr>
  </w:style>
  <w:style w:type="character" w:styleId="Style17" w:customStyle="1">
    <w:name w:val="Текст примечания Знак"/>
    <w:link w:val="afc"/>
    <w:uiPriority w:val="99"/>
    <w:qFormat/>
    <w:rsid w:val="00dc0f7d"/>
    <w:rPr/>
  </w:style>
  <w:style w:type="character" w:styleId="Style18" w:customStyle="1">
    <w:name w:val="Текст концевой сноски Знак"/>
    <w:basedOn w:val="DefaultParagraphFont"/>
    <w:link w:val="afffa"/>
    <w:qFormat/>
    <w:rsid w:val="003879d4"/>
    <w:rPr/>
  </w:style>
  <w:style w:type="character" w:styleId="Endnotereference">
    <w:name w:val="endnote reference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8"/>
    <w:qFormat/>
    <w:rsid w:val="00de52bc"/>
    <w:rPr>
      <w:b/>
      <w:sz w:val="28"/>
    </w:rPr>
  </w:style>
  <w:style w:type="character" w:styleId="13" w:customStyle="1">
    <w:name w:val="УРОВЕНЬ_1. Знак"/>
    <w:link w:val="1a"/>
    <w:qFormat/>
    <w:rsid w:val="004a17ae"/>
    <w:rPr>
      <w:rFonts w:eastAsia="Calibri"/>
      <w:caps/>
      <w:sz w:val="28"/>
      <w:szCs w:val="28"/>
      <w:lang w:eastAsia="en-US"/>
    </w:rPr>
  </w:style>
  <w:style w:type="character" w:styleId="Style19" w:customStyle="1">
    <w:name w:val="Нижний колонтитул Знак"/>
    <w:basedOn w:val="DefaultParagraphFont"/>
    <w:link w:val="af0"/>
    <w:uiPriority w:val="99"/>
    <w:qFormat/>
    <w:rsid w:val="002e457f"/>
    <w:rPr>
      <w:sz w:val="28"/>
      <w:szCs w:val="28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3">
    <w:name w:val="ListLabel 3"/>
    <w:qFormat/>
    <w:rPr>
      <w:b/>
      <w:bCs/>
      <w:i w:val="false"/>
      <w:iCs/>
      <w:sz w:val="24"/>
      <w:szCs w:val="24"/>
    </w:rPr>
  </w:style>
  <w:style w:type="character" w:styleId="ListLabel4">
    <w:name w:val="ListLabel 4"/>
    <w:qFormat/>
    <w:rPr>
      <w:sz w:val="28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  <w:i/>
      <w:iCs/>
      <w:sz w:val="26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  <w:i/>
      <w:iCs/>
    </w:rPr>
  </w:style>
  <w:style w:type="character" w:styleId="ListLabel24">
    <w:name w:val="ListLabel 24"/>
    <w:qFormat/>
    <w:rPr>
      <w:rFonts w:cs="Times New Roman"/>
      <w:i/>
      <w:iCs/>
    </w:rPr>
  </w:style>
  <w:style w:type="character" w:styleId="ListLabel25">
    <w:name w:val="ListLabel 25"/>
    <w:qFormat/>
    <w:rPr>
      <w:rFonts w:cs="Times New Roman"/>
      <w:i/>
      <w:iCs/>
    </w:rPr>
  </w:style>
  <w:style w:type="character" w:styleId="ListLabel26">
    <w:name w:val="ListLabel 26"/>
    <w:qFormat/>
    <w:rPr>
      <w:rFonts w:cs="Times New Roman"/>
      <w:i/>
      <w:iCs/>
    </w:rPr>
  </w:style>
  <w:style w:type="character" w:styleId="ListLabel27">
    <w:name w:val="ListLabel 27"/>
    <w:qFormat/>
    <w:rPr>
      <w:rFonts w:cs="Times New Roman"/>
      <w:i/>
      <w:iCs/>
    </w:rPr>
  </w:style>
  <w:style w:type="character" w:styleId="ListLabel28">
    <w:name w:val="ListLabel 28"/>
    <w:qFormat/>
    <w:rPr>
      <w:rFonts w:cs="Times New Roman"/>
      <w:i/>
      <w:iCs/>
    </w:rPr>
  </w:style>
  <w:style w:type="character" w:styleId="ListLabel29">
    <w:name w:val="ListLabel 29"/>
    <w:qFormat/>
    <w:rPr>
      <w:rFonts w:cs="Times New Roman"/>
      <w:i/>
      <w:iCs/>
    </w:rPr>
  </w:style>
  <w:style w:type="character" w:styleId="ListLabel30">
    <w:name w:val="ListLabel 30"/>
    <w:qFormat/>
    <w:rPr>
      <w:rFonts w:cs="Times New Roman"/>
      <w:i/>
      <w:iCs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i/>
      <w:iCs/>
    </w:rPr>
  </w:style>
  <w:style w:type="character" w:styleId="ListLabel35">
    <w:name w:val="ListLabel 35"/>
    <w:qFormat/>
    <w:rPr>
      <w:sz w:val="22"/>
      <w:szCs w:val="22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1">
    <w:name w:val="Body Text"/>
    <w:basedOn w:val="Normal"/>
    <w:link w:val="af3"/>
    <w:rsid w:val="0076353a"/>
    <w:pPr>
      <w:spacing w:before="0" w:after="120"/>
    </w:pPr>
    <w:rPr/>
  </w:style>
  <w:style w:type="paragraph" w:styleId="Style22">
    <w:name w:val="List"/>
    <w:basedOn w:val="Style21"/>
    <w:pPr/>
    <w:rPr>
      <w:rFonts w:cs="Lohit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Style25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6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7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link w:val="a9"/>
    <w:qFormat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Cs w:val="24"/>
    </w:rPr>
  </w:style>
  <w:style w:type="paragraph" w:styleId="15" w:customStyle="1">
    <w:name w:val="Название1"/>
    <w:basedOn w:val="Normal"/>
    <w:link w:val="ab"/>
    <w:uiPriority w:val="10"/>
    <w:qFormat/>
    <w:rsid w:val="00bd4014"/>
    <w:pPr>
      <w:jc w:val="center"/>
    </w:pPr>
    <w:rPr>
      <w:szCs w:val="20"/>
    </w:rPr>
  </w:style>
  <w:style w:type="paragraph" w:styleId="Style28">
    <w:name w:val="Header"/>
    <w:basedOn w:val="Normal"/>
    <w:link w:val="ad"/>
    <w:uiPriority w:val="99"/>
    <w:rsid w:val="0076353a"/>
    <w:pPr>
      <w:tabs>
        <w:tab w:val="center" w:pos="4677" w:leader="none"/>
        <w:tab w:val="right" w:pos="9355" w:leader="none"/>
      </w:tabs>
    </w:pPr>
    <w:rPr>
      <w:szCs w:val="24"/>
    </w:rPr>
  </w:style>
  <w:style w:type="paragraph" w:styleId="Style29">
    <w:name w:val="Body Text Indent"/>
    <w:basedOn w:val="Normal"/>
    <w:rsid w:val="0076353a"/>
    <w:pPr>
      <w:ind w:left="360" w:hanging="0"/>
    </w:pPr>
    <w:rPr>
      <w:szCs w:val="24"/>
    </w:rPr>
  </w:style>
  <w:style w:type="paragraph" w:styleId="Style30">
    <w:name w:val="Footer"/>
    <w:basedOn w:val="Normal"/>
    <w:link w:val="af1"/>
    <w:uiPriority w:val="99"/>
    <w:rsid w:val="0076353a"/>
    <w:pPr>
      <w:tabs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Cs w:val="20"/>
    </w:rPr>
  </w:style>
  <w:style w:type="paragraph" w:styleId="Style31" w:customStyle="1">
    <w:name w:val="Подпункт"/>
    <w:basedOn w:val="Normal"/>
    <w:link w:val="15"/>
    <w:qFormat/>
    <w:rsid w:val="0076353a"/>
    <w:pPr>
      <w:tabs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5" w:customStyle="1">
    <w:name w:val="Пункт2"/>
    <w:basedOn w:val="Normal"/>
    <w:link w:val="29"/>
    <w:qFormat/>
    <w:rsid w:val="0076353a"/>
    <w:pPr>
      <w:keepNext w:val="true"/>
      <w:tabs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autoRedefine/>
    <w:uiPriority w:val="39"/>
    <w:rsid w:val="00246ad8"/>
    <w:pPr>
      <w:tabs>
        <w:tab w:val="left" w:pos="851" w:leader="none"/>
        <w:tab w:val="right" w:pos="9911" w:leader="dot"/>
      </w:tabs>
      <w:spacing w:before="120" w:after="0"/>
      <w:ind w:left="426" w:hanging="426"/>
    </w:pPr>
    <w:rPr/>
  </w:style>
  <w:style w:type="paragraph" w:styleId="34">
    <w:name w:val="TOC 3"/>
    <w:basedOn w:val="Normal"/>
    <w:autoRedefine/>
    <w:uiPriority w:val="39"/>
    <w:rsid w:val="00b42701"/>
    <w:pPr>
      <w:ind w:left="560" w:hanging="0"/>
    </w:pPr>
    <w:rPr/>
  </w:style>
  <w:style w:type="paragraph" w:styleId="Style32" w:customStyle="1">
    <w:name w:val="Раздел регламента"/>
    <w:basedOn w:val="Normal"/>
    <w:qFormat/>
    <w:rsid w:val="00e228fa"/>
    <w:pPr/>
    <w:rPr/>
  </w:style>
  <w:style w:type="paragraph" w:styleId="Style3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autoRedefine/>
    <w:uiPriority w:val="39"/>
    <w:rsid w:val="00246ad8"/>
    <w:pPr>
      <w:tabs>
        <w:tab w:val="left" w:pos="993" w:leader="none"/>
        <w:tab w:val="right" w:pos="9911" w:leader="dot"/>
      </w:tabs>
      <w:spacing w:before="120" w:after="0"/>
      <w:ind w:firstLine="567"/>
    </w:pPr>
    <w:rPr/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fd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Cs w:val="24"/>
    </w:rPr>
  </w:style>
  <w:style w:type="paragraph" w:styleId="92">
    <w:name w:val="TOC 9"/>
    <w:basedOn w:val="Normal"/>
    <w:autoRedefine/>
    <w:semiHidden/>
    <w:rsid w:val="00f57628"/>
    <w:pPr>
      <w:ind w:left="2240" w:hanging="0"/>
    </w:pPr>
    <w:rPr/>
  </w:style>
  <w:style w:type="paragraph" w:styleId="52">
    <w:name w:val="TOC 5"/>
    <w:basedOn w:val="Normal"/>
    <w:autoRedefine/>
    <w:semiHidden/>
    <w:rsid w:val="00f57628"/>
    <w:pPr>
      <w:ind w:left="1120" w:hanging="0"/>
    </w:pPr>
    <w:rPr/>
  </w:style>
  <w:style w:type="paragraph" w:styleId="42">
    <w:name w:val="TOC 4"/>
    <w:basedOn w:val="Normal"/>
    <w:autoRedefine/>
    <w:uiPriority w:val="39"/>
    <w:rsid w:val="00f57628"/>
    <w:pPr>
      <w:ind w:left="840" w:hanging="0"/>
    </w:pPr>
    <w:rPr/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Cs w:val="24"/>
    </w:rPr>
  </w:style>
  <w:style w:type="paragraph" w:styleId="Caption">
    <w:name w:val="caption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35">
    <w:name w:val="Subtitle"/>
    <w:basedOn w:val="Normal"/>
    <w:link w:val="aff4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Cs w:val="24"/>
    </w:rPr>
  </w:style>
  <w:style w:type="paragraph" w:styleId="ListParagraph">
    <w:name w:val="List Paragraph"/>
    <w:basedOn w:val="Normal"/>
    <w:link w:val="aff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Cs w:val="24"/>
    </w:rPr>
  </w:style>
  <w:style w:type="paragraph" w:styleId="Quote">
    <w:name w:val="Quote"/>
    <w:basedOn w:val="Normal"/>
    <w:link w:val="2d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afff1"/>
    <w:uiPriority w:val="99"/>
    <w:unhideWhenUsed/>
    <w:qFormat/>
    <w:rsid w:val="00d22f6d"/>
    <w:pPr/>
    <w:rPr>
      <w:rFonts w:eastAsia="Calibri"/>
      <w:szCs w:val="24"/>
    </w:rPr>
  </w:style>
  <w:style w:type="paragraph" w:styleId="Style3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Cs w:val="20"/>
    </w:rPr>
  </w:style>
  <w:style w:type="paragraph" w:styleId="18" w:customStyle="1">
    <w:name w:val="List 3"/>
    <w:basedOn w:val="Normal"/>
    <w:rsid w:val="00d22f6d"/>
    <w:pPr>
      <w:spacing w:before="120" w:after="0"/>
      <w:jc w:val="both"/>
    </w:pPr>
    <w:rPr>
      <w:rFonts w:ascii="Garamond" w:hAnsi="Garamond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spacing w:before="120" w:after="0"/>
      <w:jc w:val="both"/>
    </w:pPr>
    <w:rPr>
      <w:rFonts w:ascii="Garamond" w:hAnsi="Garamond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jc w:val="left"/>
    </w:pPr>
    <w:rPr>
      <w:rFonts w:eastAsia="Calibri" w:ascii="Times New Roman" w:hAnsi="Times New Roman" w:cs="Times New Roman"/>
      <w:color w:val="auto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ind w:firstLine="720"/>
      <w:jc w:val="left"/>
    </w:pPr>
    <w:rPr>
      <w:rFonts w:ascii="Arial" w:hAnsi="Arial" w:cs="Arial" w:eastAsia="Times New Roman"/>
      <w:color w:val="auto"/>
      <w:sz w:val="24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7" w:customStyle="1">
    <w:name w:val="Пункт"/>
    <w:basedOn w:val="Normal"/>
    <w:qFormat/>
    <w:rsid w:val="00d22f6d"/>
    <w:pPr>
      <w:widowControl w:val="false"/>
      <w:tabs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Cs w:val="24"/>
    </w:rPr>
  </w:style>
  <w:style w:type="paragraph" w:styleId="Style3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0" w:customStyle="1">
    <w:name w:val="Подподпункт"/>
    <w:basedOn w:val="Style31"/>
    <w:link w:val="afff9"/>
    <w:qFormat/>
    <w:rsid w:val="0025139e"/>
    <w:pPr>
      <w:tabs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1" w:customStyle="1">
    <w:name w:val="УРОВЕНЬ_(а)"/>
    <w:basedOn w:val="ListParagraph"/>
    <w:qFormat/>
    <w:rsid w:val="00b56f46"/>
    <w:pPr>
      <w:spacing w:lineRule="exact" w:line="360" w:before="120" w:after="0"/>
      <w:jc w:val="both"/>
      <w:outlineLvl w:val="3"/>
    </w:pPr>
    <w:rPr>
      <w:sz w:val="26"/>
      <w:szCs w:val="28"/>
      <w:lang w:eastAsia="en-US"/>
    </w:rPr>
  </w:style>
  <w:style w:type="paragraph" w:styleId="Style42" w:customStyle="1">
    <w:name w:val="УРОВЕНЬ_-"/>
    <w:basedOn w:val="ListParagraph"/>
    <w:qFormat/>
    <w:rsid w:val="00b56f46"/>
    <w:pPr>
      <w:spacing w:lineRule="exact" w:line="360" w:before="120" w:after="0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8"/>
    <w:qFormat/>
    <w:rsid w:val="00b56f46"/>
    <w:p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Style43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link w:val="afffb"/>
    <w:qFormat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Cs w:val="20"/>
    </w:rPr>
  </w:style>
  <w:style w:type="paragraph" w:styleId="Style4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Cs w:val="24"/>
    </w:rPr>
  </w:style>
  <w:style w:type="paragraph" w:styleId="111" w:customStyle="1">
    <w:name w:val="УРОВЕНЬ_1."/>
    <w:basedOn w:val="ListParagraph"/>
    <w:link w:val="1b"/>
    <w:qFormat/>
    <w:rsid w:val="004a17ae"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3A81CE452F2147659EE43224548ED919CCE0D1C7D067A4B6158E1D4796FB26DBBA54D645F0E7FB4B57922A219426A26CD9A4EE774Ef0cBF" TargetMode="External"/><Relationship Id="rId3" Type="http://schemas.openxmlformats.org/officeDocument/2006/relationships/hyperlink" Target="consultantplus://offline/ref=3A81CE452F2147659EE43224548ED919CCE0D1C7D067A4B6158E1D4796FB26DBBA54D646F1E6F21B0EDD2B7DD275B16ED7A4EC7F52093160f2c9F" TargetMode="External"/><Relationship Id="rId4" Type="http://schemas.openxmlformats.org/officeDocument/2006/relationships/hyperlink" Target="consultantplus://offline/ref=3A81CE452F2147659EE43224548ED919CCE0D3C8DC67A4B6158E1D4796FB26DBBA54D646F8EDA44E4283722E903EBC64CFB8EC75f4cCF" TargetMode="External"/><Relationship Id="rId5" Type="http://schemas.openxmlformats.org/officeDocument/2006/relationships/hyperlink" Target="consultantplus://offline/ref=3A81CE452F2147659EE43224548ED919CCE0D3C8DC67A4B6158E1D4796FB26DBBA54D646F1E6F01701DD2B7DD275B16ED7A4EC7F52093160f2c9F" TargetMode="External"/><Relationship Id="rId6" Type="http://schemas.openxmlformats.org/officeDocument/2006/relationships/hyperlink" Target="http://www.zakupki.gov.ru/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BD129-B227-4AE8-B5C1-3F2372DC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LibreOffice/5.3.6.1$Linux_X86_64 LibreOffice_project/30$Build-1</Application>
  <Pages>9</Pages>
  <Words>2385</Words>
  <Characters>16153</Characters>
  <CharactersWithSpaces>18525</CharactersWithSpaces>
  <Paragraphs>144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2023-08-28T00:01:00Z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2026-10-01T15:45:42Z</dcterms:modified>
  <cp:revision>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