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cs="Calibri"/>
          <w:sz w:val="28"/>
          <w:szCs w:val="28"/>
        </w:rPr>
      </w:pPr>
      <w:r>
        <w:rPr>
          <w:rFonts w:cs="Calibri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64" w:before="0" w:after="0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 w:before="0" w:after="0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9"/>
          <w:tab w:val="left" w:pos="8070" w:leader="none"/>
        </w:tabs>
        <w:spacing w:lineRule="auto" w:line="264" w:before="0" w:after="0"/>
        <w:ind w:firstLine="851"/>
        <w:rPr>
          <w:rFonts w:ascii="Times New Roman" w:hAnsi="Times New Roman" w:cs="Calibri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  <w:tab/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 w:before="0" w:after="0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6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  <w:t>Технические требования на поставку МТР</w:t>
      </w:r>
    </w:p>
    <w:p>
      <w:pPr>
        <w:pStyle w:val="Normal"/>
        <w:spacing w:lineRule="auto" w:line="264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 xml:space="preserve">ОКПД 2: 25.94.1 Поставка метизной продукции для выполнения производственной программы Кубанского филиала  </w:t>
      </w:r>
    </w:p>
    <w:p>
      <w:pPr>
        <w:pStyle w:val="Normal"/>
        <w:spacing w:lineRule="auto" w:line="264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64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hd w:val="clear" w:color="auto" w:fill="FFFFFF"/>
        <w:spacing w:lineRule="auto" w:line="264" w:before="0" w:after="0"/>
        <w:ind w:firstLine="851" w:left="0"/>
        <w:jc w:val="center"/>
        <w:outlineLvl w:val="1"/>
        <w:rPr>
          <w:rFonts w:ascii="Times New Roman" w:hAnsi="Times New Roman" w:cs="Calibri"/>
          <w:sz w:val="24"/>
          <w:szCs w:val="24"/>
        </w:rPr>
      </w:pPr>
      <w:bookmarkStart w:id="0" w:name="_Toc125476049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СОДЕРЖАНИЕ</w:t>
      </w:r>
      <w:bookmarkEnd w:id="0"/>
    </w:p>
    <w:p>
      <w:pPr>
        <w:pStyle w:val="Normal"/>
        <w:shd w:val="clear" w:color="auto" w:fill="FFFFFF"/>
        <w:tabs>
          <w:tab w:val="clear" w:pos="709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eastAsia="ru-RU"/>
        </w:rPr>
        <w:t>1.Общие сведения………………………………………………………………………………………..3</w:t>
      </w:r>
    </w:p>
    <w:p>
      <w:pPr>
        <w:pStyle w:val="Normal"/>
        <w:shd w:val="clear" w:color="auto" w:fill="FFFFFF"/>
        <w:tabs>
          <w:tab w:val="clear" w:pos="709"/>
          <w:tab w:val="left" w:pos="567" w:leader="none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1.1.</w:t>
        <w:tab/>
        <w:t>Наименование закупаемой продукции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…………………………………………………………...</w:t>
      </w:r>
      <w:r>
        <w:rPr>
          <w:rFonts w:cs="Calibri" w:ascii="Times New Roman" w:hAnsi="Times New Roman"/>
          <w:color w:val="000000"/>
          <w:sz w:val="24"/>
          <w:szCs w:val="24"/>
        </w:rPr>
        <w:t>3</w:t>
      </w:r>
    </w:p>
    <w:p>
      <w:pPr>
        <w:pStyle w:val="Normal"/>
        <w:shd w:val="clear" w:color="auto" w:fill="FFFFFF"/>
        <w:tabs>
          <w:tab w:val="clear" w:pos="709"/>
          <w:tab w:val="left" w:pos="567" w:leader="none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1.2.</w:t>
        <w:tab/>
        <w:t>Цель использования закупаемой продукции……………………………………………………..3</w:t>
      </w:r>
    </w:p>
    <w:p>
      <w:pPr>
        <w:pStyle w:val="Normal"/>
        <w:shd w:val="clear" w:color="auto" w:fill="FFFFFF"/>
        <w:tabs>
          <w:tab w:val="clear" w:pos="709"/>
          <w:tab w:val="right" w:pos="10138" w:leader="dot"/>
        </w:tabs>
        <w:spacing w:lineRule="auto" w:line="276" w:before="0" w:after="10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2.Требования к продукции……………………………………………………………………………….3</w:t>
      </w:r>
    </w:p>
    <w:p>
      <w:pPr>
        <w:pStyle w:val="Normal"/>
        <w:shd w:val="clear" w:color="auto" w:fill="FFFFFF"/>
        <w:tabs>
          <w:tab w:val="clear" w:pos="709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2.1 Требования к объёмам и срокам поставки………………………………………………………….3</w:t>
      </w:r>
    </w:p>
    <w:p>
      <w:pPr>
        <w:pStyle w:val="Normal"/>
        <w:shd w:val="clear" w:color="auto" w:fill="FFFFFF"/>
        <w:tabs>
          <w:tab w:val="clear" w:pos="709"/>
          <w:tab w:val="left" w:pos="567" w:leader="none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2.1.1</w:t>
        <w:tab/>
        <w:t>Перечень и объем закупаемой продукции………………………………………………….…….3</w:t>
      </w:r>
    </w:p>
    <w:p>
      <w:pPr>
        <w:pStyle w:val="Normal"/>
        <w:shd w:val="clear" w:color="auto" w:fill="FFFFFF"/>
        <w:tabs>
          <w:tab w:val="clear" w:pos="709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Таблица 1.1 Перечень и объем закупаемой продукции………………………………………….…….3</w:t>
      </w:r>
    </w:p>
    <w:p>
      <w:pPr>
        <w:pStyle w:val="Normal"/>
        <w:shd w:val="clear" w:color="auto" w:fill="FFFFFF"/>
        <w:tabs>
          <w:tab w:val="clear" w:pos="709"/>
          <w:tab w:val="left" w:pos="567" w:leader="none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2.1.2</w:t>
        <w:tab/>
        <w:t>Требования к срокам поставки продукции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……………………………………………………...</w:t>
      </w:r>
      <w:r>
        <w:rPr>
          <w:rFonts w:cs="Calibri" w:ascii="Times New Roman" w:hAnsi="Times New Roman"/>
          <w:color w:val="000000"/>
          <w:sz w:val="24"/>
          <w:szCs w:val="24"/>
          <w:lang w:eastAsia="ru-RU"/>
        </w:rPr>
        <w:t>10</w:t>
      </w:r>
    </w:p>
    <w:p>
      <w:pPr>
        <w:pStyle w:val="Normal"/>
        <w:shd w:val="clear" w:color="auto" w:fill="FFFFFF"/>
        <w:tabs>
          <w:tab w:val="clear" w:pos="709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Таблица 2.1 Требования по срокам поставки продукции……………………………………….……10</w:t>
      </w:r>
    </w:p>
    <w:p>
      <w:pPr>
        <w:pStyle w:val="Normal"/>
        <w:shd w:val="clear" w:color="auto" w:fill="FFFFFF"/>
        <w:tabs>
          <w:tab w:val="clear" w:pos="709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2.2 Требование к качеству продукции    ………………………………………………………….…...10</w:t>
      </w:r>
    </w:p>
    <w:p>
      <w:pPr>
        <w:pStyle w:val="Normal"/>
        <w:shd w:val="clear" w:color="auto" w:fill="FFFFFF"/>
        <w:tabs>
          <w:tab w:val="clear" w:pos="709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Таблица 3. Требования к продукции…………………………………………………………………...11</w:t>
      </w:r>
    </w:p>
    <w:p>
      <w:pPr>
        <w:pStyle w:val="Normal"/>
        <w:shd w:val="clear" w:color="auto" w:fill="FFFFFF"/>
        <w:tabs>
          <w:tab w:val="clear" w:pos="709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3. Требования к документации по ценообразованию на этапе закупки……………………………..53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outlineLvl w:val="0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lang w:eastAsia="ar-SA"/>
        </w:rPr>
      </w:pPr>
      <w:r>
        <w:rPr>
          <w:rFonts w:eastAsia="Times New Roman" w:cs="Times New Roman" w:ascii="Times New Roman" w:hAnsi="Times New Roman"/>
          <w:b/>
          <w:bCs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lang w:eastAsia="ar-SA"/>
        </w:rPr>
      </w:pPr>
      <w:r>
        <w:rPr>
          <w:rFonts w:eastAsia="Times New Roman" w:cs="Times New Roman" w:ascii="Times New Roman" w:hAnsi="Times New Roman"/>
          <w:b/>
          <w:bCs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lang w:eastAsia="ar-SA"/>
        </w:rPr>
      </w:pPr>
      <w:r>
        <w:rPr>
          <w:rFonts w:eastAsia="Times New Roman" w:cs="Times New Roman" w:ascii="Times New Roman" w:hAnsi="Times New Roman"/>
          <w:b/>
          <w:bCs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lang w:eastAsia="ar-SA"/>
        </w:rPr>
      </w:pPr>
      <w:r>
        <w:rPr>
          <w:rFonts w:eastAsia="Times New Roman" w:cs="Times New Roman" w:ascii="Times New Roman" w:hAnsi="Times New Roman"/>
          <w:b/>
          <w:bCs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lang w:eastAsia="ar-SA"/>
        </w:rPr>
      </w:pPr>
      <w:r>
        <w:rPr>
          <w:rFonts w:eastAsia="Times New Roman" w:cs="Times New Roman" w:ascii="Times New Roman" w:hAnsi="Times New Roman"/>
          <w:b/>
          <w:bCs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lang w:eastAsia="ar-SA"/>
        </w:rPr>
      </w:pPr>
      <w:r>
        <w:rPr>
          <w:rFonts w:eastAsia="Times New Roman" w:cs="Times New Roman" w:ascii="Times New Roman" w:hAnsi="Times New Roman"/>
          <w:b/>
          <w:bCs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lang w:eastAsia="ar-SA"/>
        </w:rPr>
      </w:pPr>
      <w:r>
        <w:rPr>
          <w:rFonts w:eastAsia="Times New Roman" w:cs="Times New Roman" w:ascii="Times New Roman" w:hAnsi="Times New Roman"/>
          <w:b/>
          <w:bCs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lang w:eastAsia="ar-SA"/>
        </w:rPr>
      </w:pPr>
      <w:r>
        <w:rPr>
          <w:rFonts w:eastAsia="Times New Roman" w:cs="Times New Roman" w:ascii="Times New Roman" w:hAnsi="Times New Roman"/>
          <w:b/>
          <w:bCs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lang w:eastAsia="ar-SA"/>
        </w:rPr>
      </w:pPr>
      <w:r>
        <w:rPr>
          <w:rFonts w:eastAsia="Times New Roman" w:cs="Times New Roman" w:ascii="Times New Roman" w:hAnsi="Times New Roman"/>
          <w:b/>
          <w:bCs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lang w:eastAsia="ar-SA"/>
        </w:rPr>
      </w:pPr>
      <w:r>
        <w:rPr>
          <w:rFonts w:eastAsia="Times New Roman" w:cs="Times New Roman" w:ascii="Times New Roman" w:hAnsi="Times New Roman"/>
          <w:b/>
          <w:bCs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lang w:eastAsia="ar-SA"/>
        </w:rPr>
      </w:pPr>
      <w:r>
        <w:rPr>
          <w:rFonts w:eastAsia="Times New Roman" w:cs="Times New Roman" w:ascii="Times New Roman" w:hAnsi="Times New Roman"/>
          <w:b/>
          <w:bCs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lang w:eastAsia="ar-SA"/>
        </w:rPr>
      </w:pPr>
      <w:r>
        <w:rPr>
          <w:rFonts w:eastAsia="Times New Roman" w:cs="Times New Roman" w:ascii="Times New Roman" w:hAnsi="Times New Roman"/>
          <w:b/>
          <w:bCs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lang w:eastAsia="ar-SA"/>
        </w:rPr>
      </w:pPr>
      <w:r>
        <w:rPr>
          <w:rFonts w:eastAsia="Times New Roman" w:cs="Times New Roman" w:ascii="Times New Roman" w:hAnsi="Times New Roman"/>
          <w:b/>
          <w:bCs/>
          <w:lang w:eastAsia="ar-SA"/>
        </w:rPr>
      </w:r>
    </w:p>
    <w:p>
      <w:pPr>
        <w:pStyle w:val="Normal"/>
        <w:spacing w:lineRule="auto" w:line="240" w:before="0" w:after="0"/>
        <w:rPr>
          <w:rFonts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lang w:eastAsia="ar-SA"/>
        </w:rPr>
      </w:pPr>
      <w:r>
        <w:rPr>
          <w:rFonts w:eastAsia="Times New Roman" w:cs="Times New Roman" w:ascii="Times New Roman" w:hAnsi="Times New Roman"/>
          <w:b/>
          <w:bCs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lang w:eastAsia="ar-SA"/>
        </w:rPr>
      </w:pPr>
      <w:r>
        <w:rPr>
          <w:rFonts w:eastAsia="Times New Roman" w:cs="Times New Roman" w:ascii="Times New Roman" w:hAnsi="Times New Roman"/>
          <w:b/>
          <w:bCs/>
          <w:lang w:eastAsia="ar-SA"/>
        </w:rPr>
      </w:r>
    </w:p>
    <w:p>
      <w:pPr>
        <w:pStyle w:val="Normal"/>
        <w:keepNext w:val="true"/>
        <w:keepLines/>
        <w:numPr>
          <w:ilvl w:val="0"/>
          <w:numId w:val="5"/>
        </w:numPr>
        <w:spacing w:lineRule="auto" w:line="240" w:before="120" w:after="60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x-none" w:eastAsia="x-none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>Общ</w:t>
      </w:r>
      <w:bookmarkStart w:id="1" w:name="_Toc125473240"/>
      <w:bookmarkStart w:id="2" w:name="_Toc75446566"/>
      <w:bookmarkStart w:id="3" w:name="_Toc51339692"/>
      <w:bookmarkStart w:id="4" w:name="_Toc125476050"/>
      <w:r>
        <w:rPr>
          <w:rFonts w:cs="Times New Roman" w:ascii="Times New Roman" w:hAnsi="Times New Roman"/>
          <w:b/>
          <w:sz w:val="24"/>
          <w:szCs w:val="24"/>
          <w:lang w:eastAsia="x-none"/>
        </w:rPr>
        <w:t>ие сведения</w:t>
      </w:r>
      <w:bookmarkEnd w:id="1"/>
      <w:bookmarkEnd w:id="2"/>
      <w:bookmarkEnd w:id="3"/>
      <w:bookmarkEnd w:id="4"/>
    </w:p>
    <w:p>
      <w:pPr>
        <w:pStyle w:val="Normal"/>
        <w:widowControl w:val="false"/>
        <w:numPr>
          <w:ilvl w:val="1"/>
          <w:numId w:val="2"/>
        </w:numPr>
        <w:spacing w:lineRule="auto" w:line="240" w:before="0" w:after="0"/>
        <w:contextualSpacing/>
        <w:outlineLvl w:val="1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 xml:space="preserve"> </w:t>
      </w:r>
      <w:bookmarkStart w:id="5" w:name="_Toc125473241"/>
      <w:bookmarkStart w:id="6" w:name="_Toc125476051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5"/>
      <w:bookmarkEnd w:id="6"/>
    </w:p>
    <w:p>
      <w:pPr>
        <w:pStyle w:val="Normal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 xml:space="preserve">ОКПД 2: 25.94.1 Поставка метизной продукции для выполнения производственной программы Кубанского филиала. </w:t>
      </w:r>
      <w:r>
        <w:rPr>
          <w:rFonts w:cs="Times New Roman" w:ascii="Times New Roman" w:hAnsi="Times New Roman"/>
          <w:i/>
          <w:sz w:val="24"/>
          <w:szCs w:val="24"/>
        </w:rPr>
        <w:t>(далее продукция)</w:t>
      </w:r>
    </w:p>
    <w:p>
      <w:pPr>
        <w:pStyle w:val="Normal"/>
        <w:widowControl w:val="false"/>
        <w:numPr>
          <w:ilvl w:val="1"/>
          <w:numId w:val="2"/>
        </w:numPr>
        <w:spacing w:lineRule="auto" w:line="240" w:before="0" w:after="0"/>
        <w:contextualSpacing/>
        <w:outlineLvl w:val="1"/>
        <w:rPr>
          <w:sz w:val="24"/>
          <w:szCs w:val="24"/>
        </w:rPr>
      </w:pPr>
      <w:bookmarkStart w:id="7" w:name="_Toc125473242"/>
      <w:bookmarkStart w:id="8" w:name="_Toc125476052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7"/>
      <w:bookmarkEnd w:id="8"/>
    </w:p>
    <w:p>
      <w:pPr>
        <w:pStyle w:val="Default"/>
        <w:rPr>
          <w:sz w:val="24"/>
          <w:szCs w:val="24"/>
        </w:rPr>
      </w:pPr>
      <w:bookmarkStart w:id="9" w:name="_Toc125473249"/>
      <w:bookmarkStart w:id="10" w:name="_Toc125476056"/>
      <w:r>
        <w:rPr>
          <w:sz w:val="24"/>
          <w:szCs w:val="24"/>
        </w:rPr>
        <w:t>Исполнение обязательств по договорам Подряда заключенными между АО «Гидроремонт-ВКК» и</w:t>
      </w:r>
    </w:p>
    <w:p>
      <w:pPr>
        <w:pStyle w:val="Default"/>
        <w:jc w:val="both"/>
        <w:rPr>
          <w:sz w:val="24"/>
          <w:szCs w:val="24"/>
        </w:rPr>
      </w:pPr>
      <w:r>
        <w:rPr>
          <w:sz w:val="24"/>
          <w:szCs w:val="24"/>
        </w:rPr>
        <w:t>Филиалом ПАО «РусГидро» - «Каскад Кубанских ГЭС»:</w:t>
      </w:r>
    </w:p>
    <w:p>
      <w:pPr>
        <w:pStyle w:val="Default"/>
        <w:numPr>
          <w:ilvl w:val="0"/>
          <w:numId w:val="6"/>
        </w:numPr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>
        <w:rPr>
          <w:sz w:val="24"/>
          <w:szCs w:val="24"/>
        </w:rPr>
        <w:t>1210-343-2023 от 03.11.2023г. «Выполнение работ по капитальному и текущему ремонту оборудования, зданий, сооружений»;</w:t>
      </w:r>
    </w:p>
    <w:p>
      <w:pPr>
        <w:pStyle w:val="Default"/>
        <w:numPr>
          <w:ilvl w:val="0"/>
          <w:numId w:val="6"/>
        </w:numPr>
        <w:jc w:val="both"/>
        <w:textAlignment w:val="baseline"/>
        <w:rPr>
          <w:sz w:val="24"/>
          <w:szCs w:val="24"/>
        </w:rPr>
      </w:pPr>
      <w:r>
        <w:rPr>
          <w:color w:val="auto"/>
          <w:sz w:val="24"/>
          <w:szCs w:val="24"/>
        </w:rPr>
        <w:t>№</w:t>
      </w:r>
      <w:r>
        <w:rPr>
          <w:color w:val="auto"/>
          <w:sz w:val="24"/>
          <w:szCs w:val="24"/>
        </w:rPr>
        <w:t>1190-288-2023 от 11.10.2023 «Выполнение работ по капитальному ремонту оборудования, зданий, сооружений».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0"/>
        <w:ind w:hanging="0" w:left="0"/>
        <w:outlineLvl w:val="0"/>
        <w:rPr>
          <w:sz w:val="24"/>
          <w:szCs w:val="24"/>
        </w:rPr>
      </w:pPr>
      <w:bookmarkStart w:id="11" w:name="_Toc75446573"/>
      <w:bookmarkStart w:id="12" w:name="_Toc51339693"/>
      <w:r>
        <w:rPr>
          <w:rFonts w:cs="Times New Roman" w:ascii="Times New Roman" w:hAnsi="Times New Roman"/>
          <w:b/>
          <w:iCs/>
          <w:sz w:val="24"/>
          <w:szCs w:val="24"/>
          <w:lang w:eastAsia="x-none"/>
        </w:rPr>
        <w:t xml:space="preserve">                                                                     </w:t>
      </w:r>
      <w:r>
        <w:rPr>
          <w:rFonts w:cs="Times New Roman" w:ascii="Times New Roman" w:hAnsi="Times New Roman"/>
          <w:b/>
          <w:iCs/>
          <w:sz w:val="24"/>
          <w:szCs w:val="24"/>
          <w:lang w:eastAsia="x-none"/>
        </w:rPr>
        <w:t xml:space="preserve">2. </w:t>
      </w:r>
      <w:r>
        <w:rPr>
          <w:rFonts w:cs="Times New Roman" w:ascii="Times New Roman" w:hAnsi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11"/>
      <w:bookmarkEnd w:id="12"/>
      <w:r>
        <w:rPr>
          <w:rFonts w:cs="Times New Roman" w:ascii="Times New Roman" w:hAnsi="Times New Roman"/>
          <w:b/>
          <w:iCs/>
          <w:sz w:val="24"/>
          <w:szCs w:val="24"/>
          <w:lang w:eastAsia="x-none"/>
        </w:rPr>
        <w:t>.</w:t>
      </w:r>
      <w:bookmarkEnd w:id="9"/>
      <w:bookmarkEnd w:id="10"/>
    </w:p>
    <w:p>
      <w:pPr>
        <w:pStyle w:val="Normal"/>
        <w:keepNext w:val="true"/>
        <w:widowControl/>
        <w:numPr>
          <w:ilvl w:val="1"/>
          <w:numId w:val="3"/>
        </w:numPr>
        <w:suppressAutoHyphens w:val="true"/>
        <w:bidi w:val="0"/>
        <w:spacing w:lineRule="auto" w:line="240" w:before="120" w:after="0"/>
        <w:ind w:hanging="340" w:left="567" w:right="0"/>
        <w:jc w:val="left"/>
        <w:outlineLvl w:val="3"/>
        <w:rPr>
          <w:sz w:val="24"/>
          <w:szCs w:val="24"/>
        </w:rPr>
      </w:pPr>
      <w:bookmarkStart w:id="13" w:name="_Toc75446574"/>
      <w:r>
        <w:rPr>
          <w:rFonts w:cs="Times New Roman" w:ascii="Times New Roman" w:hAnsi="Times New Roman"/>
          <w:sz w:val="24"/>
          <w:szCs w:val="24"/>
          <w:lang w:val="x-none" w:eastAsia="x-none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>Требования к объемам и срокам постав</w:t>
      </w:r>
      <w:r>
        <w:rPr>
          <w:rFonts w:cs="Times New Roman" w:ascii="Times New Roman" w:hAnsi="Times New Roman"/>
          <w:b/>
          <w:bCs/>
          <w:sz w:val="24"/>
          <w:szCs w:val="24"/>
          <w:lang w:val="x-none" w:eastAsia="x-none"/>
        </w:rPr>
        <w:t>ки</w:t>
      </w:r>
      <w:bookmarkEnd w:id="13"/>
    </w:p>
    <w:p>
      <w:pPr>
        <w:pStyle w:val="Normal"/>
        <w:keepNext w:val="true"/>
        <w:numPr>
          <w:ilvl w:val="0"/>
          <w:numId w:val="0"/>
        </w:numPr>
        <w:tabs>
          <w:tab w:val="clear" w:pos="709"/>
          <w:tab w:val="left" w:pos="567" w:leader="none"/>
        </w:tabs>
        <w:spacing w:lineRule="auto" w:line="240" w:before="120" w:after="0"/>
        <w:ind w:hanging="0" w:left="0"/>
        <w:outlineLvl w:val="2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  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2.1.1. </w:t>
      </w:r>
      <w:bookmarkStart w:id="14" w:name="_Toc75446575"/>
      <w:bookmarkStart w:id="15" w:name="_Toc125473250"/>
      <w:bookmarkStart w:id="16" w:name="_Toc125476057"/>
      <w:r>
        <w:rPr>
          <w:rFonts w:cs="Times New Roman" w:ascii="Times New Roman" w:hAnsi="Times New Roman"/>
          <w:b/>
          <w:sz w:val="24"/>
          <w:szCs w:val="24"/>
          <w:lang w:eastAsia="x-none"/>
        </w:rPr>
        <w:t>Перечень и объем закупаемой продукции</w:t>
      </w:r>
      <w:bookmarkEnd w:id="14"/>
      <w:bookmarkEnd w:id="15"/>
      <w:bookmarkEnd w:id="16"/>
    </w:p>
    <w:p>
      <w:pPr>
        <w:pStyle w:val="Normal"/>
        <w:keepNext w:val="true"/>
        <w:keepLines/>
        <w:widowControl/>
        <w:numPr>
          <w:ilvl w:val="0"/>
          <w:numId w:val="0"/>
        </w:numPr>
        <w:suppressAutoHyphens w:val="true"/>
        <w:bidi w:val="0"/>
        <w:spacing w:lineRule="auto" w:line="240" w:before="113" w:after="0"/>
        <w:ind w:hanging="0" w:left="-57" w:right="0"/>
        <w:jc w:val="left"/>
        <w:outlineLvl w:val="0"/>
        <w:rPr>
          <w:sz w:val="24"/>
          <w:szCs w:val="24"/>
        </w:rPr>
      </w:pPr>
      <w:bookmarkStart w:id="17" w:name="_Toc75446576"/>
      <w:bookmarkStart w:id="18" w:name="_Toc125473251"/>
      <w:bookmarkStart w:id="19" w:name="_Toc125476058"/>
      <w:bookmarkStart w:id="20" w:name="_Toc51339695"/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   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1.1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Перечень </w:t>
      </w:r>
      <w:bookmarkEnd w:id="20"/>
      <w:r>
        <w:rPr>
          <w:rFonts w:cs="Times New Roman" w:ascii="Times New Roman" w:hAnsi="Times New Roman"/>
          <w:b/>
          <w:sz w:val="24"/>
          <w:szCs w:val="24"/>
          <w:lang w:eastAsia="x-none"/>
        </w:rPr>
        <w:t>и объем закупаемой продукции</w:t>
      </w:r>
      <w:bookmarkEnd w:id="17"/>
      <w:bookmarkEnd w:id="18"/>
      <w:bookmarkEnd w:id="19"/>
    </w:p>
    <w:tbl>
      <w:tblPr>
        <w:tblW w:w="10036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73"/>
        <w:gridCol w:w="6326"/>
        <w:gridCol w:w="1636"/>
        <w:gridCol w:w="1200"/>
      </w:tblGrid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</w:t>
            </w:r>
          </w:p>
        </w:tc>
      </w:tr>
      <w:tr>
        <w:trPr>
          <w:trHeight w:val="398" w:hRule="atLeast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4</w:t>
            </w:r>
          </w:p>
        </w:tc>
      </w:tr>
      <w:tr>
        <w:trPr>
          <w:trHeight w:val="351" w:hRule="atLeast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Шайба пружинная стальная 20мм 3Х13 ГОСТ 6402-70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12</w:t>
            </w:r>
          </w:p>
        </w:tc>
      </w:tr>
      <w:tr>
        <w:trPr>
          <w:trHeight w:val="351" w:hRule="atLeast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Болт М12х50.109 20Г2Р ГОСТ 7808-70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12,2</w:t>
            </w:r>
          </w:p>
        </w:tc>
      </w:tr>
      <w:tr>
        <w:trPr/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Болт М16х35.109 20Г2Р ГОСТ 7798-70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30,6</w:t>
            </w:r>
          </w:p>
        </w:tc>
      </w:tr>
      <w:tr>
        <w:trPr/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Болт М20х50.88 Ст35 ГОСТ 7798-70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8</w:t>
            </w:r>
          </w:p>
        </w:tc>
      </w:tr>
      <w:tr>
        <w:trPr/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Гайка М16-7Н.5 стальная оцинкованная ГОСТ 5915-70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23,8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Болт М16х70.88 оцинкованный DIN 933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7,3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Шайба пружинная М12 стальная оцинкованная DIN 127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422</w:t>
            </w:r>
          </w:p>
        </w:tc>
      </w:tr>
      <w:tr>
        <w:trPr/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Шпилька ввинчиваемая М24-6gх100.58.20Г2Р ГОСТ 22032-76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11,11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Шайба стопорная с носком 16.03.016 ГОСТ 13465-77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412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Винт М12х30-А2-70 ГОСТ Р ISO 4017-2013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1,6</w:t>
            </w:r>
          </w:p>
        </w:tc>
      </w:tr>
      <w:tr>
        <w:trPr/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Гайка М16-А2-70 ГОСТ ISO 4032-2014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4,5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Шпилька с ввинчиваемым концом М16-6gх60.58.019 09Г2С ГОСТ 22034-76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4,8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Винт стальной оцинкованный М12-6gх20 ГОСТ 17475-80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6,4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Болт М10х60 12Х18Н10Т ГОСТ 7798-78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1,6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Болт М16х50 30Х13 ГОСТ 7798-70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18</w:t>
            </w:r>
          </w:p>
        </w:tc>
      </w:tr>
      <w:tr>
        <w:trPr/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Болт М20х50 30Х13 ГОСТ 7798-70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18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Болт М20х70 30Х13 ГОСТ 7798-70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18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Болт М24х80 30Х13 ГОСТ 7798-70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18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Болт М18х100.88 ГОСТ 7798-70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16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Болт М16х80.88 ГОСТ 7798-70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16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Болт М20х100.88 ГОСТ 7805-70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12,6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Болт М10х6g-20.58 Ст.20 оцинкованный (S16) ГОСТ 7798-70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Болт оцинкованный М10х25.88 DIN 933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3,6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Болт М12х60.88 оцинкованный DIN 933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4,4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Болт класс точности А М16х6g-60.88 оцинкованный (S24) DIN 933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12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Болт класс точности А М16х6g-85.88 оцинкованный (S24) DIN 933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6,8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Болт М16х55.88 оцинкованный DIN 933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24,4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Болт оцинкованный М16х65.88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en-US"/>
              </w:rPr>
              <w:t>DIN 933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66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Болт М8х40.88 оцинкованный DIN 933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Болт оцинкованный М20х55.88 DIN 933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14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Болт М6х30.88 оцинкованный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en-US"/>
              </w:rPr>
              <w:t xml:space="preserve"> DIN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en-US"/>
              </w:rPr>
              <w:t>933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0,8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Гайка шестигранная М30.23 ГОСТ 5915-70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36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Гайка М30-6Н.8 ГОСТ 5915-70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16,2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Гайка М8-6Н.5.029 ГОСТ 5915-70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0,5</w:t>
            </w:r>
          </w:p>
        </w:tc>
      </w:tr>
      <w:tr>
        <w:trPr>
          <w:trHeight w:val="428" w:hRule="atLeast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Гайка М10-6Н.5 ГОСТ 5915-70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10,2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Гайка М12-6H.5 ГОСТ 5915-70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10,5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Гайка кл. точ. А М12 А2 DIN 934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0,6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Шайба плоская 42 Ст20 ГОСТ 11371-78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26,3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Шайба плоская А.10.01.08кп.016 ГОСТ 11371-78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0,6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Шайба пружинная М10 оцинкованная DIN 127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0,2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Шайба плоская А.12.01.08кп.016 ГОСТ 11371-78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0,8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Шайба плоская А.16.01.08кп.016 ГОСТ 11371-78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6,6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Шайба плоская А.20.01.08кп.016 ГОСТ 11371-78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5,2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Шайб плоская 30.01.0221 Ст20 ГОСТ 11371-78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5,8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Шайба стопорная М12 А2 DIN 463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0,4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ind w:hanging="360" w:left="360" w:right="-33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Шайба стопорная 12.01.029 ГОСТ 13465-77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spacing w:lineRule="auto" w:line="240" w:before="57" w:after="57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0,3</w:t>
            </w:r>
          </w:p>
        </w:tc>
      </w:tr>
    </w:tbl>
    <w:p>
      <w:pPr>
        <w:pStyle w:val="Normal"/>
        <w:numPr>
          <w:ilvl w:val="0"/>
          <w:numId w:val="0"/>
        </w:numPr>
        <w:tabs>
          <w:tab w:val="clear" w:pos="709"/>
          <w:tab w:val="left" w:pos="567" w:leader="none"/>
        </w:tabs>
        <w:spacing w:lineRule="auto" w:line="240" w:before="120" w:after="0"/>
        <w:ind w:hanging="0" w:left="0"/>
        <w:outlineLvl w:val="2"/>
        <w:rPr>
          <w:rFonts w:ascii="Times New Roman" w:hAnsi="Times New Roman" w:cs="Times New Roman"/>
          <w:b/>
          <w:lang w:eastAsia="x-none"/>
        </w:rPr>
      </w:pPr>
      <w:r>
        <w:rPr>
          <w:rFonts w:cs="Times New Roman" w:ascii="Times New Roman" w:hAnsi="Times New Roman"/>
          <w:b/>
          <w:lang w:eastAsia="x-none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567" w:leader="none"/>
        </w:tabs>
        <w:spacing w:lineRule="auto" w:line="240" w:before="120" w:after="0"/>
        <w:ind w:hanging="0" w:left="0"/>
        <w:outlineLvl w:val="2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2.1.2. Требования к срокам поставки продукции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0"/>
        <w:ind w:hanging="0" w:left="0"/>
        <w:outlineLvl w:val="0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 </w:t>
      </w:r>
      <w:bookmarkStart w:id="21" w:name="_Toc125473253"/>
      <w:bookmarkStart w:id="22" w:name="_Toc75446579"/>
      <w:bookmarkStart w:id="23" w:name="_Toc125476060"/>
      <w:bookmarkStart w:id="24" w:name="_Toc50125127"/>
      <w:bookmarkStart w:id="25" w:name="_Toc51339697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2.1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Start w:id="26" w:name="_Hlk50465284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24"/>
      <w:bookmarkEnd w:id="25"/>
      <w:bookmarkEnd w:id="26"/>
      <w:r>
        <w:rPr>
          <w:rFonts w:cs="Times New Roman" w:ascii="Times New Roman" w:hAnsi="Times New Roman"/>
          <w:b/>
          <w:sz w:val="24"/>
          <w:szCs w:val="24"/>
          <w:lang w:eastAsia="x-none"/>
        </w:rPr>
        <w:t>поставки продукции</w:t>
      </w:r>
      <w:bookmarkEnd w:id="21"/>
      <w:bookmarkEnd w:id="22"/>
      <w:bookmarkEnd w:id="23"/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</w:t>
      </w:r>
    </w:p>
    <w:tbl>
      <w:tblPr>
        <w:tblW w:w="9918" w:type="dxa"/>
        <w:jc w:val="left"/>
        <w:tblInd w:w="3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617"/>
        <w:gridCol w:w="3757"/>
        <w:gridCol w:w="2363"/>
        <w:gridCol w:w="3180"/>
      </w:tblGrid>
      <w:tr>
        <w:trPr/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 партии продукции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продукции*</w:t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0"/>
              <w:ind w:left="57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0"/>
              <w:ind w:left="57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>
          <w:trHeight w:val="776" w:hRule="atLeast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ОКПД 2: 25.94.1 Поставка метизной продукции для выполнения производственной программы Кубанского филиала.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FFFFFF" w:val="clear"/>
                <w:lang w:eastAsia="ru-RU"/>
              </w:rPr>
              <w:t>с даты подписания договора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позднее 15.01.2027</w:t>
            </w:r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*</w:t>
      </w:r>
      <w:r>
        <w:rPr>
          <w:rFonts w:cs="Times New Roman" w:ascii="Times New Roman" w:hAnsi="Times New Roman"/>
          <w:sz w:val="24"/>
          <w:szCs w:val="24"/>
          <w:lang w:eastAsia="x-none"/>
        </w:rPr>
        <w:t xml:space="preserve">Дата поставки обуславливается </w:t>
      </w:r>
      <w:r>
        <w:rPr>
          <w:rFonts w:ascii="Times New Roman" w:hAnsi="Times New Roman"/>
          <w:sz w:val="24"/>
          <w:szCs w:val="24"/>
        </w:rPr>
        <w:t>сроком начала выполнения работ согласно календарным графикам к договорам подряда:</w:t>
      </w:r>
    </w:p>
    <w:p>
      <w:pPr>
        <w:pStyle w:val="ListParagraph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1210-343-2023 от 03.11.2023 г.</w:t>
      </w:r>
    </w:p>
    <w:p>
      <w:pPr>
        <w:pStyle w:val="ListParagraph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1190-288-2023 от 11.10.2023 г.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>2.2</w:t>
      </w:r>
      <w:r>
        <w:rPr>
          <w:rFonts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 </w:t>
      </w:r>
      <w:bookmarkStart w:id="27" w:name="_Toc125476061_Копия_1"/>
      <w:bookmarkStart w:id="28" w:name="_Toc125473255_Копия_1"/>
      <w:r>
        <w:rPr>
          <w:rFonts w:cs="Times New Roman" w:ascii="Times New Roman" w:hAnsi="Times New Roman"/>
          <w:b/>
          <w:bCs/>
          <w:sz w:val="24"/>
          <w:szCs w:val="24"/>
          <w:lang w:val="x-none" w:eastAsia="x-none"/>
        </w:rPr>
        <w:t>Требования к качеству продукци</w:t>
      </w:r>
      <w:bookmarkEnd w:id="27"/>
      <w:bookmarkEnd w:id="28"/>
      <w:r>
        <w:rPr>
          <w:rFonts w:cs="Times New Roman" w:ascii="Times New Roman" w:hAnsi="Times New Roman"/>
          <w:b/>
          <w:bCs/>
          <w:sz w:val="24"/>
          <w:szCs w:val="24"/>
          <w:lang w:val="x-none" w:eastAsia="x-none"/>
        </w:rPr>
        <w:t>и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bookmarkStart w:id="29" w:name="_Toc125473256_Копия_1"/>
      <w:bookmarkStart w:id="30" w:name="_Toc125476062_Копия_1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>Таблица 3. Требования к продукции</w:t>
      </w:r>
      <w:bookmarkEnd w:id="29"/>
      <w:bookmarkEnd w:id="30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bookmarkStart w:id="31" w:name="_Toc125473257_Копия_1"/>
      <w:r>
        <w:rPr>
          <w:rFonts w:eastAsia="Times New Roman" w:cs="Times New Roman" w:ascii="Times New Roman" w:hAnsi="Times New Roman"/>
          <w:b/>
          <w:bCs/>
          <w:i/>
          <w:iCs/>
          <w:sz w:val="24"/>
          <w:szCs w:val="24"/>
          <w:lang w:eastAsia="ar-SA"/>
        </w:rPr>
        <w:t>Наименование продукции: согласно Таблицы 1.1</w:t>
      </w:r>
      <w:bookmarkEnd w:id="31"/>
      <w:r>
        <w:rPr>
          <w:rFonts w:eastAsia="Times New Roman" w:cs="Times New Roman" w:ascii="Times New Roman" w:hAnsi="Times New Roman"/>
          <w:b/>
          <w:bCs/>
          <w:i/>
          <w:iCs/>
          <w:sz w:val="24"/>
          <w:szCs w:val="24"/>
          <w:lang w:eastAsia="ar-SA"/>
        </w:rPr>
        <w:t xml:space="preserve"> «</w:t>
      </w:r>
      <w:r>
        <w:rPr>
          <w:rFonts w:cs="Times New Roman" w:ascii="Times New Roman" w:hAnsi="Times New Roman"/>
          <w:sz w:val="24"/>
          <w:szCs w:val="24"/>
          <w:lang w:eastAsia="ru-RU"/>
        </w:rPr>
        <w:t>ОКПД 2: 25.94.1 Поставка метизной продукции для выполнения производственной программы Кубанского филиала.»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lang w:eastAsia="x-none"/>
        </w:rPr>
      </w:pPr>
      <w:r>
        <w:rPr>
          <w:rFonts w:cs="Times New Roman" w:ascii="Times New Roman" w:hAnsi="Times New Roman"/>
          <w:b/>
          <w:lang w:eastAsia="x-none"/>
        </w:rPr>
      </w:r>
    </w:p>
    <w:tbl>
      <w:tblPr>
        <w:tblW w:w="10200" w:type="dxa"/>
        <w:jc w:val="left"/>
        <w:tblInd w:w="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1235"/>
        <w:gridCol w:w="3758"/>
        <w:gridCol w:w="5207"/>
      </w:tblGrid>
      <w:tr>
        <w:trPr>
          <w:trHeight w:val="599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bookmarkStart w:id="32" w:name="_GoBack"/>
            <w:bookmarkEnd w:id="32"/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shd w:fill="FFFFFF" w:val="clear"/>
                <w:lang w:eastAsia="ru-RU"/>
              </w:rPr>
              <w:t>Требование заказчика</w:t>
            </w:r>
          </w:p>
        </w:tc>
      </w:tr>
      <w:tr>
        <w:trPr>
          <w:trHeight w:val="255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Шайба пружинная стальная 20мм 3Х13 ГОСТ 6402-70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Тип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Пружинная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Диаметр крепежной детали, мм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3Х13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ГОСТ 6402-70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Болт М12х50.109 20Г2Р ГОСТ 7808-70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М12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Длина болта, мм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Класс прочности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10.9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20Г2Р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ГОСТ 7808-70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Болт М16х35.109 20Г2Р ГОСТ 7798-70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М16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Длина болта, мм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35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Класс прочности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10.9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20Г2Р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ГОСТ 7798-70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Болт М20х50.88 Ст35 ГОСТ 7798-70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М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Длина болта, мм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Класс прочности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35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ГОСТ 7798-70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Гайка М16-7Н.5 стальная оцинкованная ГОСТ 5915-70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М16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Поле допуска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7Н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Класс прочности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Ц. хр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Толщина, мкм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ГОСТ 5915-70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Болт М16х70.88 оцинкованный DIN 933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М16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Длина болта, мм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Класс прочности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8.8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Согласно DIN ISO 898, часть 1 для класса прочности 8.8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Цинк согласно DIN 267, часть 10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DIN 933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Шайба пружинная М12 стальная оцинкованная DIN 127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Тип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Пружинная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Диаметр крепежной детали, мм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Пружинная сталь согласно DIN 267, часть 26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Покрытие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Цинк согласно DIN 267, часть 10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DIN 127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Шпилька ввинчиваемая М24-6gх100.58.20Г2Р ГОСТ 22032-76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М24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Поле допуска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g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Длина шпильки, мм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100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Класс прочности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5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20Г2Р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ГОСТ 22032-76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Шайба стопорная с носком 16.03.016 ГОСТ 13465-77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Стопорная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Диаметр крепежной детали, мм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Материал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Сталь 15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Ц. хр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Толщина, мкм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Винт М12х30-А2-70 ГОСТ Р ISO 4017-2013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М12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Длина винта, мм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А2-70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ГОСТ Р ISO 4017-2013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Гайка М16-А2-70 ГОСТ ISO 4032-2014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М16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А2-70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ГОСТ Р ISO 4032-2014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Шпилька с ввинчиваемым концом М16-6gх60.58.019 09Г2С ГОСТ 22034-76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М16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Поле допуска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g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Длина шпильки, мм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60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Класс прочности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5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Ц. хр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Толщина, мкм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09Г2С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ГОСТ 22034-76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Винт стальной оцинкованный М12-6gх20 ГОСТ 17475-80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М12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Поле допуска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g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Длина винта, мм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20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10, 15, 20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ГОСТ 17475-80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Болт М10х60 12Х18Н10Т ГОСТ 7798-78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М10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Длина болта, мм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12Х18Н10Т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ГОСТ 7798-70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Болт М16х50 30Х13 ГОСТ 7798-70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М16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Длина болта, мм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30Х13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ГОСТ 7798-70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Болт М20х50 30Х13 ГОСТ 7798-70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М20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Длина болта, мм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30Х13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ГОСТ 7798-70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Болт М20х70 30Х13 ГОСТ 7798-70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М20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Длина болта, мм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30Х13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ГОСТ 7798-70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Болт М24х80 30Х13 ГОСТ 7798-70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М24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Длина болта, мм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30Х13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ГОСТ 7798-70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Болт М18х100.88 ГОСТ 7798-70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М18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Длина болта, мм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Класс прочности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8.8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Согласно ГОСТ 1759.4-87 для класса прочности 8.8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ГОСТ 7798-70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Болт М16х80.88 ГОСТ 7798-70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М16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Длина болта, мм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Класс прочности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8.8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Согласно ГОСТ 1759.4-87 для класса прочности 8.8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ГОСТ 7798-70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Болт М20х100.88 ГОСТ 7805-70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М20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Длина болта, мм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Класс прочности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8.8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Согласно ГОСТ 1759.4-87 для класса прочности 8.8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ГОСТ 7805-70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Болт М10х6g-20.58 Ст.20 оцинкованный (S16) ГОСТ 7798-70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М10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Поле допуска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g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Длина болта, мм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Класс прочности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5.8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Ц. хр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Толщина, мкм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ГОСТ 7798-70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Болт оцинкованный М10х25.88 DIN 933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М10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Длина болта, мм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Класс прочности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8.8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Согласно DIN ISO 898, часть 1 для класса прочности 8.8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Цинк согласно DIN 267, часть 10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DIN 933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Болт М12х60.88 оцинкованный DIN 933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М12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Длина болта, мм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Класс прочности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8.8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Согласно DIN ISO 898, часть 1 для класса прочности 8.8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Цинк согласно DIN 267, часть 10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DIN 933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Болт класс точности А М16х6g-60.88 оцинкованный (S24) DIN 933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М16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Длина болта, мм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Класс прочности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8.8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Согласно DIN ISO 898, часть 1 для класса прочности 8.8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Цинк согласно DIN 267, часть 10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DIN 933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Болт класс точности А М16х6g-85.88 оцинкованный (S24) DIN 933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М16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Длина болта, мм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85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Класс прочности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8.8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Согласно DIN ISO 898, часть 1 для класса прочности 8.8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Цинк согласно DIN 267, часть 10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DIN 933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Болт М16х55.88 оцинкованный DIN 933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М16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Длина болта, мм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85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Класс прочности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8.8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Согласно DIN ISO 898, часть 1 для класса прочности 8.8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Цинк согласно DIN 267, часть 10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DIN 933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Болт оцинкованный М16х65.88 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DIN 933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М16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Длина болта, мм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65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Класс прочности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8.8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Согласно DIN ISO 898, часть 1 для класса прочности 8.8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Цинк согласно DIN 267, часть 10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DIN 933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Болт М8х40.88 оцинкованный DIN 933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Длина болта, мм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40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Класс прочности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8.8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Согласно DIN ISO 898, часть 1 для класса прочности 8.8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Цинк согласно DIN 267, часть 10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DIN 933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Болт оцинкованный М20х55.88 DIN 933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20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Длина болта, мм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55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Класс прочности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8.8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Согласно DIN ISO 898, часть 1 для класса прочности 8.8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Цинк согласно DIN 267, часть 10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DIN 933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Болт М6х30.88 оцинкованный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DIN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933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6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Длина болта, мм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30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Класс прочности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8.8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Согласно DIN ISO 898, часть 1 для класса прочности 8.8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Цинк согласно DIN 267, часть 10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DIN 933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Гайка шестигранная М30.23 ГОСТ 5915-70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30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20Х13, 14Х17Н2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ГОСТ 5915-70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Гайка М30-6Н.8 ГОСТ 5915-70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М30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Поле допуска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6Н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Класс прочности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ГОСТ 5915-70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Гайка М8-6Н.5.029 ГОСТ 5915-70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Поле допуска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6Н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Класс прочности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Кд. хр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Толщина, мкм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ГОСТ 5915-70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Гайка М10-6Н.5 ГОСТ 5915-70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М10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Поле допуска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6Н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Класс прочности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ГОСТ 5915-70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Гайка М12-6H.5 ГОСТ 5915-70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М12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Поле допуска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6Н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Класс прочности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ГОСТ 5915-70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Гайка кл. точ. А М12 А2 DIN 934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М12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А2-70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DIN 934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Шайба плоская 42 Ст20 ГОСТ 11371-78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Плоская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Диаметр крепежной детали, мм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42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ГОСТ 11371-78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Шайба плоская А.10.01.08кп.016 ГОСТ 11371-78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Плоская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Исполнение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Класс точности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Диаметр крепежной детали, мм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08кп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Ц. хр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Толщина, мкм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ГОСТ 11371-78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Шайба пружинная М10 оцинкованная DIN 127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Тип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Пружинная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Диаметр крепежной детали, мм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Пружинная сталь согласно DIN 267, часть 26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Покрытие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Цинк согласно DIN 267, часть 10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DIN 127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Шайба плоская А.12.01.08кп.016 ГОСТ 11371-78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Плоская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Исполнение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Класс точности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Диаметр крепежной детали, мм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08кп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Ц. хр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Толщина, мкм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ГОСТ 11371-78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Шайба плоская А.16.01.08кп.016 ГОСТ 11371-78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Плоская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Исполнение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Класс точности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Диаметр крепежной детали, мм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08кп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Ц. хр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Толщина, мкм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ГОСТ 11371-78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Шайба плоская А.20.01.08кп.016 ГОСТ 11371-78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Плоская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Исполнение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Класс точности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Диаметр крепежной детали, мм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08кп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Ц. хр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Толщина, мкм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ГОСТ 11371-78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Шайб плоская 30.01.0221 Ст20 ГОСТ 11371-78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Плоская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Диаметр крепежной детали, мм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Материал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Группа 1 по ГОСТ 18123-82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Кд. хр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Толщина, мкм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ГОСТ 11371-78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Шайба стопорная М12 А2 DIN 463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Стопорная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Диаметр крепежной детали, мм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Марка стали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А2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DIN 463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Шайба стопорная 12.01.029 ГОСТ 13465-77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Стопорная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Диаметр крепежной детали, мм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Материал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Группа 1 по ГОСТ 18123-82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Кд. хр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Толщина, мкм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</w:tr>
      <w:tr>
        <w:trPr>
          <w:trHeight w:val="562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spacing w:lineRule="auto" w:line="240" w:before="0" w:after="0"/>
              <w:ind w:hanging="0" w:left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ГОСТ 13465-77</w:t>
            </w:r>
          </w:p>
        </w:tc>
      </w:tr>
      <w:tr>
        <w:trPr>
          <w:trHeight w:val="480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480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 Продукцию устанавливается гарантийный срок, равный 12 (двенадцати) месяцам, исчисляемый с даты подписания Сторонами соответствующей товарной накладной по форме Торг-12 или Универсального передаточного документа (УПД)</w:t>
            </w:r>
          </w:p>
        </w:tc>
      </w:tr>
      <w:tr>
        <w:trPr>
          <w:trHeight w:val="480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480" w:hRule="atLeast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 качества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 экземпляр</w:t>
            </w:r>
          </w:p>
        </w:tc>
      </w:tr>
      <w:tr>
        <w:trPr>
          <w:trHeight w:val="480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Упаковочный лист на продукцию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 экземпляр</w:t>
            </w:r>
          </w:p>
        </w:tc>
      </w:tr>
      <w:tr>
        <w:trPr>
          <w:trHeight w:val="480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паспорт на русском языке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 экземпляр</w:t>
            </w:r>
          </w:p>
        </w:tc>
      </w:tr>
      <w:tr>
        <w:trPr>
          <w:trHeight w:val="480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документы предусмотренные п 3.3 договора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 экземпляра</w:t>
            </w:r>
          </w:p>
        </w:tc>
      </w:tr>
      <w:tr>
        <w:trPr>
          <w:trHeight w:val="480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9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480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3758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5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На склад Покупателя по адресу: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Кубанский филиал АО «Гидроремонт – ВКК» в г. Невинномысск, Ставропольский край, Кочубеевский р-н,с.Кочубеевское, АВТОДОРОГА «КАВКАЗ» 246КМ+1200М (СПРАВА) в рабочие дни:с 9-00 до 12-00 и с 13-00 до 16-00 (по местному времени) по предварительному уведомлению по телефону или электронной почте, не позднее предыдущего рабочего дня до прибытия транспорта</w:t>
            </w:r>
          </w:p>
        </w:tc>
      </w:tr>
      <w:tr>
        <w:trPr>
          <w:trHeight w:val="480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89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Условия поставки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за счет средств Поставщика</w:t>
            </w:r>
          </w:p>
        </w:tc>
      </w:tr>
      <w:tr>
        <w:trPr>
          <w:trHeight w:val="480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89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Продукция должна быть новой, не бывшей в употреблении</w:t>
            </w:r>
          </w:p>
        </w:tc>
      </w:tr>
      <w:tr>
        <w:trPr>
          <w:trHeight w:val="480" w:hRule="atLeast"/>
        </w:trPr>
        <w:tc>
          <w:tcPr>
            <w:tcW w:w="123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</w:t>
            </w:r>
          </w:p>
        </w:tc>
        <w:tc>
          <w:tcPr>
            <w:tcW w:w="89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Доставка заграждений должна соответствовать установленным требованиям, перечень которых зависит от вида транспортируемых ограждений. Порядок перевозки регламентируется ГОСТ 26653-2015. Процессе доставки необходимо обеспечить сохранность продукции, предотвратить смещение изделий и защитить от механических повреждений.</w:t>
            </w:r>
          </w:p>
        </w:tc>
      </w:tr>
    </w:tbl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0"/>
        <w:ind w:hanging="0" w:left="0"/>
        <w:contextualSpacing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</w:r>
    </w:p>
    <w:sectPr>
      <w:footerReference w:type="default" r:id="rId2"/>
      <w:type w:val="nextPage"/>
      <w:pgSz w:w="11906" w:h="16838"/>
      <w:pgMar w:left="1134" w:right="624" w:gutter="0" w:header="0" w:top="454" w:footer="0" w:bottom="454"/>
      <w:pgNumType w:fmt="decimal"/>
      <w:formProt w:val="false"/>
      <w:textDirection w:val="lrTb"/>
      <w:docGrid w:type="default" w:linePitch="360" w:charSpace="7782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Segoe U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2"/>
        <w:b/>
        <w:szCs w:val="22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b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decimal"/>
      <w:suff w:val="nothing"/>
      <w:lvlText w:val="%1"/>
      <w:lvlJc w:val="center"/>
      <w:pPr>
        <w:tabs>
          <w:tab w:val="num" w:pos="0"/>
        </w:tabs>
        <w:ind w:left="0" w:hanging="0"/>
      </w:pPr>
      <w:rPr/>
    </w:lvl>
    <w:lvl w:ilvl="1">
      <w:start w:val="1"/>
      <w:numFmt w:val="decimal"/>
      <w:suff w:val="nothing"/>
      <w:lvlText w:val="%1.%2"/>
      <w:lvlJc w:val="center"/>
      <w:pPr>
        <w:tabs>
          <w:tab w:val="num" w:pos="0"/>
        </w:tabs>
        <w:ind w:left="1080" w:hanging="1080"/>
      </w:pPr>
      <w:rPr>
        <w:b/>
        <w:bCs/>
      </w:rPr>
    </w:lvl>
    <w:lvl w:ilvl="2">
      <w:start w:val="1"/>
      <w:numFmt w:val="decimal"/>
      <w:suff w:val="nothing"/>
      <w:lvlText w:val="%1.%2.%3"/>
      <w:lvlJc w:val="center"/>
      <w:pPr>
        <w:tabs>
          <w:tab w:val="num" w:pos="0"/>
        </w:tabs>
        <w:ind w:left="0" w:hanging="0"/>
      </w:pPr>
      <w:rPr/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Title"/>
    <w:next w:val="BodyText"/>
    <w:qFormat/>
    <w:pPr>
      <w:outlineLvl w:val="0"/>
    </w:pPr>
    <w:rPr>
      <w:rFonts w:ascii="Liberation Serif" w:hAnsi="Liberation Serif" w:eastAsia="Tahoma" w:cs="Tahoma"/>
      <w:b/>
      <w:bCs/>
      <w:sz w:val="48"/>
      <w:szCs w:val="48"/>
    </w:rPr>
  </w:style>
  <w:style w:type="paragraph" w:styleId="Heading2">
    <w:name w:val="Heading 2"/>
    <w:basedOn w:val="Title"/>
    <w:next w:val="BodyText"/>
    <w:qFormat/>
    <w:pPr>
      <w:spacing w:before="200" w:after="120"/>
      <w:outlineLvl w:val="1"/>
    </w:pPr>
    <w:rPr>
      <w:rFonts w:ascii="Liberation Serif" w:hAnsi="Liberation Serif" w:eastAsia="Tahoma" w:cs="Tahoma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7" w:customStyle="1">
    <w:name w:val="Нижний колонтитул Знак"/>
    <w:basedOn w:val="DefaultParagraphFont"/>
    <w:qFormat/>
    <w:rPr>
      <w:rFonts w:ascii="Calibri" w:hAnsi="Calibri" w:eastAsia="Calibri" w:cs="Times New Roman"/>
    </w:rPr>
  </w:style>
  <w:style w:type="character" w:styleId="1" w:customStyle="1">
    <w:name w:val="Нижний колонтитул Знак1"/>
    <w:basedOn w:val="DefaultParagraphFont"/>
    <w:qFormat/>
    <w:rPr/>
  </w:style>
  <w:style w:type="character" w:styleId="Style8" w:customStyle="1">
    <w:name w:val="Текст выноски Знак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styleId="Linenumber1" w:customStyle="1">
    <w:name w:val="line number1"/>
    <w:qFormat/>
    <w:rPr/>
  </w:style>
  <w:style w:type="character" w:styleId="Linenumber">
    <w:name w:val="line number"/>
    <w:qFormat/>
    <w:rPr/>
  </w:style>
  <w:style w:type="character" w:styleId="Style9" w:customStyle="1">
    <w:name w:val="Символ нумерации"/>
    <w:qFormat/>
    <w:rPr/>
  </w:style>
  <w:style w:type="character" w:styleId="Hyperlink">
    <w:name w:val="Hyperlink"/>
    <w:rPr>
      <w:color w:val="000080"/>
      <w:u w:val="single"/>
    </w:rPr>
  </w:style>
  <w:style w:type="character" w:styleId="Style10" w:customStyle="1">
    <w:name w:val="Маркеры"/>
    <w:qFormat/>
    <w:rPr>
      <w:rFonts w:ascii="OpenSymbol" w:hAnsi="OpenSymbol" w:eastAsia="OpenSymbol" w:cs="OpenSymbol"/>
    </w:rPr>
  </w:style>
  <w:style w:type="character" w:styleId="Style11" w:customStyle="1">
    <w:name w:val="Ссылка указателя"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7c195d"/>
    <w:rPr>
      <w:sz w:val="16"/>
      <w:szCs w:val="16"/>
    </w:rPr>
  </w:style>
  <w:style w:type="character" w:styleId="Style12" w:customStyle="1">
    <w:name w:val="Текст примечания Знак"/>
    <w:basedOn w:val="DefaultParagraphFont"/>
    <w:link w:val="Annotationtext"/>
    <w:uiPriority w:val="99"/>
    <w:semiHidden/>
    <w:qFormat/>
    <w:rsid w:val="007c195d"/>
    <w:rPr>
      <w:sz w:val="20"/>
      <w:szCs w:val="20"/>
    </w:rPr>
  </w:style>
  <w:style w:type="character" w:styleId="Style13" w:customStyle="1">
    <w:name w:val="Тема примечания Знак"/>
    <w:basedOn w:val="Style12"/>
    <w:link w:val="Annotationsubject"/>
    <w:uiPriority w:val="99"/>
    <w:semiHidden/>
    <w:qFormat/>
    <w:rsid w:val="007c195d"/>
    <w:rPr>
      <w:b/>
      <w:bCs/>
      <w:sz w:val="20"/>
      <w:szCs w:val="20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7072c9"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" w:customStyle="1">
    <w:name w:val="caption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1" w:customStyle="1">
    <w:name w:val="caption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11" w:customStyle="1">
    <w:name w:val="caption1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 w:customStyle="1">
    <w:name w:val="Колонтитул"/>
    <w:basedOn w:val="Normal"/>
    <w:qFormat/>
    <w:pPr/>
    <w:rPr/>
  </w:style>
  <w:style w:type="paragraph" w:styleId="Footer">
    <w:name w:val="Footer"/>
    <w:basedOn w:val="Normal"/>
    <w:link w:val="Style7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rFonts w:cs="Times New Roman"/>
    </w:rPr>
  </w:style>
  <w:style w:type="paragraph" w:styleId="BalloonText">
    <w:name w:val="Balloon Text"/>
    <w:basedOn w:val="Normal"/>
    <w:link w:val="Style8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8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9" w:customStyle="1">
    <w:name w:val="Заголовок таблицы"/>
    <w:basedOn w:val="Style18"/>
    <w:qFormat/>
    <w:pPr>
      <w:jc w:val="center"/>
    </w:pPr>
    <w:rPr>
      <w:b/>
      <w:bCs/>
    </w:rPr>
  </w:style>
  <w:style w:type="paragraph" w:styleId="Style20" w:customStyle="1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ListParagraph">
    <w:name w:val="List Paragraph"/>
    <w:basedOn w:val="Normal"/>
    <w:qFormat/>
    <w:pPr>
      <w:spacing w:before="0" w:after="200"/>
      <w:ind w:left="720"/>
      <w:contextualSpacing/>
    </w:pPr>
    <w:rPr/>
  </w:style>
  <w:style w:type="paragraph" w:styleId="TOC2">
    <w:name w:val="TOC 2"/>
    <w:basedOn w:val="Indexheading"/>
    <w:pPr>
      <w:tabs>
        <w:tab w:val="clear" w:pos="709"/>
        <w:tab w:val="right" w:pos="9865" w:leader="dot"/>
      </w:tabs>
      <w:ind w:left="283"/>
    </w:pPr>
    <w:rPr/>
  </w:style>
  <w:style w:type="paragraph" w:styleId="TOC1">
    <w:name w:val="TOC 1"/>
    <w:basedOn w:val="Indexheading"/>
    <w:pPr>
      <w:tabs>
        <w:tab w:val="clear" w:pos="709"/>
        <w:tab w:val="right" w:pos="10148" w:leader="dot"/>
      </w:tabs>
    </w:pPr>
    <w:rPr/>
  </w:style>
  <w:style w:type="paragraph" w:styleId="TOC3">
    <w:name w:val="TOC 3"/>
    <w:basedOn w:val="Indexheading"/>
    <w:pPr>
      <w:tabs>
        <w:tab w:val="clear" w:pos="709"/>
        <w:tab w:val="right" w:pos="9581" w:leader="dot"/>
      </w:tabs>
      <w:ind w:left="567"/>
    </w:pPr>
    <w:rPr/>
  </w:style>
  <w:style w:type="paragraph" w:styleId="Annotationtext">
    <w:name w:val="annotation text"/>
    <w:basedOn w:val="Normal"/>
    <w:link w:val="Style12"/>
    <w:uiPriority w:val="99"/>
    <w:semiHidden/>
    <w:unhideWhenUsed/>
    <w:qFormat/>
    <w:rsid w:val="007c195d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3"/>
    <w:uiPriority w:val="99"/>
    <w:semiHidden/>
    <w:unhideWhenUsed/>
    <w:qFormat/>
    <w:rsid w:val="007c195d"/>
    <w:pPr/>
    <w:rPr>
      <w:b/>
      <w:bCs/>
    </w:rPr>
  </w:style>
  <w:style w:type="paragraph" w:styleId="Default" w:customStyle="1">
    <w:name w:val="Default"/>
    <w:qFormat/>
    <w:rsid w:val="00f8618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Header">
    <w:name w:val="Header"/>
    <w:basedOn w:val="Normal"/>
    <w:link w:val="Style14"/>
    <w:uiPriority w:val="99"/>
    <w:unhideWhenUsed/>
    <w:rsid w:val="007072c9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andard" w:customStyle="1">
    <w:name w:val="Standard"/>
    <w:qFormat/>
    <w:rsid w:val="00d5013a"/>
    <w:pPr>
      <w:widowControl/>
      <w:suppressAutoHyphens w:val="true"/>
      <w:bidi w:val="0"/>
      <w:spacing w:lineRule="auto" w:line="252" w:before="0" w:after="160"/>
      <w:jc w:val="left"/>
      <w:textAlignment w:val="baseline"/>
    </w:pPr>
    <w:rPr>
      <w:rFonts w:ascii="Calibri" w:hAnsi="Calibri" w:eastAsia="Calibri" w:cs="Tahoma"/>
      <w:color w:val="auto"/>
      <w:kern w:val="0"/>
      <w:sz w:val="22"/>
      <w:szCs w:val="22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9124036821" w:customStyle="1">
    <w:name w:val="9124036821"/>
    <w:qFormat/>
  </w:style>
  <w:style w:type="numbering" w:styleId="11824289801" w:customStyle="1">
    <w:name w:val="11824289801"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5C4E5-2E20-4BF9-A6A5-B09064D6F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3315</TotalTime>
  <Application>AlterOffice/2026.2.1.0$Linux_X86_64 LibreOffice_project/f008988ffacaa0b2bf57911c2759d08ca79831df</Application>
  <AppVersion>15.0000</AppVersion>
  <Pages>16</Pages>
  <Words>2354</Words>
  <Characters>13310</Characters>
  <CharactersWithSpaces>14642</CharactersWithSpaces>
  <Paragraphs>1109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2025-11-25T10:25:00Z</dcterms:created>
  <dc:creator>Бухарев Сергей Викторович</dc:creator>
  <dc:description/>
  <dc:language>ru-RU</dc:language>
  <cp:lastModifiedBy>velikosvyatnn@corp.gidroogk.com</cp:lastModifiedBy>
  <cp:lastPrinted>2025-01-28T09:29:00Z</cp:lastPrinted>
  <dcterms:modified xsi:type="dcterms:W3CDTF">2026-10-01T11:00:22Z</dcterms:modified>
  <cp:revision>70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