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hd w:val="clear" w:color="auto" w:fill="auto"/>
        <w:spacing w:lineRule="auto" w:line="276"/>
        <w:ind w:hanging="4767" w:left="9020"/>
        <w:jc w:val="right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9"/>
        <w:shd w:val="clear" w:color="auto" w:fill="auto"/>
        <w:spacing w:lineRule="auto" w:line="276"/>
        <w:ind w:hanging="4767" w:left="9020"/>
        <w:jc w:val="right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sz w:val="24"/>
          <w:szCs w:val="24"/>
        </w:rPr>
        <w:t xml:space="preserve">на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>[</w:t>
      </w:r>
      <w:r>
        <w:rPr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ОКПД2 [43.99.90.160]  Аренда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 самосвала с экипажем для нужд Дагестанского филиала</w:t>
      </w:r>
    </w:p>
    <w:p>
      <w:pPr>
        <w:pStyle w:val="Normal"/>
        <w:jc w:val="center"/>
        <w:rPr/>
      </w:pP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 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АО «Гидроремонт-ВКК» в г. Махачкала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  <w:t>Лот №</w:t>
      </w:r>
      <w:r>
        <w:rPr>
          <w:rFonts w:eastAsia="Calibri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______________________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360" w:left="567"/>
        <w:jc w:val="center"/>
        <w:rPr>
          <w:rFonts w:ascii="Times New Roman" w:hAnsi="Times New Roman"/>
          <w:sz w:val="24"/>
          <w:szCs w:val="24"/>
        </w:rPr>
      </w:pPr>
      <w:bookmarkStart w:id="0" w:name="_Toc54643694"/>
      <w:r>
        <w:rPr>
          <w:b/>
          <w:sz w:val="24"/>
          <w:szCs w:val="24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spacing w:before="0" w:after="0"/>
        <w:ind w:hanging="432" w:left="567"/>
        <w:jc w:val="both"/>
        <w:rPr/>
      </w:pPr>
      <w:bookmarkStart w:id="1" w:name="_Toc46743506"/>
      <w:bookmarkStart w:id="2" w:name="_Toc54643696"/>
      <w:r>
        <w:rPr>
          <w:sz w:val="24"/>
          <w:szCs w:val="24"/>
        </w:rPr>
        <w:t>Наименование закупаемой продукции</w:t>
      </w:r>
      <w:bookmarkEnd w:id="1"/>
      <w:bookmarkEnd w:id="2"/>
      <w:r>
        <w:rPr>
          <w:sz w:val="24"/>
          <w:szCs w:val="24"/>
          <w:lang w:val="ru-RU"/>
        </w:rPr>
        <w:t xml:space="preserve">: 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[ОКПД2 [43.99.90.160]  Аренда самосвала с экипажем для нужд Дагестанского филиала АО «Гидроремонт-ВКК» в г. Махачкала</w:t>
      </w:r>
      <w:r>
        <w:rPr>
          <w:sz w:val="24"/>
          <w:szCs w:val="24"/>
          <w:lang w:val="ru-RU"/>
        </w:rPr>
        <w:t>.</w:t>
      </w:r>
    </w:p>
    <w:p>
      <w:pPr>
        <w:pStyle w:val="Heading4"/>
        <w:numPr>
          <w:ilvl w:val="1"/>
          <w:numId w:val="3"/>
        </w:numPr>
        <w:spacing w:before="0" w:after="0"/>
        <w:ind w:hanging="432" w:left="567"/>
        <w:jc w:val="both"/>
        <w:rPr/>
      </w:pPr>
      <w:bookmarkStart w:id="3" w:name="_Toc54643697"/>
      <w:bookmarkStart w:id="4" w:name="_Toc46743507"/>
      <w:r>
        <w:rPr>
          <w:sz w:val="24"/>
          <w:szCs w:val="24"/>
        </w:rPr>
        <w:t xml:space="preserve">Цель </w:t>
      </w:r>
      <w:bookmarkEnd w:id="4"/>
      <w:r>
        <w:rPr>
          <w:sz w:val="24"/>
          <w:szCs w:val="24"/>
        </w:rPr>
        <w:t xml:space="preserve">оказания услуг: </w:t>
      </w:r>
      <w:bookmarkEnd w:id="3"/>
      <w:r>
        <w:rPr>
          <w:rStyle w:val="Style8"/>
          <w:b w:val="false"/>
          <w:i w:val="false"/>
          <w:sz w:val="24"/>
          <w:szCs w:val="24"/>
          <w:shd w:fill="auto" w:val="clear"/>
          <w:lang w:val="ru-RU"/>
        </w:rPr>
        <w:t>выполнение работ в рамках исполнения договоров</w:t>
      </w:r>
      <w:r>
        <w:rPr>
          <w:rStyle w:val="Style8"/>
          <w:rFonts w:cs="Times New Roman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val="ru-RU"/>
        </w:rPr>
        <w:t xml:space="preserve"> </w:t>
      </w:r>
      <w:r>
        <w:rPr>
          <w:rStyle w:val="Style8"/>
          <w:rFonts w:cs="Times New Roman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val="ru-RU"/>
        </w:rPr>
        <w:t>подряда с ПАО «РусГидро».</w:t>
      </w:r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rFonts w:ascii="Times New Roman" w:hAnsi="Times New Roman"/>
          <w:sz w:val="24"/>
          <w:szCs w:val="24"/>
        </w:rPr>
      </w:pPr>
      <w:bookmarkStart w:id="5" w:name="_Toc54643699"/>
      <w:r>
        <w:rPr>
          <w:sz w:val="24"/>
          <w:szCs w:val="24"/>
        </w:rPr>
        <w:t>Таблица 1. Перечень объектов заказчика</w:t>
      </w:r>
      <w:bookmarkEnd w:id="5"/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0"/>
        <w:gridCol w:w="2917"/>
        <w:gridCol w:w="3241"/>
        <w:gridCol w:w="2954"/>
      </w:tblGrid>
      <w:tr>
        <w:trPr/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оказания услуг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904" w:hRule="atLeast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Чиркейская ГЭС,</w:t>
              <w:br/>
              <w:t>Чирюртская ГЭС-1,</w:t>
              <w:br/>
              <w:t>Чирюртская ГЭС-2,</w:t>
              <w:br/>
              <w:t>Гоцатлинская ГЭС,</w:t>
              <w:br/>
              <w:t>Гергебильская ГЭС,</w:t>
              <w:br/>
              <w:t>Ирганайская ГЭС,</w:t>
              <w:br/>
              <w:t>Миатлинская ГЭС,</w:t>
              <w:br/>
              <w:t xml:space="preserve">Гельбахская ГЭС, </w:t>
              <w:br/>
              <w:t>База ГСО ПАО «РусГидро»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</w:rPr>
              <w:t>Республика Дагестан, Чиркейская ГЭС,</w:t>
              <w:br/>
              <w:t>Чирюртская ГЭС-1,</w:t>
              <w:br/>
              <w:t>Чирюртская ГЭС-2,</w:t>
              <w:br/>
              <w:t>Гоцатлинская ГЭС,</w:t>
              <w:br/>
              <w:t>Гергебильская ГЭС,</w:t>
              <w:br/>
              <w:t>Ирганайская ГЭС,</w:t>
              <w:br/>
              <w:t>Миатлинская ГЭС,</w:t>
              <w:br/>
              <w:t xml:space="preserve">Гельбахская ГЭС, </w:t>
              <w:br/>
              <w:t>База ГСО ПАО «РусГидро»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spacing w:before="120" w:after="60"/>
              <w:ind w:hanging="0" w:left="135"/>
              <w:jc w:val="center"/>
              <w:rPr/>
            </w:pPr>
            <w:r>
              <w:rPr>
                <w:iCs/>
                <w:sz w:val="24"/>
                <w:szCs w:val="24"/>
                <w:lang w:val="ru-RU"/>
              </w:rPr>
              <w:t xml:space="preserve">Объекты ПАО </w:t>
            </w:r>
            <w:r>
              <w:rPr>
                <w:rStyle w:val="Style8"/>
                <w:b w:val="false"/>
                <w:bCs w:val="false"/>
                <w:i w:val="false"/>
                <w:iCs/>
                <w:color w:val="000000"/>
                <w:sz w:val="24"/>
                <w:szCs w:val="24"/>
                <w:shd w:fill="auto" w:val="clear"/>
                <w:lang w:val="ru-RU"/>
              </w:rPr>
              <w:t>«РусГидро» по РД</w:t>
            </w:r>
          </w:p>
        </w:tc>
      </w:tr>
    </w:tbl>
    <w:p>
      <w:pPr>
        <w:pStyle w:val="Heading4"/>
        <w:numPr>
          <w:ilvl w:val="1"/>
          <w:numId w:val="3"/>
        </w:numPr>
        <w:spacing w:before="0" w:after="0"/>
        <w:ind w:hanging="432" w:left="567"/>
        <w:rPr>
          <w:rFonts w:ascii="Times New Roman" w:hAnsi="Times New Roman"/>
          <w:sz w:val="24"/>
          <w:szCs w:val="24"/>
        </w:rPr>
      </w:pPr>
      <w:bookmarkStart w:id="6" w:name="_Toc46743509"/>
      <w:bookmarkStart w:id="7" w:name="_Toc54643700"/>
      <w:bookmarkStart w:id="8" w:name="_Hlk49857604"/>
      <w:r>
        <w:rPr>
          <w:sz w:val="24"/>
          <w:szCs w:val="24"/>
        </w:rPr>
        <w:t xml:space="preserve">Информация в отношении исполнения договора, </w:t>
      </w:r>
      <w:bookmarkStart w:id="9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9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Start w:id="10" w:name="_Hlk48209761"/>
      <w:bookmarkEnd w:id="6"/>
      <w:bookmarkEnd w:id="7"/>
      <w:bookmarkEnd w:id="8"/>
      <w:r>
        <w:rPr>
          <w:sz w:val="24"/>
          <w:szCs w:val="24"/>
          <w:lang w:val="ru-RU"/>
        </w:rPr>
        <w:t xml:space="preserve">: </w:t>
      </w:r>
    </w:p>
    <w:p>
      <w:pPr>
        <w:pStyle w:val="Heading3"/>
        <w:numPr>
          <w:ilvl w:val="2"/>
          <w:numId w:val="3"/>
        </w:numPr>
        <w:ind w:hanging="504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 xml:space="preserve">Арендатор </w:t>
      </w:r>
      <w:r>
        <w:rPr>
          <w:sz w:val="24"/>
          <w:szCs w:val="24"/>
        </w:rPr>
        <w:t xml:space="preserve">планирует использовать (применять) технику в соответствии с номенклатурой (согласно </w:t>
      </w:r>
      <w:r>
        <w:rPr>
          <w:sz w:val="24"/>
          <w:szCs w:val="24"/>
          <w:lang w:val="ru-RU"/>
        </w:rPr>
        <w:t>табл.2</w:t>
      </w:r>
      <w:r>
        <w:rPr>
          <w:sz w:val="24"/>
          <w:szCs w:val="24"/>
        </w:rPr>
        <w:t>. настоящих Технических требований)</w:t>
      </w:r>
      <w:r>
        <w:rPr>
          <w:sz w:val="24"/>
          <w:szCs w:val="24"/>
          <w:lang w:val="ru-RU"/>
        </w:rPr>
        <w:t>.</w:t>
      </w:r>
    </w:p>
    <w:p>
      <w:pPr>
        <w:pStyle w:val="Heading1"/>
        <w:numPr>
          <w:ilvl w:val="0"/>
          <w:numId w:val="3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rPr>
          <w:rFonts w:ascii="Times New Roman" w:hAnsi="Times New Roman"/>
          <w:sz w:val="24"/>
          <w:szCs w:val="24"/>
        </w:rPr>
      </w:pPr>
      <w:bookmarkStart w:id="11" w:name="_Toc157772678"/>
      <w:bookmarkEnd w:id="10"/>
      <w:r>
        <w:rPr>
          <w:b/>
          <w:sz w:val="24"/>
          <w:szCs w:val="24"/>
          <w:lang w:val="ru-RU"/>
        </w:rPr>
        <w:t>Требования</w:t>
      </w:r>
      <w:r>
        <w:rPr>
          <w:b/>
          <w:sz w:val="24"/>
          <w:szCs w:val="24"/>
        </w:rPr>
        <w:t xml:space="preserve"> к продукции</w:t>
      </w:r>
      <w:bookmarkEnd w:id="11"/>
    </w:p>
    <w:p>
      <w:pPr>
        <w:pStyle w:val="Heading4"/>
        <w:numPr>
          <w:ilvl w:val="1"/>
          <w:numId w:val="3"/>
        </w:numPr>
        <w:spacing w:before="0" w:after="0"/>
        <w:ind w:hanging="432" w:left="567"/>
        <w:rPr>
          <w:rFonts w:ascii="Times New Roman" w:hAnsi="Times New Roman"/>
          <w:sz w:val="24"/>
          <w:szCs w:val="24"/>
        </w:rPr>
      </w:pPr>
      <w:bookmarkStart w:id="12" w:name="_Toc54643703"/>
      <w:r>
        <w:rPr>
          <w:sz w:val="24"/>
          <w:szCs w:val="24"/>
        </w:rPr>
        <w:t xml:space="preserve">Требования к объемам и срокам </w:t>
      </w:r>
      <w:bookmarkEnd w:id="12"/>
      <w:r>
        <w:rPr>
          <w:sz w:val="24"/>
          <w:szCs w:val="24"/>
          <w:lang w:val="ru-RU"/>
        </w:rPr>
        <w:t>аренды</w:t>
      </w:r>
    </w:p>
    <w:p>
      <w:pPr>
        <w:pStyle w:val="Normal"/>
        <w:ind w:hanging="432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2.1.1. </w:t>
      </w:r>
      <w:bookmarkStart w:id="13" w:name="_Toc157772680"/>
      <w:bookmarkStart w:id="14" w:name="_Toc54643704"/>
      <w:r>
        <w:rPr>
          <w:sz w:val="24"/>
          <w:szCs w:val="24"/>
        </w:rPr>
        <w:t xml:space="preserve">Требования к перечню и объему </w:t>
      </w:r>
      <w:bookmarkEnd w:id="14"/>
      <w:r>
        <w:rPr>
          <w:sz w:val="24"/>
          <w:szCs w:val="24"/>
        </w:rPr>
        <w:t>аренды</w:t>
      </w:r>
      <w:bookmarkEnd w:id="13"/>
    </w:p>
    <w:p>
      <w:pPr>
        <w:pStyle w:val="Heading1"/>
        <w:tabs>
          <w:tab w:val="clear" w:pos="0"/>
          <w:tab w:val="left" w:pos="851" w:leader="none"/>
        </w:tabs>
        <w:spacing w:before="0" w:after="0"/>
        <w:ind w:hanging="0" w:left="0"/>
        <w:rPr>
          <w:rFonts w:ascii="Times New Roman" w:hAnsi="Times New Roman"/>
          <w:sz w:val="24"/>
          <w:szCs w:val="24"/>
        </w:rPr>
      </w:pPr>
      <w:bookmarkStart w:id="15" w:name="_Toc51339695"/>
      <w:bookmarkStart w:id="16" w:name="_Toc54643705"/>
      <w:r>
        <w:rPr>
          <w:sz w:val="24"/>
          <w:szCs w:val="24"/>
        </w:rPr>
        <w:t xml:space="preserve">Таблица 2. </w:t>
      </w:r>
      <w:bookmarkEnd w:id="15"/>
      <w:bookmarkEnd w:id="16"/>
      <w:r>
        <w:rPr>
          <w:sz w:val="24"/>
          <w:szCs w:val="24"/>
        </w:rPr>
        <w:t>Перечень и объем аренды</w:t>
      </w:r>
    </w:p>
    <w:tbl>
      <w:tblPr>
        <w:tblW w:w="979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82"/>
        <w:gridCol w:w="2096"/>
        <w:gridCol w:w="4886"/>
        <w:gridCol w:w="2430"/>
      </w:tblGrid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техники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техническим характеристикам ТС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шт</w:t>
            </w:r>
          </w:p>
        </w:tc>
      </w:tr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Самосвал г/п не менее 10 тонн с экипажем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Тип кузова — самосвал;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колесная формула — 6х4;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длина, мм — не менее 6685;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ширина, мм — не менее 2500;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объем самосвальной платформы, м</w:t>
            </w:r>
            <w:r>
              <w:rPr>
                <w:sz w:val="24"/>
                <w:szCs w:val="24"/>
                <w:vertAlign w:val="superscript"/>
                <w:lang w:eastAsia="x-none"/>
              </w:rPr>
              <w:t>3</w:t>
            </w:r>
            <w:r>
              <w:rPr>
                <w:sz w:val="24"/>
                <w:szCs w:val="24"/>
                <w:lang w:eastAsia="x-none"/>
              </w:rPr>
              <w:t xml:space="preserve"> — не менее 6,6;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направление разгрузки — назад.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1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2.1.2. </w:t>
      </w:r>
      <w:bookmarkStart w:id="17" w:name="_Toc157772682"/>
      <w:r>
        <w:rPr>
          <w:color w:val="000000" w:themeColor="text1"/>
          <w:sz w:val="24"/>
          <w:szCs w:val="24"/>
        </w:rPr>
        <w:t>Требования к срокам аренды</w:t>
      </w:r>
      <w:bookmarkEnd w:id="17"/>
    </w:p>
    <w:p>
      <w:pPr>
        <w:pStyle w:val="Heading1"/>
        <w:spacing w:before="0" w:after="0"/>
        <w:ind w:hanging="426" w:left="426"/>
        <w:rPr>
          <w:rFonts w:ascii="Times New Roman" w:hAnsi="Times New Roman"/>
          <w:sz w:val="24"/>
          <w:szCs w:val="24"/>
        </w:rPr>
      </w:pPr>
      <w:bookmarkStart w:id="18" w:name="_Toc157772683"/>
      <w:bookmarkStart w:id="19" w:name="_Toc51339697"/>
      <w:bookmarkStart w:id="20" w:name="_Toc50125127"/>
      <w:bookmarkStart w:id="21" w:name="_Toc54643707"/>
      <w:r>
        <w:rPr>
          <w:color w:val="000000" w:themeColor="text1"/>
          <w:sz w:val="24"/>
          <w:szCs w:val="24"/>
        </w:rPr>
        <w:t xml:space="preserve">Таблица </w:t>
      </w:r>
      <w:r>
        <w:rPr>
          <w:color w:val="000000" w:themeColor="text1"/>
          <w:sz w:val="24"/>
          <w:szCs w:val="24"/>
          <w:lang w:val="ru-RU"/>
        </w:rPr>
        <w:t>3</w:t>
      </w:r>
      <w:r>
        <w:rPr>
          <w:color w:val="000000" w:themeColor="text1"/>
          <w:sz w:val="24"/>
          <w:szCs w:val="24"/>
        </w:rPr>
        <w:t xml:space="preserve">. </w:t>
      </w:r>
      <w:bookmarkStart w:id="22" w:name="_Hlk50465284"/>
      <w:r>
        <w:rPr>
          <w:color w:val="000000" w:themeColor="text1"/>
          <w:sz w:val="24"/>
          <w:szCs w:val="24"/>
        </w:rPr>
        <w:t xml:space="preserve">Требования </w:t>
      </w:r>
      <w:r>
        <w:rPr>
          <w:color w:val="000000" w:themeColor="text1"/>
          <w:sz w:val="24"/>
          <w:szCs w:val="24"/>
          <w:lang w:val="ru-RU"/>
        </w:rPr>
        <w:t>к</w:t>
      </w:r>
      <w:r>
        <w:rPr>
          <w:color w:val="000000" w:themeColor="text1"/>
          <w:sz w:val="24"/>
          <w:szCs w:val="24"/>
        </w:rPr>
        <w:t xml:space="preserve"> срокам </w:t>
      </w:r>
      <w:bookmarkEnd w:id="19"/>
      <w:bookmarkEnd w:id="20"/>
      <w:bookmarkEnd w:id="21"/>
      <w:bookmarkEnd w:id="22"/>
      <w:r>
        <w:rPr>
          <w:color w:val="000000" w:themeColor="text1"/>
          <w:sz w:val="24"/>
          <w:szCs w:val="24"/>
          <w:lang w:val="ru-RU"/>
        </w:rPr>
        <w:t>аренды</w:t>
      </w:r>
      <w:bookmarkEnd w:id="18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техники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аренды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 аренды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Самосвал г/п не менее 10 тонн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месяца с даты подписания договора*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данный срок установлен исходя из сроков, указанных в доходных договорах, согласно пункта 1.2.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23" w:name="_Toc141969503"/>
      <w:r>
        <w:rPr>
          <w:sz w:val="24"/>
          <w:szCs w:val="24"/>
        </w:rPr>
        <w:t>2.2.</w:t>
        <w:tab/>
      </w:r>
      <w:bookmarkEnd w:id="23"/>
      <w:r>
        <w:rPr>
          <w:sz w:val="24"/>
          <w:szCs w:val="24"/>
        </w:rPr>
        <w:t>Условия оплаты: арендная плата вносится арендатором в течении 7 (семи) рабочих дней с даты подписания акта оказанных услуг.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2.3. Требования к качеству продукции.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en-US"/>
        </w:rPr>
        <w:t>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a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0"/>
        <w:gridCol w:w="2321"/>
        <w:gridCol w:w="6930"/>
      </w:tblGrid>
      <w:tr>
        <w:trPr>
          <w:trHeight w:val="705" w:hRule="atLeast"/>
        </w:trPr>
        <w:tc>
          <w:tcPr>
            <w:tcW w:w="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4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4"/>
          </w:p>
        </w:tc>
        <w:tc>
          <w:tcPr>
            <w:tcW w:w="2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предоставляемой технике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2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предоставляемой технике</w:t>
            </w:r>
          </w:p>
        </w:tc>
        <w:tc>
          <w:tcPr>
            <w:tcW w:w="69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иметь 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процедурам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аренды</w:t>
            </w:r>
          </w:p>
        </w:tc>
      </w:tr>
      <w:tr>
        <w:trPr/>
        <w:tc>
          <w:tcPr>
            <w:tcW w:w="67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321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Арендодателя в части оказания услуг</w:t>
            </w:r>
          </w:p>
        </w:tc>
        <w:tc>
          <w:tcPr>
            <w:tcW w:w="6930" w:type="dxa"/>
            <w:tcBorders/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несет ответственность перед третьими лицами за ущерб причиненный его сотрудниками</w:t>
            </w:r>
          </w:p>
        </w:tc>
      </w:tr>
      <w:tr>
        <w:trPr/>
        <w:tc>
          <w:tcPr>
            <w:tcW w:w="67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21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производит страхование Техники и несет ответственность за возможный ущерб, причиненный Заказчику, в случае ненадлежащей эксплуатации сотруднками Арендодателя ТС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оборудованию и материалам</w:t>
            </w:r>
          </w:p>
        </w:tc>
      </w:tr>
      <w:tr>
        <w:trPr>
          <w:trHeight w:val="1390" w:hRule="atLeast"/>
        </w:trPr>
        <w:tc>
          <w:tcPr>
            <w:tcW w:w="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232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техники законодательству РФ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Используемые ТС должны соответствовать требованиям безопасности, общим требованиям, установленным «ГОСТ 25646-95. Эксплуатация строительных машин. Общие требования», ГОСТ 33997-2016 «Колесные транспортные средства. Требования к безопасности в эксплуатации и методы проверки»</w:t>
            </w:r>
          </w:p>
        </w:tc>
      </w:tr>
      <w:tr>
        <w:trPr/>
        <w:tc>
          <w:tcPr>
            <w:tcW w:w="67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3.2.</w:t>
            </w:r>
          </w:p>
        </w:tc>
        <w:tc>
          <w:tcPr>
            <w:tcW w:w="2321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техническому состоянию Техники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Предоставлять технически исправную Технику, прошедшую в установленном порядке государственный технический осмотр.</w:t>
            </w:r>
          </w:p>
        </w:tc>
      </w:tr>
      <w:tr>
        <w:trPr/>
        <w:tc>
          <w:tcPr>
            <w:tcW w:w="670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21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(мойка (по мере необходимости), техническое обслуживание и ремонт, в том числе приобретение запасных частей, шин, расходных материалов) заправка смазочными материалами автотранспорта осуществляется силами и средствами Арендодателя, в том числе все виды обязательного страхования, предусмотренные законодательством РФ для оказания вышеперечисленных услуг.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Затраты на топливо производятся за счет Арендатора.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Арендодателя</w:t>
            </w:r>
          </w:p>
        </w:tc>
      </w:tr>
      <w:tr>
        <w:trPr/>
        <w:tc>
          <w:tcPr>
            <w:tcW w:w="67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321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персоналу Арендодателя</w:t>
            </w:r>
          </w:p>
        </w:tc>
        <w:tc>
          <w:tcPr>
            <w:tcW w:w="6930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Лица, управляющие техникой, должны иметь действующие квалификационные удостоверения на работу с техникой и водительское удостоверение с разрешенной категорией.</w:t>
            </w:r>
          </w:p>
        </w:tc>
      </w:tr>
      <w:tr>
        <w:trPr/>
        <w:tc>
          <w:tcPr>
            <w:tcW w:w="670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6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2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6930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Разрешается допускать к управлению, только специально обученных и имеющих опыт работы на ТС операторов-водителей, имеющих соответствующую квалификацию, прошедших стажировку и медицинское освидетельствование. Предрейсовый и послерейсовый медосмотр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проводятся на базе Арендатора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аренды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аренды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2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соблюдению Арендодателем технологической, производственной и трудовой дисциплин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(сотрудники Арендодателя) должен соблюдать ПДД, требования технологической, производственной и трудовой дисциплины</w:t>
            </w:r>
          </w:p>
        </w:tc>
      </w:tr>
      <w:tr>
        <w:trPr>
          <w:trHeight w:val="64" w:hRule="atLeast"/>
        </w:trPr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232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ТС законодательству РФ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соблюдать законодательство РФ при эксплуатации, обслуживании и предоставлении техники передаваемой Арендатору.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Арендодателя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7.1.</w:t>
            </w:r>
          </w:p>
        </w:tc>
        <w:tc>
          <w:tcPr>
            <w:tcW w:w="2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Обязанности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Арендодателя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нести все расходы, связанные с эксплуатацией техники, включая, но не ограничиваясь расходы на заработную плату членам экипажей, оплату горюче-смазочных материалов и эксплуатационных жидкостей, оплату ремонта и запасных частей для спецтехники, оплату стоимости налоговых пошлин, страховых сборов, оплату штрафов, и иных расходов, возникающих в связи с эксплуатацией спецтехники.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Затраты на топливо производятся за счет Арендатора.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Арендодателю и его обязательствам, влияющим на исполнение договора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8.1.</w:t>
            </w:r>
          </w:p>
        </w:tc>
        <w:tc>
          <w:tcPr>
            <w:tcW w:w="2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Обязанности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Арендодателя</w:t>
            </w:r>
          </w:p>
        </w:tc>
        <w:tc>
          <w:tcPr>
            <w:tcW w:w="69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 случае поломки техники Арендатор уведомляет Арендодателя посредством телефонной связи. После уведомления о неисправности техники Арендодатель обязан в течении 24 часов устранить неисправность или предоставить технику с аналогичными характеристиками.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аренде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9.1.</w:t>
            </w:r>
          </w:p>
        </w:tc>
        <w:tc>
          <w:tcPr>
            <w:tcW w:w="2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за 1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месяц</w:t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1 месяца является фиксированной и постоянной на протяжении всего срока действия договора.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За неполный месяц оплата производится пропорционально, фактически использованному времени.</w:t>
            </w:r>
          </w:p>
        </w:tc>
      </w:tr>
      <w:tr>
        <w:trPr/>
        <w:tc>
          <w:tcPr>
            <w:tcW w:w="670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eastAsia="ru-RU" w:bidi="ar-SA"/>
              </w:rPr>
              <w:t>9.2.</w:t>
            </w:r>
          </w:p>
        </w:tc>
        <w:tc>
          <w:tcPr>
            <w:tcW w:w="2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Конфиденциальность</w:t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гарантировать наличие у персонала необходимых допусков и разрешений для оказания услуг, соблюдение установленных на объекте режимных требований при входе и выходе персонала, въезде, выезде Техники и ввозе материалов, условий конфиденциальности и неразглашения информации, а также других требований, описанных в данном техническом задании.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hanging="0"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556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20b6f"/>
    <w:pPr>
      <w:keepNext w:val="true"/>
      <w:tabs>
        <w:tab w:val="clear" w:pos="708"/>
        <w:tab w:val="left" w:pos="0" w:leader="none"/>
        <w:tab w:val="left" w:pos="851" w:leader="none"/>
      </w:tabs>
      <w:spacing w:before="120" w:after="60"/>
      <w:ind w:hanging="0" w:left="567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20b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8e58aa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8e58a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" w:customStyle="1">
    <w:name w:val="caption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  <w:tab w:val="left" w:pos="851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8e58aa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8e58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2B0E4-62CC-4E5F-9D31-5C77E5F94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Application>AlterOffice/2026.2.0.0$Linux_X86_64 LibreOffice_project/bc4ef1adf80b36c7a6365f8ed6cbf29021361edd</Application>
  <AppVersion>15.0000</AppVersion>
  <Pages>4</Pages>
  <Words>835</Words>
  <Characters>5850</Characters>
  <CharactersWithSpaces>6563</CharactersWithSpaces>
  <Paragraphs>128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2025-02-17T12:53:00Z</dcterms:created>
  <dc:creator>Быстров Олег Геннадьевич</dc:creator>
  <dc:description/>
  <dc:language>ru-RU</dc:language>
  <cp:lastModifiedBy>sunkulievaa@corp.gidroogk.com</cp:lastModifiedBy>
  <cp:lastPrinted>2026-01-29T09:30:51Z</cp:lastPrinted>
  <dcterms:modified xsi:type="dcterms:W3CDTF">2026-10-01T11:52:32Z</dcterms:modified>
  <cp:revision>22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