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______________ Н.Н. Аммосов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«___» ________________2026 г.</w:t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keepNext w:val="true"/>
        <w:keepLines/>
        <w:spacing w:lineRule="auto" w:line="240"/>
        <w:jc w:val="center"/>
        <w:rPr>
          <w:rFonts w:eastAsia="Calibri"/>
          <w:b/>
          <w:shd w:fill="auto" w:val="clear"/>
        </w:rPr>
      </w:pPr>
      <w:r>
        <w:rPr>
          <w:rFonts w:eastAsia="Calibri"/>
          <w:b/>
          <w:shd w:fill="auto" w:val="clear"/>
        </w:rPr>
        <w:t>ОКПД2 28.15.10.112 Поставка подшипников для нужд Якутской ГРЭС и Якутской ГРЭС-2 в рамках производственной программы ремонтов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cs="Times New Roman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rStyle w:val="Style14"/>
              <w:sz w:val="22"/>
              <w:szCs w:val="22"/>
              <w:vanish w:val="false"/>
              <w:rFonts w:cs="Times New Roman"/>
            </w:rPr>
            <w:instrText xml:space="preserve"> TOC \o "1-4" \h</w:instrText>
          </w:r>
          <w:r>
            <w:rPr>
              <w:rStyle w:val="Style14"/>
              <w:sz w:val="22"/>
              <w:szCs w:val="22"/>
              <w:vanish w:val="false"/>
              <w:rFonts w:cs="Times New Roman"/>
            </w:rPr>
            <w:fldChar w:fldCharType="separate"/>
          </w:r>
          <w:hyperlink w:anchor="_Toc75446566">
            <w:r>
              <w:rPr>
                <w:rStyle w:val="Style14"/>
                <w:rFonts w:cs="Times New Roman"/>
                <w:vanish w:val="false"/>
                <w:sz w:val="22"/>
                <w:szCs w:val="22"/>
              </w:rPr>
              <w:t>1.</w:t>
            </w:r>
            <w:r>
              <w:rPr>
                <w:rStyle w:val="Style14"/>
                <w:rFonts w:cs="Times New Roman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cs="Times New Roman"/>
              <w:sz w:val="22"/>
              <w:szCs w:val="22"/>
            </w:rPr>
          </w:pPr>
          <w:hyperlink w:anchor="_Toc75446568">
            <w:r>
              <w:rPr>
                <w:rStyle w:val="Style14"/>
                <w:rFonts w:cs="Times New Roman"/>
                <w:iCs/>
                <w:vanish w:val="false"/>
                <w:sz w:val="22"/>
                <w:szCs w:val="22"/>
              </w:rPr>
              <w:t>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cs="Times New Roman"/>
              <w:sz w:val="22"/>
              <w:szCs w:val="22"/>
            </w:rPr>
          </w:pPr>
          <w:hyperlink w:anchor="_Toc75446569">
            <w:r>
              <w:rPr>
                <w:rStyle w:val="Style14"/>
                <w:rFonts w:cs="Times New Roman"/>
                <w:iCs/>
                <w:vanish w:val="false"/>
                <w:sz w:val="22"/>
                <w:szCs w:val="22"/>
              </w:rPr>
              <w:t>1.2.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 xml:space="preserve">Цель использования закупаемой продукции 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cs="Times New Roman"/>
              <w:b w:val="false"/>
              <w:bCs w:val="false"/>
              <w:sz w:val="22"/>
              <w:szCs w:val="22"/>
            </w:rPr>
          </w:pPr>
          <w:hyperlink w:anchor="_Toc75446573">
            <w:r>
              <w:rPr>
                <w:rStyle w:val="Style14"/>
                <w:rFonts w:cs="Times New Roman"/>
                <w:vanish w:val="false"/>
                <w:sz w:val="22"/>
                <w:szCs w:val="22"/>
              </w:rPr>
              <w:t>2.</w:t>
            </w:r>
            <w:r>
              <w:rPr>
                <w:rStyle w:val="Style14"/>
                <w:rFonts w:cs="Times New Roman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cs="Times New Roman"/>
                <w:iCs/>
                <w:sz w:val="22"/>
                <w:szCs w:val="22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cs="Times New Roman"/>
              <w:sz w:val="22"/>
              <w:szCs w:val="22"/>
            </w:rPr>
          </w:pPr>
          <w:hyperlink w:anchor="_Toc75446574">
            <w:r>
              <w:rPr>
                <w:rStyle w:val="Style14"/>
                <w:rFonts w:cs="Times New Roman"/>
                <w:iCs/>
                <w:vanish w:val="false"/>
                <w:sz w:val="22"/>
                <w:szCs w:val="22"/>
              </w:rPr>
              <w:t>2.1.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cs="Times New Roman"/>
              <w:sz w:val="22"/>
              <w:szCs w:val="22"/>
            </w:rPr>
          </w:pPr>
          <w:hyperlink w:anchor="_Toc75446575">
            <w:r>
              <w:rPr>
                <w:rStyle w:val="Style14"/>
                <w:rFonts w:cs="Times New Roman"/>
                <w:vanish w:val="false"/>
                <w:sz w:val="22"/>
                <w:szCs w:val="22"/>
              </w:rPr>
              <w:t>2.1.1.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cs="Times New Roman"/>
              <w:b w:val="false"/>
              <w:bCs w:val="false"/>
              <w:sz w:val="22"/>
              <w:szCs w:val="22"/>
            </w:rPr>
          </w:pPr>
          <w:hyperlink w:anchor="_Toc75446576">
            <w:r>
              <w:rPr>
                <w:rStyle w:val="Style14"/>
                <w:rFonts w:cs="Times New Roman"/>
                <w:vanish w:val="false"/>
                <w:sz w:val="22"/>
                <w:szCs w:val="22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cs="Times New Roman"/>
              <w:b w:val="false"/>
              <w:bCs w:val="false"/>
              <w:sz w:val="22"/>
              <w:szCs w:val="22"/>
            </w:rPr>
          </w:pPr>
          <w:hyperlink w:anchor="_Toc75446579">
            <w:r>
              <w:rPr>
                <w:rStyle w:val="Style14"/>
                <w:rFonts w:cs="Times New Roman"/>
                <w:vanish w:val="false"/>
                <w:sz w:val="22"/>
                <w:szCs w:val="22"/>
              </w:rPr>
              <w:t>Таблица 2.1 Требования по срокам поставки продукции</w:t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</w:r>
          </w:hyperlink>
          <w:r>
            <w:rPr>
              <w:rFonts w:cs="Times New Roman"/>
              <w:b w:val="false"/>
              <w:bCs w:val="false"/>
              <w:sz w:val="22"/>
              <w:szCs w:val="22"/>
            </w:rPr>
            <w:t>14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cs="Times New Roman"/>
              <w:b w:val="false"/>
              <w:bCs w:val="false"/>
              <w:sz w:val="22"/>
              <w:szCs w:val="22"/>
            </w:rPr>
          </w:pPr>
          <w:hyperlink w:anchor="_Toc75446582">
            <w:r>
              <w:rPr>
                <w:rStyle w:val="Style14"/>
                <w:rFonts w:cs="Times New Roman"/>
                <w:vanish w:val="false"/>
                <w:sz w:val="22"/>
                <w:szCs w:val="22"/>
              </w:rPr>
              <w:t>Таблица 3. Требования к продукции</w:t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</w:r>
          </w:hyperlink>
          <w:r>
            <w:rPr>
              <w:rFonts w:cs="Times New Roman"/>
              <w:b w:val="false"/>
              <w:bCs w:val="false"/>
              <w:sz w:val="22"/>
              <w:szCs w:val="22"/>
            </w:rPr>
            <w:t>19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cs="Times New Roman"/>
              <w:b w:val="false"/>
              <w:bCs w:val="false"/>
              <w:sz w:val="22"/>
              <w:szCs w:val="22"/>
            </w:rPr>
          </w:pPr>
          <w:hyperlink w:anchor="_Toc75446585">
            <w:r>
              <w:rPr>
                <w:rStyle w:val="Style14"/>
                <w:rFonts w:cs="Times New Roman"/>
                <w:vanish w:val="false"/>
                <w:sz w:val="22"/>
                <w:szCs w:val="22"/>
              </w:rPr>
              <w:t>4.</w:t>
            </w:r>
            <w:r>
              <w:rPr>
                <w:rStyle w:val="Style14"/>
                <w:rFonts w:cs="Times New Roman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cs="Times New Roman"/>
                <w:iCs/>
                <w:sz w:val="22"/>
                <w:szCs w:val="22"/>
              </w:rPr>
              <w:t>Приложения</w:t>
            </w:r>
            <w:r>
              <w:rPr>
                <w:rStyle w:val="Style14"/>
                <w:rFonts w:cs="Times New Roman"/>
                <w:sz w:val="22"/>
                <w:szCs w:val="22"/>
              </w:rPr>
              <w:tab/>
            </w:r>
          </w:hyperlink>
          <w:r>
            <w:rPr>
              <w:rFonts w:cs="Times New Roman"/>
              <w:sz w:val="22"/>
              <w:szCs w:val="22"/>
            </w:rPr>
            <w:t>22</w:t>
          </w:r>
          <w:r>
            <w:rPr>
              <w:sz w:val="22"/>
              <w:szCs w:val="22"/>
              <w:rFonts w:cs="Times New Roman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left="0" w:right="0" w:hanging="0"/>
        <w:rPr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caps/>
          <w:sz w:val="22"/>
          <w:szCs w:val="22"/>
          <w:lang w:val="ru-RU"/>
        </w:rPr>
      </w:pPr>
      <w:bookmarkStart w:id="0" w:name="_Toc51339692"/>
      <w:bookmarkStart w:id="1" w:name="_Toc75446566"/>
      <w:r>
        <w:rPr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left="432" w:right="0" w:hanging="432"/>
        <w:rPr>
          <w:sz w:val="22"/>
          <w:szCs w:val="22"/>
        </w:rPr>
      </w:pPr>
      <w:bookmarkStart w:id="2" w:name="_Toc46743506"/>
      <w:bookmarkStart w:id="3" w:name="_Toc75446568"/>
      <w:r>
        <w:rPr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/>
      </w:pPr>
      <w:r>
        <w:rPr>
          <w:rStyle w:val="Style8"/>
          <w:rFonts w:eastAsia="Calibri"/>
          <w:b w:val="false"/>
          <w:bCs/>
          <w:i w:val="false"/>
          <w:sz w:val="22"/>
          <w:szCs w:val="22"/>
          <w:shd w:fill="auto" w:val="clear"/>
          <w:lang w:eastAsia="x-none"/>
        </w:rPr>
        <w:t xml:space="preserve">Подшипники </w:t>
      </w:r>
    </w:p>
    <w:p>
      <w:pPr>
        <w:pStyle w:val="Heading4"/>
        <w:numPr>
          <w:ilvl w:val="1"/>
          <w:numId w:val="3"/>
        </w:numPr>
        <w:spacing w:before="240" w:after="60"/>
        <w:ind w:left="431" w:right="0" w:hanging="431"/>
        <w:rPr>
          <w:b/>
          <w:i w:val="false"/>
          <w:i w:val="false"/>
          <w:sz w:val="22"/>
          <w:szCs w:val="22"/>
          <w:lang w:val="ru-RU"/>
        </w:rPr>
      </w:pPr>
      <w:bookmarkStart w:id="4" w:name="_Toc75446569"/>
      <w:bookmarkStart w:id="5" w:name="_Toc46743507"/>
      <w:r>
        <w:rPr>
          <w:sz w:val="22"/>
          <w:szCs w:val="22"/>
        </w:rPr>
        <w:t xml:space="preserve">Цель </w:t>
      </w:r>
      <w:bookmarkEnd w:id="5"/>
      <w:r>
        <w:rPr>
          <w:sz w:val="22"/>
          <w:szCs w:val="22"/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 w:val="false"/>
          <w:bCs/>
          <w:i w:val="false"/>
          <w:i w:val="false"/>
          <w:sz w:val="22"/>
          <w:szCs w:val="22"/>
        </w:rPr>
      </w:pPr>
      <w:r>
        <w:rPr>
          <w:rFonts w:eastAsia="Calibri"/>
          <w:sz w:val="22"/>
          <w:szCs w:val="22"/>
          <w:lang w:eastAsia="x-none"/>
        </w:rPr>
        <w:t>Обеспечени</w:t>
      </w:r>
      <w:r>
        <w:rPr>
          <w:rFonts w:eastAsia="Calibri"/>
          <w:b w:val="false"/>
          <w:bCs w:val="false"/>
          <w:sz w:val="22"/>
          <w:szCs w:val="22"/>
          <w:lang w:eastAsia="x-none"/>
        </w:rPr>
        <w:t xml:space="preserve">е </w:t>
      </w:r>
      <w:r>
        <w:rPr>
          <w:rFonts w:eastAsia="Calibri"/>
          <w:b w:val="false"/>
          <w:bCs w:val="false"/>
          <w:sz w:val="22"/>
          <w:szCs w:val="22"/>
          <w:shd w:fill="auto" w:val="clear"/>
          <w:lang w:eastAsia="x-none"/>
        </w:rPr>
        <w:t xml:space="preserve">производственной программы ремонтов </w:t>
      </w:r>
      <w:r>
        <w:rPr>
          <w:rFonts w:eastAsia="Calibri"/>
          <w:b w:val="false"/>
          <w:bCs w:val="false"/>
          <w:sz w:val="22"/>
          <w:szCs w:val="22"/>
          <w:lang w:eastAsia="x-none"/>
        </w:rPr>
        <w:t>станц</w:t>
      </w:r>
      <w:r>
        <w:rPr>
          <w:rFonts w:eastAsia="Calibri"/>
          <w:sz w:val="22"/>
          <w:szCs w:val="22"/>
          <w:lang w:eastAsia="x-none"/>
        </w:rPr>
        <w:t xml:space="preserve">ий Якутская ГРЭС, Якутская ГРЭС-2 </w:t>
      </w:r>
    </w:p>
    <w:p>
      <w:pPr>
        <w:pStyle w:val="Heading1"/>
        <w:keepLines/>
        <w:numPr>
          <w:ilvl w:val="0"/>
          <w:numId w:val="3"/>
        </w:numPr>
        <w:ind w:left="357" w:right="0" w:hanging="357"/>
        <w:jc w:val="center"/>
        <w:rPr>
          <w:iCs/>
          <w:caps/>
          <w:sz w:val="22"/>
          <w:szCs w:val="22"/>
        </w:rPr>
      </w:pPr>
      <w:bookmarkStart w:id="6" w:name="_Toc51339693"/>
      <w:bookmarkStart w:id="7" w:name="_Toc75446573"/>
      <w:r>
        <w:rPr>
          <w:iCs/>
          <w:sz w:val="22"/>
          <w:szCs w:val="22"/>
        </w:rPr>
        <w:t xml:space="preserve">Требования к </w:t>
      </w:r>
      <w:r>
        <w:rPr>
          <w:sz w:val="22"/>
          <w:szCs w:val="22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ind w:left="432" w:right="0" w:hanging="432"/>
        <w:rPr>
          <w:sz w:val="22"/>
          <w:szCs w:val="22"/>
        </w:rPr>
      </w:pPr>
      <w:bookmarkStart w:id="8" w:name="_Toc75446574"/>
      <w:r>
        <w:rPr>
          <w:sz w:val="22"/>
          <w:szCs w:val="22"/>
        </w:rPr>
        <w:t xml:space="preserve">Требования к объемам и срокам </w:t>
      </w:r>
      <w:r>
        <w:rPr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ind w:left="1224" w:right="0" w:hanging="504"/>
        <w:rPr>
          <w:sz w:val="22"/>
          <w:szCs w:val="22"/>
        </w:rPr>
      </w:pPr>
      <w:bookmarkStart w:id="9" w:name="_Toc75446575"/>
      <w:r>
        <w:rPr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left="0" w:right="0" w:hanging="0"/>
        <w:rPr>
          <w:sz w:val="22"/>
          <w:szCs w:val="22"/>
          <w:lang w:val="ru-RU"/>
        </w:rPr>
      </w:pPr>
      <w:bookmarkStart w:id="10" w:name="_Toc75446576"/>
      <w:bookmarkStart w:id="11" w:name="_Toc51339695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1.1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Перечень </w:t>
      </w:r>
      <w:bookmarkEnd w:id="11"/>
      <w:r>
        <w:rPr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019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3393"/>
        <w:gridCol w:w="1189"/>
        <w:gridCol w:w="848"/>
        <w:gridCol w:w="1425"/>
        <w:gridCol w:w="2806"/>
      </w:tblGrid>
      <w:tr>
        <w:trPr/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5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3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по ОКПД 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по предоставлению национального режима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  <w:shd w:fill="FFFFFF" w:val="clear"/>
                <w:lang w:val="x-none"/>
              </w:rPr>
              <w:t>*</w:t>
            </w:r>
          </w:p>
        </w:tc>
      </w:tr>
      <w:tr>
        <w:trPr/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5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ЯГРЭС-1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ГПЗ 6-46416 Л 200мм 80мм 48мм с латунным сепаратором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28.15.10.114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роликовый радиальный однорядный 2324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28.15.10.122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шариковый 66410 130мм 50мм 31мм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12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28.15.10.114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шариковый радиальный однорядный 6-180307 (6307 2RS)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28.15.10.116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шариковый радиальный однорядный закрытый 180306 (6306 2RS)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8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28.15.10.116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>
          <w:trHeight w:val="390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шариковый радиальный сферический двухрядный 1608 40х90х33мм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16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28.15.10.112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>
          <w:trHeight w:val="720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Подшипник шариковый 46207Е 35х72х17мм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28.15.10.116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>
          <w:trHeight w:val="720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Подшипник роликовый радиальный с короткими цилиндрическими роликами без бортов на внутреннем кольце 32332М 160х340х68мм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28.15.10.122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>
          <w:trHeight w:val="720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Подшипник роликовый радиальный сферический двухрядный 3620 100х215х73мм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28.15.10.122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967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outlineLv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ЯГРЭС-2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outlineLv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6309 C3 45х100х25мм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28.15.10.112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радиально-упорный однорядный 6316-2Z/C3 SKF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28.15.10.112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180202 ГПЗ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28.15.10.112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6208 2RS 40х80х18мм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28.15.10.112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  <w:shd w:fill="auto" w:val="clear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  <w:shd w:fill="auto" w:val="clear"/>
              </w:rPr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6218C3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28.15.10.112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6218C3VL0241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28.15.10.112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  <w:shd w:fill="auto" w:val="clear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  <w:shd w:fill="auto" w:val="clear"/>
              </w:rPr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с двухсторонним уплотнением 180319 200мм 95мм 45мм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28.15.10.116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  <w:shd w:fill="auto" w:val="clear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  <w:shd w:fill="auto" w:val="clear"/>
              </w:rPr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0" w:right="0" w:hanging="0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shd w:fill="auto" w:val="clear"/>
              </w:rPr>
              <w:t>Установлен режим запрета закупки иностранной продукции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right="0" w:hanging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2"/>
                <w:szCs w:val="22"/>
              </w:rPr>
            </w:pPr>
            <w:r>
              <w:rPr/>
              <w:fldChar w:fldCharType="begin"/>
            </w:r>
            <w:r>
              <w:rPr/>
              <w:instrText xml:space="preserve"> =D5+D6+D7+D8+D9+D10+D11+D12+D13+D15+D16+D17+D18+D19+D20+D21</w:instrText>
            </w:r>
            <w:r>
              <w:rPr/>
              <w:fldChar w:fldCharType="separate"/>
            </w:r>
            <w:r>
              <w:rPr/>
              <w:t>189</w:t>
            </w:r>
            <w:r>
              <w:rPr/>
              <w:fldChar w:fldCharType="end"/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Heading3"/>
        <w:numPr>
          <w:ilvl w:val="0"/>
        </w:numPr>
        <w:ind w:left="1224" w:right="0" w:hanging="504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shd w:val="clear" w:fill="FFFFFF"/>
        <w:spacing w:before="0" w:after="120"/>
        <w:jc w:val="both"/>
        <w:rPr>
          <w:color w:val="000000"/>
          <w:sz w:val="24"/>
          <w:szCs w:val="24"/>
          <w:shd w:fill="FFFFFF" w:val="clear"/>
        </w:rPr>
      </w:pPr>
      <w:r>
        <w:rPr>
          <w:rFonts w:eastAsia="Calibri"/>
          <w:b/>
          <w:bCs/>
          <w:color w:val="000000"/>
          <w:sz w:val="24"/>
          <w:szCs w:val="24"/>
          <w:shd w:fill="FFFFFF" w:val="clear"/>
          <w:lang w:val="x-none"/>
        </w:rPr>
        <w:t xml:space="preserve">* </w:t>
      </w: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x-none"/>
        </w:rPr>
        <w:t>Запрет может не применяться в соответствии с  подп. "и" п. 5 ПП РФ №1875,</w:t>
      </w:r>
      <w:r>
        <w:rPr>
          <w:rFonts w:eastAsia="Calibri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x-none"/>
        </w:rPr>
        <w:t xml:space="preserve"> </w:t>
      </w: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x-none"/>
        </w:rPr>
        <w:t xml:space="preserve"> в одном из следующих случаев:</w:t>
      </w:r>
    </w:p>
    <w:p>
      <w:pPr>
        <w:pStyle w:val="Normal"/>
        <w:shd w:val="clear" w:fill="FFFFFF"/>
        <w:spacing w:before="0" w:after="120"/>
        <w:jc w:val="both"/>
        <w:rPr>
          <w:color w:val="000000"/>
          <w:sz w:val="24"/>
          <w:szCs w:val="24"/>
          <w:shd w:fill="FFFFFF" w:val="clear"/>
        </w:rPr>
      </w:pP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x-none"/>
        </w:rPr>
        <w:t xml:space="preserve"> </w:t>
      </w: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x-none"/>
        </w:rPr>
        <w:t>- НМЦК (НМЦД), макс. значение цены контракта (договора), цена контракта (договора) с ед. поставщиком, ≤ 1 млн рублей и при этом ни одна из использованных при определении таких цен цена единицы товара не превышает 300 тыс. рублей;</w:t>
      </w:r>
    </w:p>
    <w:p>
      <w:pPr>
        <w:pStyle w:val="Normal"/>
        <w:shd w:val="clear" w:fill="FFFFFF"/>
        <w:spacing w:before="0" w:after="120"/>
        <w:jc w:val="both"/>
        <w:rPr>
          <w:color w:val="000000"/>
          <w:sz w:val="24"/>
          <w:szCs w:val="24"/>
          <w:shd w:fill="FFFFFF" w:val="clear"/>
        </w:rPr>
      </w:pP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x-none"/>
        </w:rPr>
        <w:t xml:space="preserve"> </w:t>
      </w:r>
      <w:r>
        <w:rPr>
          <w:rFonts w:eastAsia="Calibri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x-none"/>
        </w:rPr>
        <w:t>- ни одна из использованных при определении НМЦК (НМЦД) или цены контракта (договора), заключаемого с ед.поставщиком, цена единицы товара не превышает 300 тыс. рублей и при этом произведение каждой цены единицы товара на количество такого товара ≤ 1 млн. рублей</w:t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Heading3"/>
        <w:numPr>
          <w:ilvl w:val="2"/>
          <w:numId w:val="3"/>
        </w:numPr>
        <w:ind w:left="1224" w:right="0" w:hanging="504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Тр</w:t>
      </w:r>
      <w:bookmarkStart w:id="12" w:name="_Toc75446578"/>
      <w:bookmarkStart w:id="13" w:name="_Toc51339696"/>
      <w:r>
        <w:rPr>
          <w:sz w:val="22"/>
          <w:szCs w:val="22"/>
          <w:lang w:val="ru-RU"/>
        </w:rPr>
        <w:t xml:space="preserve">ебования </w:t>
      </w:r>
      <w:bookmarkEnd w:id="13"/>
      <w:r>
        <w:rPr>
          <w:sz w:val="22"/>
          <w:szCs w:val="22"/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left="0" w:right="0" w:hanging="0"/>
        <w:rPr>
          <w:sz w:val="22"/>
          <w:szCs w:val="22"/>
          <w:lang w:val="ru-RU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1</w:t>
      </w:r>
      <w:r>
        <w:rPr>
          <w:sz w:val="22"/>
          <w:szCs w:val="22"/>
        </w:rPr>
        <w:t xml:space="preserve"> </w:t>
      </w:r>
      <w:bookmarkStart w:id="18" w:name="_Hlk50465284"/>
      <w:r>
        <w:rPr>
          <w:sz w:val="22"/>
          <w:szCs w:val="22"/>
        </w:rPr>
        <w:t xml:space="preserve">Требования по срокам </w:t>
      </w:r>
      <w:bookmarkEnd w:id="15"/>
      <w:bookmarkEnd w:id="16"/>
      <w:bookmarkEnd w:id="18"/>
      <w:r>
        <w:rPr>
          <w:sz w:val="22"/>
          <w:szCs w:val="22"/>
          <w:lang w:val="ru-RU"/>
        </w:rPr>
        <w:t>поставки продукции</w:t>
      </w:r>
      <w:bookmarkEnd w:id="14"/>
      <w:r>
        <w:rPr>
          <w:sz w:val="22"/>
          <w:szCs w:val="22"/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Cs/>
          <w:sz w:val="22"/>
          <w:szCs w:val="22"/>
          <w:shd w:fill="FFFF99" w:val="clear"/>
        </w:rPr>
      </w:pPr>
      <w:r>
        <w:rPr>
          <w:bCs/>
          <w:iCs/>
          <w:sz w:val="22"/>
          <w:szCs w:val="22"/>
          <w:shd w:fill="FFFF99" w:val="clear"/>
        </w:rPr>
      </w:r>
    </w:p>
    <w:tbl>
      <w:tblPr>
        <w:tblW w:w="963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4052"/>
        <w:gridCol w:w="2312"/>
        <w:gridCol w:w="2461"/>
      </w:tblGrid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/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bookmarkStart w:id="19" w:name="_Toc46743510"/>
            <w:r>
              <w:rPr>
                <w:b/>
                <w:sz w:val="22"/>
                <w:szCs w:val="22"/>
              </w:rPr>
              <w:t>ЯГРЭС</w:t>
            </w:r>
            <w:bookmarkEnd w:id="19"/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ГПЗ 6-46416 Л 200мм 80мм 48мм с латунным сепаратором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позднее 31 декабря 2026 г.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роликовый радиальный однорядный 2324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шариковый 66410 130мм 50мм 31мм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шариковый радиальный однорядный 6-180307 (6307 2RS)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шариковый радиальный однорядный закрытый 180306 (6306 2RS)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Подшипник шариковый радиальный сферический двухрядный 1608 40х90х33мм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rPr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Подшипник шариковый 46207Е 35х72х17мм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36"/>
              <w:widowControl w:val="false"/>
              <w:rPr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Подшипник роликовый радиальный с короткими цилиндрическими роликами без бортов на внутреннем кольце 32332М 160х340х68мм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Подшипник роликовый радиальный сферический двухрядный 3620 100х215х73мм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ЯГРЭС-2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6309 C3 45х100х25мм</w:t>
            </w:r>
          </w:p>
        </w:tc>
        <w:tc>
          <w:tcPr>
            <w:tcW w:w="23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позднее 31 декабря 2026 г.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радиально-упорный однорядный 6316-2Z/C3 SKF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180202 ГПЗ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6208 2RS 40х80х18мм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6218C3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6218C3VL0241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644" w:right="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Style36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Подшипник шариковый радиальный однорядный с двухсторонним уплотнением 180319 200мм 95мм 45мм</w:t>
            </w:r>
          </w:p>
        </w:tc>
        <w:tc>
          <w:tcPr>
            <w:tcW w:w="23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600" w:top="1054" w:footer="0" w:bottom="1007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left="432" w:right="0" w:hanging="432"/>
        <w:rPr>
          <w:sz w:val="22"/>
          <w:szCs w:val="22"/>
        </w:rPr>
      </w:pPr>
      <w:bookmarkStart w:id="20" w:name="_Toc51339698"/>
      <w:bookmarkStart w:id="21" w:name="_Toc75446581"/>
      <w:bookmarkStart w:id="22" w:name="_Toc46743511"/>
      <w:bookmarkStart w:id="23" w:name="_Toc54785622"/>
      <w:bookmarkEnd w:id="23"/>
      <w:r>
        <w:rPr>
          <w:sz w:val="22"/>
          <w:szCs w:val="22"/>
        </w:rPr>
        <w:t xml:space="preserve">Требования к </w:t>
      </w:r>
      <w:bookmarkEnd w:id="22"/>
      <w:r>
        <w:rPr>
          <w:sz w:val="22"/>
          <w:szCs w:val="22"/>
          <w:lang w:val="ru-RU"/>
        </w:rPr>
        <w:t>качеству продукции</w:t>
      </w:r>
      <w:bookmarkEnd w:id="21"/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left="0" w:righ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24" w:name="_Toc75446582"/>
      <w:r>
        <w:rPr>
          <w:sz w:val="22"/>
          <w:szCs w:val="22"/>
        </w:rPr>
        <w:t>Таблица 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. Требования к </w:t>
      </w:r>
      <w:r>
        <w:rPr>
          <w:sz w:val="22"/>
          <w:szCs w:val="22"/>
          <w:lang w:val="ru-RU"/>
        </w:rPr>
        <w:t>продукции</w:t>
      </w:r>
      <w:bookmarkEnd w:id="24"/>
      <w:r>
        <w:rPr>
          <w:sz w:val="22"/>
          <w:szCs w:val="22"/>
        </w:rPr>
        <w:t xml:space="preserve"> </w:t>
      </w:r>
      <w:bookmarkEnd w:id="20"/>
    </w:p>
    <w:p>
      <w:pPr>
        <w:pStyle w:val="Normal"/>
        <w:rPr>
          <w:b w:val="false"/>
          <w:i w:val="false"/>
          <w:i w:val="false"/>
          <w:sz w:val="22"/>
          <w:szCs w:val="22"/>
        </w:rPr>
      </w:pPr>
      <w:r>
        <w:rPr>
          <w:b w:val="false"/>
          <w:i w:val="false"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Наименование продукции (позиция №1-16 Таблицы 3.1): </w:t>
      </w:r>
      <w:r>
        <w:rPr>
          <w:rFonts w:eastAsia="Calibri"/>
          <w:b/>
          <w:sz w:val="22"/>
          <w:szCs w:val="22"/>
        </w:rPr>
        <w:t>«</w:t>
      </w:r>
      <w:r>
        <w:rPr>
          <w:rStyle w:val="Style8"/>
          <w:rFonts w:eastAsia="Calibri"/>
          <w:b/>
          <w:bCs/>
          <w:i w:val="false"/>
          <w:sz w:val="22"/>
          <w:szCs w:val="22"/>
          <w:shd w:fill="auto" w:val="clear"/>
          <w:lang w:eastAsia="x-none"/>
        </w:rPr>
        <w:t>Поставка подшипников</w:t>
      </w:r>
      <w:r>
        <w:rPr>
          <w:rFonts w:eastAsia="Calibri"/>
          <w:b/>
          <w:bCs/>
          <w:sz w:val="22"/>
          <w:szCs w:val="22"/>
        </w:rPr>
        <w:t>»</w:t>
      </w:r>
    </w:p>
    <w:tbl>
      <w:tblPr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810"/>
        <w:gridCol w:w="32"/>
        <w:gridCol w:w="2956"/>
        <w:gridCol w:w="2990"/>
        <w:gridCol w:w="3262"/>
        <w:gridCol w:w="3406"/>
      </w:tblGrid>
      <w:tr>
        <w:trPr/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8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Гарантийный срок: в течение 12 месяцев с даты поставки на склад Покупателя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righ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7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на каждую поставляемую партию.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righ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47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  <w:t>Продукция при поставке должна сопровождаться действующими сертификатами, 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i w:val="false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Calibri" w:cs="Arial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2"/>
                <w:szCs w:val="22"/>
                <w:lang w:val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left="360" w:right="0" w:hanging="3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right="0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79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  <w:lang w:val="x-none"/>
        </w:rPr>
        <w:t>Таблица </w:t>
      </w:r>
      <w:r>
        <w:rPr>
          <w:rFonts w:eastAsia="Calibri"/>
          <w:b/>
          <w:bCs/>
          <w:sz w:val="22"/>
          <w:szCs w:val="22"/>
        </w:rPr>
        <w:t>3.1</w:t>
      </w:r>
      <w:r>
        <w:rPr>
          <w:rFonts w:eastAsia="Calibri"/>
          <w:b/>
          <w:bCs/>
          <w:sz w:val="22"/>
          <w:szCs w:val="22"/>
          <w:lang w:val="x-none"/>
        </w:rPr>
        <w:t xml:space="preserve">. </w:t>
      </w:r>
      <w:r>
        <w:rPr>
          <w:rFonts w:eastAsia="Calibri"/>
          <w:b/>
          <w:bCs/>
          <w:sz w:val="22"/>
          <w:szCs w:val="22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left="0" w:right="397" w:hanging="0"/>
        <w:jc w:val="both"/>
        <w:rPr/>
      </w:pPr>
      <w:r>
        <w:rPr>
          <w:b/>
          <w:bCs/>
          <w:sz w:val="22"/>
          <w:szCs w:val="22"/>
        </w:rPr>
        <w:t xml:space="preserve">Наименование продукции: </w:t>
      </w:r>
      <w:r>
        <w:rPr>
          <w:rFonts w:eastAsia="Calibri"/>
          <w:b/>
          <w:sz w:val="22"/>
          <w:szCs w:val="22"/>
        </w:rPr>
        <w:t>«</w:t>
      </w:r>
      <w:r>
        <w:rPr>
          <w:rStyle w:val="Style8"/>
          <w:rFonts w:eastAsia="Calibri"/>
          <w:b/>
          <w:bCs/>
          <w:i w:val="false"/>
          <w:sz w:val="22"/>
          <w:szCs w:val="22"/>
          <w:shd w:fill="auto" w:val="clear"/>
          <w:lang w:eastAsia="x-none"/>
        </w:rPr>
        <w:t>Поставка подшипников</w:t>
      </w:r>
      <w:r>
        <w:rPr>
          <w:rFonts w:eastAsia="Calibri"/>
          <w:b/>
          <w:sz w:val="22"/>
          <w:szCs w:val="22"/>
        </w:rPr>
        <w:t>»</w:t>
      </w:r>
    </w:p>
    <w:tbl>
      <w:tblPr>
        <w:tblW w:w="1501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327"/>
        <w:gridCol w:w="1419"/>
        <w:gridCol w:w="910"/>
        <w:gridCol w:w="4776"/>
        <w:gridCol w:w="1536"/>
        <w:gridCol w:w="958"/>
        <w:gridCol w:w="736"/>
        <w:gridCol w:w="1021"/>
        <w:gridCol w:w="1557"/>
      </w:tblGrid>
      <w:tr>
        <w:trPr>
          <w:trHeight w:val="311" w:hRule="atLeast"/>
        </w:trPr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  <w:t xml:space="preserve">позиции </w:t>
              <w:br/>
              <w:t>Таблицы 1.1. «Перечень и объем закупаемой продукции»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7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Требования заказчика *</w:t>
            </w:r>
          </w:p>
        </w:tc>
        <w:tc>
          <w:tcPr>
            <w:tcW w:w="42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567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Предложения участника**</w:t>
            </w:r>
          </w:p>
        </w:tc>
      </w:tr>
      <w:tr>
        <w:trPr>
          <w:trHeight w:val="1172" w:hRule="atLeast"/>
        </w:trPr>
        <w:tc>
          <w:tcPr>
            <w:tcW w:w="7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ГОСТ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ГОСТ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283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</w:tr>
      <w:tr>
        <w:trPr>
          <w:trHeight w:val="223" w:hRule="atLeast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</w:tr>
      <w:tr>
        <w:trPr/>
        <w:tc>
          <w:tcPr>
            <w:tcW w:w="150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ЯГРЭС</w:t>
            </w:r>
          </w:p>
        </w:tc>
      </w:tr>
      <w:tr>
        <w:trPr/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ГПЗ 6-46416 Л 200мм 80мм 48мм с латунным сепаратором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color w:val="C9211E"/>
                <w:sz w:val="22"/>
                <w:szCs w:val="22"/>
              </w:rPr>
            </w:pPr>
            <w:r>
              <w:rPr>
                <w:b w:val="false"/>
                <w:bCs w:val="false"/>
                <w:color w:val="C9211E"/>
                <w:sz w:val="22"/>
                <w:szCs w:val="22"/>
              </w:rPr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em w:val="none"/>
                <w:lang w:val="ru-RU" w:eastAsia="en-US" w:bidi="ar-SA"/>
              </w:rPr>
              <w:t>П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одшипник шариковый радиально-упорный однорядный неразъемный со скосом на наружном кольце, отечественное производство по ГОСТ стандарту.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2"/>
                <w:szCs w:val="22"/>
                <w:u w:val="none"/>
                <w:em w:val="none"/>
              </w:rPr>
              <w:t>Размеры: внутренний диаметр — 80 мм, внешний диаметр — 200 мм, ширина — 48 мм;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Основное исполнение.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роликовый радиальный однорядный 2324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em w:val="none"/>
                <w:lang w:val="ru-RU" w:eastAsia="en-US" w:bidi="ar-SA"/>
              </w:rPr>
              <w:t>Д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иаметр наружный 260 мм, Диаметр внутренний   120 мм, Ширина 55 мм. Роликоподшипник с одним рядом коротких цилиндрических роликов. Наружное кольцо и внутренне разделены — когда подшипник установлен, наружное кольцо свободно перемещается по роликам в радиальном направлении. Подобная конструкция позволяет подшипнику переносить очень высокие радиальные нагрузки, но при этом он не способен воспринимать осевые нагрузки. Как правило комплектуется латунным сепаратором.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Позиция 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66410 130мм 50мм 31мм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  <w:lang w:eastAsia="en-US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  <w:lang w:eastAsia="en-US"/>
              </w:rPr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Подшипник шариковый радиально-упорный однорядный неразъемный со скосом на наружном кольце, отечественное производство по ГОСТ стандарту, размер 50x130x31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радиальный однорядный 6-180307 (6307 2RS)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Шариковый, радиальный, однорядный, закрытый заглушками из каучука с двух сторон, 80х35х21мм, общей массой 0,45кг.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Позиция 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радиальный однорядный закрытый 180306 (6306 2RS)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Однорядный шариковый подшипник, радиальный, закрытый с двух сторон уплотнениями из бутадиенакрилнитрильного каучука, армированного листовой сталью.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Внутренний диаметр - 30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Наружный диаметр - 72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Ширина (высота) - 19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Позиция 6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радиальный сферический двухрядный 1608 40х90х33мм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Шариковый, радиальный, сферический двухрядный.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Размеры 40х90х33мм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Позиция 7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Подшипник шариковый 46207Е 35х72х17мм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внутренний (d), мм 35 Диаметр внешний (D), мм 72 Ширина (В), мм 17 Высота, мм 72 Вес, кг 0,289 Прочностые и скоростные параметры Статическая грузоподъемность C0, Н 19300 Предельная частота вращения при жидкой смазке, об/мин 10600 Предельная частота вращения при пластичной смазке, об/мин 8600 Классификация подшипника Тело качения шарик Вид подшипника качения Направление нагрузки радиально-упорные Сепаратор полиамид (PA66/TN9) Внешняя структура нет Наличие смазки без смазки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Позиция 8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Подшипник роликовый радиальный с короткими цилиндрическими роликами без бортов на внутреннем кольце 32332М 160х340х68мм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Подшипник роликовый радиальный с короткими цилиндрическими роликами без бортов на внутреннем кольце 32332М 160х340х68мм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Позиция 9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Подшипник роликовый радиальный сферический двухрядный 3620 100х215х73мм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Роликовый, радиальный, сферический, двухрядный, открытый с двух сторон, 215х100х73мм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150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ru-RU" w:eastAsia="en-US" w:bidi="ar-SA"/>
              </w:rPr>
              <w:br/>
              <w:t>ЯГРЭС-2</w:t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10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6309 C3 45х100х25мм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Внутренний диаметр: 45 мм;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Наружный диаметр: 100 мм;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Ширина: 25 мм;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Материал сепаратора: стальной;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Рядность: однорядный;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Защитные шайбы: нет;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Тип: радиальный;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Уплотнение: открытый;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Вес: 0,859 кг;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Style w:val="Style16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Зазор:</w:t>
              <w:tab/>
              <w:t>C3 (больше нормального).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11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радиально-упорный однорядный 6316-2Z/C3 SKF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Внутренний диаметр d, мм</w:t>
              <w:tab/>
              <w:t>- 80;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Наружный диаметр D, мм</w:t>
              <w:tab/>
              <w:t>- 170;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Ширина B, мм</w:t>
              <w:tab/>
              <w:t>- 39;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Рядность – однорядный;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Защитные шайбы- 2Z (штампованные защитные шайбы из листовой стали с обеих сторон)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12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радиальный однорядный 180202 ГПЗ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Шариковый, радиальный, однорядный.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Наружний диаметр - 35 мм;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Внутренний диаметр — 15мм;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Общая ширина - 11 мм.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13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радиальный однорядный 6208 2RS 40х80х18мм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  <w:t>ГОСТ 8338-2022</w:t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шариковый радиальный однорядный 6208 2RS Размер: 40х80х18мм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14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радиальный однорядный 6218C3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  <w:t>ГОСТ 8338-2022</w:t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шариковый радиальный однорядный 6218C3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Style w:val="Style16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Диаметр внутреннего кольца: 90 мм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Style w:val="Style16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Диаметр внешнего кольца: 160 мм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Style w:val="Style16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Ширина внешнего кольца: 30 мм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Style w:val="Style16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Радиальный зазор: С3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C9211E"/>
                <w:sz w:val="22"/>
                <w:szCs w:val="22"/>
                <w:shd w:fill="auto" w:val="clear"/>
              </w:rPr>
            </w:pPr>
            <w:r>
              <w:rPr>
                <w:b w:val="false"/>
                <w:bCs w:val="false"/>
                <w:color w:val="C9211E"/>
                <w:sz w:val="22"/>
                <w:szCs w:val="22"/>
                <w:shd w:fill="auto" w:val="clear"/>
              </w:rPr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15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радиальный однорядный 6218C3VL0241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  <w:t>ГОСТ 8338-2022</w:t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шариковый радиальный однорядный 6218C3VL0241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Внутренний (d) ММ:90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Внешний (D) ММ:160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Ширина (B) MM:30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Радиальный зазор: С3;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auto" w:val="clear"/>
                <w:em w:val="none"/>
              </w:rPr>
              <w:t>VL0241 - электроизоляционное покрытие оксидом алюминия наружного кольца, до 1000 В постоянного тока.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FFFF00" w:val="clear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  <w:shd w:fill="FFFF00" w:val="clear"/>
              </w:rPr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  <w:tr>
        <w:trPr/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left="720" w:right="0" w:hanging="360"/>
              <w:contextualSpacing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Позиция 16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Подшипник шариковый радиальный однорядный с двухсторонним уплотнением 180319 200мм 95мм 45мм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Шариковый, радиальный, однорядный, закрытый с двух сторон пластмассовыми крышками. Внутренний диаметр: 95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Наружный диаметр: 200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Ширина: 45 мм.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Максимальная частота вращения: 2200 об./мин.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Масса: 5,71 кг.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>677004, РФ, Республика Саха (Якутия), г.Якутск, ул. Кржижановского, д. 2</w:t>
            </w: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 w:val="false"/>
                <w:bCs w:val="false"/>
                <w:iCs/>
                <w:color w:val="808080"/>
                <w:sz w:val="22"/>
                <w:szCs w:val="22"/>
              </w:rPr>
            </w:pPr>
            <w:r>
              <w:rPr>
                <w:rFonts w:eastAsia="Calibri"/>
                <w:b w:val="false"/>
                <w:bCs w:val="false"/>
                <w:iCs/>
                <w:color w:val="808080"/>
                <w:sz w:val="22"/>
                <w:szCs w:val="22"/>
              </w:rPr>
            </w:r>
          </w:p>
        </w:tc>
      </w:tr>
    </w:tbl>
    <w:p>
      <w:pPr>
        <w:pStyle w:val="Normal"/>
        <w:spacing w:before="40" w:after="120"/>
        <w:ind w:left="0" w:right="-28" w:hanging="0"/>
        <w:jc w:val="both"/>
        <w:rPr>
          <w:rFonts w:ascii="Times New Roman" w:hAnsi="Times New Roman"/>
          <w:sz w:val="16"/>
          <w:szCs w:val="16"/>
        </w:rPr>
      </w:pPr>
      <w:r>
        <w:rPr>
          <w:iCs/>
          <w:sz w:val="16"/>
          <w:szCs w:val="16"/>
        </w:rPr>
        <w:t>"Указанные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left="0" w:right="-28" w:hanging="0"/>
        <w:jc w:val="both"/>
        <w:rPr>
          <w:rFonts w:ascii="Times New Roman" w:hAnsi="Times New Roman"/>
          <w:iCs/>
          <w:sz w:val="16"/>
          <w:szCs w:val="16"/>
        </w:rPr>
      </w:pPr>
      <w:r>
        <w:rPr>
          <w:iCs/>
          <w:sz w:val="16"/>
          <w:szCs w:val="16"/>
        </w:rPr>
      </w:r>
    </w:p>
    <w:p>
      <w:pPr>
        <w:pStyle w:val="Normal"/>
        <w:spacing w:before="40" w:after="120"/>
        <w:ind w:left="0" w:right="-28" w:hanging="0"/>
        <w:jc w:val="both"/>
        <w:rPr>
          <w:rFonts w:ascii="Times New Roman" w:hAnsi="Times New Roman"/>
          <w:sz w:val="16"/>
          <w:szCs w:val="16"/>
        </w:rPr>
      </w:pPr>
      <w:r>
        <w:rPr>
          <w:iCs/>
          <w:sz w:val="16"/>
          <w:szCs w:val="16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left="0" w:right="-28" w:hanging="0"/>
        <w:jc w:val="both"/>
        <w:rPr>
          <w:rFonts w:ascii="Times New Roman" w:hAnsi="Times New Roman"/>
          <w:iCs/>
          <w:sz w:val="16"/>
          <w:szCs w:val="16"/>
        </w:rPr>
      </w:pPr>
      <w:r>
        <w:rPr>
          <w:iCs/>
          <w:sz w:val="16"/>
          <w:szCs w:val="16"/>
        </w:rPr>
      </w:r>
    </w:p>
    <w:p>
      <w:pPr>
        <w:pStyle w:val="Normal"/>
        <w:spacing w:before="40" w:after="120"/>
        <w:ind w:left="0" w:right="-28" w:hanging="0"/>
        <w:jc w:val="both"/>
        <w:rPr>
          <w:rFonts w:ascii="Times New Roman" w:hAnsi="Times New Roman"/>
          <w:sz w:val="16"/>
          <w:szCs w:val="16"/>
        </w:rPr>
      </w:pPr>
      <w:r>
        <w:rPr>
          <w:iCs/>
          <w:sz w:val="16"/>
          <w:szCs w:val="16"/>
        </w:rPr>
        <w:t>** Способ подтверждения участником соответствия требованиям указан в таблице в отношении каждой позиции закупаемой продукции"</w:t>
      </w:r>
    </w:p>
    <w:p>
      <w:pPr>
        <w:pStyle w:val="Normal"/>
        <w:ind w:left="2832" w:right="0" w:firstLine="708"/>
        <w:rPr/>
      </w:pPr>
      <w:r>
        <w:rPr/>
      </w:r>
    </w:p>
    <w:sectPr>
      <w:headerReference w:type="default" r:id="rId7"/>
      <w:headerReference w:type="first" r:id="rId8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0"/>
      </w:numPr>
      <w:ind w:left="1224" w:right="0" w:hanging="504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numPr>
        <w:ilvl w:val="0"/>
        <w:numId w:val="0"/>
      </w:numPr>
      <w:ind w:left="1224" w:right="0" w:hanging="504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tabs>
        <w:tab w:val="clear" w:pos="708"/>
        <w:tab w:val="left" w:pos="0" w:leader="none"/>
      </w:tabs>
      <w:spacing w:before="120" w:after="60"/>
      <w:ind w:left="1224" w:right="0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ind w:left="1224" w:right="0" w:hanging="504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Основной шрифт абзаца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jc w:val="center"/>
    </w:pPr>
    <w:rPr>
      <w:b/>
      <w:bCs/>
    </w:rPr>
  </w:style>
  <w:style w:type="paragraph" w:styleId="Style38">
    <w:name w:val="Заголовок списка"/>
    <w:basedOn w:val="Normal"/>
    <w:next w:val="Style39"/>
    <w:qFormat/>
    <w:pPr>
      <w:ind w:left="0" w:right="0" w:hanging="0"/>
    </w:pPr>
    <w:rPr/>
  </w:style>
  <w:style w:type="paragraph" w:styleId="Style39">
    <w:name w:val="Содержимое списка"/>
    <w:basedOn w:val="Normal"/>
    <w:qFormat/>
    <w:pPr>
      <w:ind w:left="567" w:right="0" w:hanging="0"/>
    </w:pPr>
    <w:rPr/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3125</TotalTime>
  <Application>AlterOffice/3.4.0.9$Linux_X86_64 LibreOffice_project/b8daf9e823b1a5463a2f48435ddc2e8696e7d4fc</Application>
  <AppVersion>15.0000</AppVersion>
  <Pages>13</Pages>
  <Words>2137</Words>
  <Characters>14417</Characters>
  <CharactersWithSpaces>16143</CharactersWithSpaces>
  <Paragraphs>428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2024-07-19T04:39:00Z</dcterms:created>
  <dc:creator>Тимофеев Александр Викторович</dc:creator>
  <dc:description/>
  <dc:language>ru-RU</dc:language>
  <cp:lastModifiedBy>gladkihaa</cp:lastModifiedBy>
  <cp:lastPrinted>2026-10-01T18:31:21Z</cp:lastPrinted>
  <dcterms:modified xsi:type="dcterms:W3CDTF">2026-10-01T18:59:09Z</dcterms:modified>
  <cp:revision>110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