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jc w:val="both"/>
        <w:rPr>
          <w:b/>
          <w:bCs/>
          <w:sz w:val="26"/>
          <w:szCs w:val="26"/>
        </w:rPr>
      </w:pPr>
      <w:r>
        <w:rPr>
          <w:b/>
          <w:bCs/>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both"/>
        <w:rPr>
          <w:sz w:val="26"/>
          <w:szCs w:val="26"/>
        </w:rPr>
      </w:pPr>
      <w:r>
        <w:rPr>
          <w:sz w:val="26"/>
          <w:szCs w:val="26"/>
        </w:rPr>
      </w:r>
    </w:p>
    <w:p>
      <w:pPr>
        <w:pStyle w:val="Normal"/>
        <w:keepNext w:val="true"/>
        <w:jc w:val="center"/>
        <w:rPr>
          <w:rFonts w:eastAsia="Calibri"/>
          <w:b/>
        </w:rPr>
      </w:pPr>
      <w:r>
        <w:rPr>
          <w:rFonts w:eastAsia="Calibri"/>
          <w:b/>
        </w:rPr>
        <w:t xml:space="preserve">Технические требования </w:t>
      </w:r>
    </w:p>
    <w:p>
      <w:pPr>
        <w:pStyle w:val="Normal"/>
        <w:keepNext w:val="true"/>
        <w:jc w:val="center"/>
        <w:rPr>
          <w:rFonts w:eastAsia="Calibri"/>
          <w:b/>
          <w:sz w:val="26"/>
          <w:szCs w:val="26"/>
        </w:rPr>
      </w:pPr>
      <w:r>
        <w:rPr>
          <w:rFonts w:eastAsia="Calibri"/>
          <w:b/>
          <w:sz w:val="26"/>
          <w:szCs w:val="26"/>
        </w:rPr>
      </w:r>
    </w:p>
    <w:p>
      <w:pPr>
        <w:pStyle w:val="Normal"/>
        <w:keepNext w:val="true"/>
        <w:jc w:val="center"/>
        <w:rPr>
          <w:rFonts w:eastAsia="Calibri"/>
          <w:b/>
          <w:sz w:val="26"/>
          <w:szCs w:val="26"/>
        </w:rPr>
      </w:pPr>
      <w:r>
        <w:rPr>
          <w:rFonts w:eastAsia="Calibri"/>
          <w:b/>
          <w:sz w:val="26"/>
          <w:szCs w:val="26"/>
        </w:rPr>
      </w:r>
    </w:p>
    <w:p>
      <w:pPr>
        <w:pStyle w:val="Normal"/>
        <w:tabs>
          <w:tab w:val="clear" w:pos="708"/>
          <w:tab w:val="left" w:pos="426" w:leader="none"/>
        </w:tabs>
        <w:spacing w:before="120" w:after="120"/>
        <w:jc w:val="center"/>
        <w:rPr>
          <w:sz w:val="26"/>
          <w:szCs w:val="26"/>
        </w:rPr>
      </w:pPr>
      <w:r>
        <w:rPr>
          <w:rFonts w:eastAsia="Calibri"/>
          <w:sz w:val="26"/>
          <w:szCs w:val="26"/>
        </w:rPr>
        <w:t>«</w:t>
      </w:r>
      <w:r>
        <w:rPr>
          <w:rStyle w:val="Style8"/>
          <w:rFonts w:eastAsia="Calibri"/>
          <w:i w:val="false"/>
          <w:color w:val="000000"/>
          <w:shd w:fill="auto" w:val="clear"/>
        </w:rPr>
        <w:t xml:space="preserve">Комплексная </w:t>
      </w:r>
      <w:r>
        <w:rPr>
          <w:rStyle w:val="Style8"/>
          <w:rFonts w:eastAsia="Calibri"/>
          <w:i w:val="false"/>
          <w:color w:val="000000"/>
          <w:szCs w:val="26"/>
          <w:shd w:fill="auto" w:val="clear"/>
        </w:rPr>
        <w:t>замена гидроагрегата ст.№5 Нижегородской ГЭС</w:t>
      </w:r>
      <w:r>
        <w:rPr>
          <w:rFonts w:eastAsia="Calibri"/>
          <w:b/>
          <w:i/>
          <w:sz w:val="26"/>
          <w:szCs w:val="26"/>
        </w:rPr>
        <w:t>»</w:t>
      </w:r>
    </w:p>
    <w:p>
      <w:pPr>
        <w:pStyle w:val="Normal"/>
        <w:keepNext w:val="true"/>
        <w:jc w:val="center"/>
        <w:rPr>
          <w:rFonts w:eastAsia="Calibri"/>
          <w:b/>
          <w:i/>
          <w:i/>
          <w:sz w:val="26"/>
          <w:szCs w:val="26"/>
        </w:rPr>
      </w:pPr>
      <w:r>
        <w:rPr>
          <w:rFonts w:eastAsia="Calibri"/>
          <w:b/>
          <w:sz w:val="26"/>
          <w:szCs w:val="26"/>
        </w:rPr>
        <w:t xml:space="preserve">Лот № 0132-ТПИР ОБСЛ-2026-НижГЭС </w:t>
      </w:r>
    </w:p>
    <w:p>
      <w:pPr>
        <w:pStyle w:val="Normal"/>
        <w:keepNext w:val="true"/>
        <w:jc w:val="both"/>
        <w:rPr>
          <w:rFonts w:eastAsia="Calibri"/>
          <w:b/>
          <w:i/>
          <w:i/>
          <w:sz w:val="26"/>
          <w:szCs w:val="26"/>
        </w:rPr>
      </w:pPr>
      <w:r>
        <w:rPr>
          <w:rFonts w:eastAsia="Calibri"/>
          <w:b/>
          <w:i/>
          <w:sz w:val="26"/>
          <w:szCs w:val="26"/>
        </w:rPr>
      </w:r>
    </w:p>
    <w:p>
      <w:pPr>
        <w:pStyle w:val="Normal"/>
        <w:keepNext w:val="true"/>
        <w:jc w:val="both"/>
        <w:rPr>
          <w:sz w:val="26"/>
          <w:szCs w:val="26"/>
        </w:rPr>
      </w:pPr>
      <w:r>
        <w:rPr>
          <w:sz w:val="26"/>
          <w:szCs w:val="26"/>
        </w:rPr>
      </w:r>
    </w:p>
    <w:p>
      <w:pPr>
        <w:pStyle w:val="Normal"/>
        <w:jc w:val="both"/>
        <w:rPr>
          <w:sz w:val="26"/>
          <w:szCs w:val="26"/>
        </w:rPr>
      </w:pPr>
      <w:r>
        <w:rPr>
          <w:sz w:val="26"/>
          <w:szCs w:val="26"/>
        </w:rPr>
      </w:r>
      <w:r>
        <w:br w:type="page"/>
      </w:r>
    </w:p>
    <w:p>
      <w:pPr>
        <w:pStyle w:val="Normal"/>
        <w:jc w:val="center"/>
        <w:rPr>
          <w:b/>
        </w:rPr>
      </w:pPr>
      <w:r>
        <w:rPr>
          <w:b/>
        </w:rPr>
        <w:t>СОДЕРЖАНИЕ</w:t>
      </w:r>
    </w:p>
    <w:p>
      <w:pPr>
        <w:pStyle w:val="ListParagraph"/>
        <w:numPr>
          <w:ilvl w:val="0"/>
          <w:numId w:val="22"/>
        </w:numPr>
        <w:ind w:hanging="0" w:left="426"/>
        <w:jc w:val="both"/>
        <w:rPr>
          <w:b/>
          <w:sz w:val="28"/>
          <w:szCs w:val="28"/>
        </w:rPr>
      </w:pPr>
      <w:r>
        <w:rPr>
          <w:b/>
          <w:sz w:val="28"/>
          <w:szCs w:val="28"/>
        </w:rPr>
        <w:t>Общие сведения</w:t>
        <w:tab/>
        <w:tab/>
        <w:tab/>
        <w:tab/>
        <w:tab/>
        <w:tab/>
        <w:tab/>
        <w:tab/>
        <w:tab/>
        <w:tab/>
        <w:t>3</w:t>
      </w:r>
    </w:p>
    <w:p>
      <w:pPr>
        <w:pStyle w:val="ListParagraph"/>
        <w:numPr>
          <w:ilvl w:val="1"/>
          <w:numId w:val="22"/>
        </w:numPr>
        <w:ind w:hanging="0" w:left="426"/>
        <w:rPr>
          <w:sz w:val="28"/>
          <w:szCs w:val="28"/>
        </w:rPr>
      </w:pPr>
      <w:r>
        <w:rPr>
          <w:sz w:val="28"/>
          <w:szCs w:val="28"/>
        </w:rPr>
        <w:t>Обозначения и сокращения</w:t>
        <w:tab/>
        <w:tab/>
        <w:tab/>
        <w:tab/>
        <w:tab/>
        <w:tab/>
        <w:tab/>
        <w:t>3</w:t>
      </w:r>
    </w:p>
    <w:p>
      <w:pPr>
        <w:pStyle w:val="ListParagraph"/>
        <w:numPr>
          <w:ilvl w:val="1"/>
          <w:numId w:val="22"/>
        </w:numPr>
        <w:ind w:hanging="0" w:left="426"/>
        <w:rPr>
          <w:sz w:val="28"/>
          <w:szCs w:val="28"/>
          <w:lang w:val="en-US"/>
        </w:rPr>
      </w:pPr>
      <w:r>
        <w:rPr>
          <w:sz w:val="28"/>
          <w:szCs w:val="28"/>
        </w:rPr>
        <w:t>Наименование закупаемой продукции</w:t>
        <w:tab/>
        <w:tab/>
        <w:tab/>
        <w:tab/>
        <w:tab/>
      </w:r>
      <w:r>
        <w:rPr>
          <w:sz w:val="28"/>
          <w:szCs w:val="28"/>
          <w:lang w:val="en-US"/>
        </w:rPr>
        <w:t>7</w:t>
      </w:r>
    </w:p>
    <w:p>
      <w:pPr>
        <w:pStyle w:val="ListParagraph"/>
        <w:numPr>
          <w:ilvl w:val="1"/>
          <w:numId w:val="22"/>
        </w:numPr>
        <w:ind w:hanging="0" w:left="426"/>
        <w:rPr>
          <w:sz w:val="28"/>
          <w:szCs w:val="28"/>
          <w:lang w:val="en-US"/>
        </w:rPr>
      </w:pPr>
      <w:r>
        <w:rPr>
          <w:sz w:val="28"/>
          <w:szCs w:val="28"/>
        </w:rPr>
        <w:t>Цель использования закупаемой продукции</w:t>
        <w:tab/>
        <w:tab/>
        <w:tab/>
        <w:tab/>
      </w:r>
      <w:r>
        <w:rPr>
          <w:sz w:val="28"/>
          <w:szCs w:val="28"/>
          <w:lang w:val="en-US"/>
        </w:rPr>
        <w:t>7</w:t>
      </w:r>
    </w:p>
    <w:p>
      <w:pPr>
        <w:pStyle w:val="ListParagraph"/>
        <w:numPr>
          <w:ilvl w:val="1"/>
          <w:numId w:val="22"/>
        </w:numPr>
        <w:ind w:hanging="0" w:left="426"/>
        <w:rPr>
          <w:sz w:val="28"/>
          <w:szCs w:val="28"/>
          <w:lang w:val="en-US"/>
        </w:rPr>
      </w:pPr>
      <w:r>
        <w:rPr>
          <w:sz w:val="28"/>
          <w:szCs w:val="28"/>
        </w:rPr>
        <w:t>Существующее положение</w:t>
        <w:tab/>
        <w:tab/>
        <w:tab/>
        <w:tab/>
        <w:tab/>
        <w:tab/>
        <w:tab/>
      </w:r>
      <w:r>
        <w:rPr>
          <w:sz w:val="28"/>
          <w:szCs w:val="28"/>
          <w:lang w:val="en-US"/>
        </w:rPr>
        <w:t>18</w:t>
      </w:r>
    </w:p>
    <w:p>
      <w:pPr>
        <w:pStyle w:val="ListParagraph"/>
        <w:numPr>
          <w:ilvl w:val="1"/>
          <w:numId w:val="22"/>
        </w:numPr>
        <w:ind w:hanging="0" w:left="426"/>
        <w:rPr>
          <w:sz w:val="28"/>
          <w:szCs w:val="28"/>
        </w:rPr>
      </w:pPr>
      <w:r>
        <w:rPr>
          <w:sz w:val="28"/>
          <w:szCs w:val="28"/>
        </w:rPr>
        <w:t>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 18</w:t>
      </w:r>
    </w:p>
    <w:p>
      <w:pPr>
        <w:pStyle w:val="ListParagraph"/>
        <w:numPr>
          <w:ilvl w:val="1"/>
          <w:numId w:val="22"/>
        </w:numPr>
        <w:ind w:hanging="0" w:left="426"/>
        <w:rPr>
          <w:sz w:val="28"/>
          <w:szCs w:val="28"/>
        </w:rPr>
      </w:pPr>
      <w:bookmarkStart w:id="0" w:name="_Toc54970181"/>
      <w:r>
        <w:rPr>
          <w:sz w:val="28"/>
          <w:szCs w:val="28"/>
        </w:rPr>
        <w:t>Иные требования и сведения общего характера</w:t>
      </w:r>
      <w:bookmarkEnd w:id="0"/>
      <w:r>
        <w:rPr>
          <w:sz w:val="28"/>
          <w:szCs w:val="28"/>
        </w:rPr>
        <w:tab/>
        <w:tab/>
        <w:tab/>
        <w:tab/>
        <w:t>11</w:t>
      </w:r>
    </w:p>
    <w:p>
      <w:pPr>
        <w:pStyle w:val="ListParagraph"/>
        <w:keepNext w:val="true"/>
        <w:numPr>
          <w:ilvl w:val="0"/>
          <w:numId w:val="22"/>
        </w:numPr>
        <w:ind w:hanging="0" w:left="426"/>
        <w:jc w:val="both"/>
        <w:rPr>
          <w:b/>
          <w:sz w:val="28"/>
          <w:szCs w:val="28"/>
        </w:rPr>
      </w:pPr>
      <w:r>
        <w:rPr>
          <w:b/>
          <w:sz w:val="28"/>
          <w:szCs w:val="28"/>
          <w:lang w:val="en-US"/>
        </w:rPr>
        <w:t>Требования к продукции</w:t>
        <w:tab/>
        <w:tab/>
        <w:tab/>
        <w:tab/>
        <w:tab/>
        <w:tab/>
        <w:tab/>
        <w:tab/>
        <w:t>12</w:t>
      </w:r>
    </w:p>
    <w:p>
      <w:pPr>
        <w:pStyle w:val="ListParagraph"/>
        <w:keepNext w:val="true"/>
        <w:numPr>
          <w:ilvl w:val="1"/>
          <w:numId w:val="24"/>
        </w:numPr>
        <w:ind w:hanging="0" w:left="426"/>
        <w:jc w:val="both"/>
        <w:rPr>
          <w:sz w:val="28"/>
          <w:szCs w:val="28"/>
        </w:rPr>
      </w:pPr>
      <w:bookmarkStart w:id="1" w:name="_Toc54970183"/>
      <w:r>
        <w:rPr>
          <w:sz w:val="28"/>
          <w:szCs w:val="28"/>
        </w:rPr>
        <w:t>Требования по объемам и срокам</w:t>
      </w:r>
      <w:bookmarkStart w:id="2" w:name="_Toc54970190"/>
      <w:bookmarkEnd w:id="1"/>
      <w:r>
        <w:rPr>
          <w:sz w:val="28"/>
          <w:szCs w:val="28"/>
        </w:rPr>
        <w:tab/>
        <w:tab/>
        <w:tab/>
        <w:tab/>
        <w:tab/>
        <w:tab/>
        <w:t>12</w:t>
      </w:r>
    </w:p>
    <w:p>
      <w:pPr>
        <w:pStyle w:val="ListParagraph"/>
        <w:keepNext w:val="true"/>
        <w:numPr>
          <w:ilvl w:val="1"/>
          <w:numId w:val="24"/>
        </w:numPr>
        <w:ind w:hanging="0" w:left="426"/>
        <w:jc w:val="both"/>
        <w:rPr>
          <w:sz w:val="28"/>
          <w:szCs w:val="28"/>
        </w:rPr>
      </w:pPr>
      <w:r>
        <w:rPr>
          <w:sz w:val="28"/>
          <w:szCs w:val="28"/>
        </w:rPr>
        <w:t>Требования к качеству продукции</w:t>
      </w:r>
      <w:bookmarkEnd w:id="2"/>
      <w:r>
        <w:rPr>
          <w:sz w:val="28"/>
          <w:szCs w:val="28"/>
        </w:rPr>
        <w:tab/>
        <w:tab/>
        <w:tab/>
        <w:tab/>
        <w:tab/>
        <w:tab/>
      </w:r>
      <w:r>
        <w:rPr>
          <w:sz w:val="28"/>
          <w:szCs w:val="28"/>
          <w:lang w:val="en-US"/>
        </w:rPr>
        <w:t>15</w:t>
      </w:r>
    </w:p>
    <w:p>
      <w:pPr>
        <w:pStyle w:val="ListParagraph"/>
        <w:keepNext w:val="true"/>
        <w:numPr>
          <w:ilvl w:val="0"/>
          <w:numId w:val="22"/>
        </w:numPr>
        <w:ind w:hanging="0" w:left="426"/>
        <w:jc w:val="both"/>
        <w:rPr>
          <w:b/>
          <w:sz w:val="28"/>
          <w:szCs w:val="28"/>
        </w:rPr>
      </w:pPr>
      <w:r>
        <w:rPr>
          <w:b/>
          <w:sz w:val="28"/>
          <w:szCs w:val="28"/>
        </w:rPr>
        <w:t>Требования к документации по ценообразованию</w:t>
        <w:tab/>
        <w:tab/>
        <w:tab/>
        <w:tab/>
      </w:r>
      <w:r>
        <w:rPr>
          <w:b/>
          <w:sz w:val="28"/>
          <w:szCs w:val="28"/>
          <w:lang w:val="en-US"/>
        </w:rPr>
        <w:t>56</w:t>
      </w:r>
    </w:p>
    <w:p>
      <w:pPr>
        <w:pStyle w:val="ListParagraph"/>
        <w:keepNext w:val="true"/>
        <w:ind w:left="426"/>
        <w:jc w:val="both"/>
        <w:rPr>
          <w:sz w:val="28"/>
          <w:szCs w:val="28"/>
        </w:rPr>
      </w:pPr>
      <w:r>
        <w:rPr>
          <w:sz w:val="28"/>
          <w:szCs w:val="28"/>
        </w:rPr>
        <w:t>3.1. Требования к документации по ценообразованию на этапе закупки</w:t>
        <w:tab/>
        <w:t>56</w:t>
      </w:r>
    </w:p>
    <w:p>
      <w:pPr>
        <w:pStyle w:val="ListParagraph"/>
        <w:keepNext w:val="true"/>
        <w:ind w:left="426"/>
        <w:jc w:val="both"/>
        <w:rPr>
          <w:sz w:val="28"/>
          <w:szCs w:val="28"/>
        </w:rPr>
      </w:pPr>
      <w:r>
        <w:rPr>
          <w:sz w:val="28"/>
          <w:szCs w:val="28"/>
        </w:rPr>
        <w:t>3.2.</w:t>
      </w:r>
      <w:bookmarkStart w:id="3" w:name="_Toc54970193"/>
      <w:r>
        <w:rPr>
          <w:sz w:val="28"/>
          <w:szCs w:val="28"/>
        </w:rPr>
        <w:t xml:space="preserve"> Требования к документации по ценообразованию на этапе заключения (исполнения) договора</w:t>
      </w:r>
      <w:bookmarkEnd w:id="3"/>
      <w:r>
        <w:rPr>
          <w:sz w:val="28"/>
          <w:szCs w:val="28"/>
        </w:rPr>
        <w:tab/>
        <w:tab/>
        <w:tab/>
        <w:tab/>
        <w:tab/>
        <w:tab/>
        <w:tab/>
        <w:tab/>
        <w:tab/>
        <w:t>57</w:t>
      </w:r>
    </w:p>
    <w:p>
      <w:pPr>
        <w:pStyle w:val="ListParagraph"/>
        <w:keepNext w:val="true"/>
        <w:ind w:left="426"/>
        <w:jc w:val="both"/>
        <w:rPr>
          <w:sz w:val="28"/>
          <w:szCs w:val="28"/>
          <w:lang w:val="en-US"/>
        </w:rPr>
      </w:pPr>
      <w:r>
        <w:rPr>
          <w:sz w:val="28"/>
          <w:szCs w:val="28"/>
          <w:lang w:val="en-US"/>
        </w:rPr>
        <w:t>3.3. Спецификация</w:t>
        <w:tab/>
        <w:tab/>
        <w:tab/>
        <w:tab/>
        <w:tab/>
        <w:tab/>
        <w:tab/>
        <w:tab/>
        <w:tab/>
        <w:tab/>
        <w:t>60</w:t>
      </w:r>
    </w:p>
    <w:p>
      <w:pPr>
        <w:pStyle w:val="ListParagraph"/>
        <w:keepNext w:val="true"/>
        <w:numPr>
          <w:ilvl w:val="0"/>
          <w:numId w:val="22"/>
        </w:numPr>
        <w:ind w:hanging="0" w:left="426"/>
        <w:jc w:val="both"/>
        <w:rPr>
          <w:b/>
          <w:sz w:val="28"/>
          <w:szCs w:val="28"/>
        </w:rPr>
      </w:pPr>
      <w:r>
        <w:rPr>
          <w:b/>
          <w:sz w:val="28"/>
          <w:szCs w:val="28"/>
        </w:rPr>
        <w:t xml:space="preserve"> </w:t>
      </w:r>
      <w:r>
        <w:rPr>
          <w:b/>
          <w:sz w:val="28"/>
          <w:szCs w:val="28"/>
          <w:lang w:val="en-US"/>
        </w:rPr>
        <w:t>Приложения</w:t>
        <w:tab/>
        <w:tab/>
        <w:tab/>
        <w:tab/>
        <w:tab/>
        <w:tab/>
        <w:tab/>
        <w:tab/>
        <w:tab/>
        <w:tab/>
        <w:t>62</w:t>
      </w:r>
    </w:p>
    <w:p>
      <w:pPr>
        <w:pStyle w:val="Normal"/>
        <w:keepNext w:val="true"/>
        <w:jc w:val="both"/>
        <w:rPr>
          <w:rFonts w:eastAsia="Calibri"/>
          <w:b/>
          <w:i/>
          <w:i/>
          <w:sz w:val="24"/>
          <w:szCs w:val="24"/>
        </w:rPr>
      </w:pPr>
      <w:r>
        <w:rPr>
          <w:rFonts w:eastAsia="Calibri"/>
          <w:b/>
          <w:i/>
          <w:sz w:val="24"/>
          <w:szCs w:val="24"/>
        </w:rPr>
      </w:r>
    </w:p>
    <w:p>
      <w:pPr>
        <w:pStyle w:val="Normal"/>
        <w:rPr>
          <w:rFonts w:eastAsia="Calibri"/>
          <w:b/>
          <w:lang w:val="x-none" w:eastAsia="x-none"/>
        </w:rPr>
      </w:pPr>
      <w:r>
        <w:rPr>
          <w:rFonts w:eastAsia="Calibri"/>
          <w:b/>
          <w:lang w:val="x-none" w:eastAsia="x-none"/>
        </w:rPr>
      </w:r>
      <w:r>
        <w:br w:type="page"/>
      </w:r>
    </w:p>
    <w:p>
      <w:pPr>
        <w:pStyle w:val="Heading1"/>
        <w:numPr>
          <w:ilvl w:val="0"/>
          <w:numId w:val="25"/>
        </w:numPr>
        <w:jc w:val="both"/>
        <w:rPr>
          <w:caps/>
        </w:rPr>
      </w:pPr>
      <w:bookmarkStart w:id="4" w:name="_Toc51339692"/>
      <w:r>
        <w:rPr/>
        <w:t>Общие сведения</w:t>
      </w:r>
      <w:bookmarkEnd w:id="4"/>
    </w:p>
    <w:p>
      <w:pPr>
        <w:pStyle w:val="Heading4"/>
        <w:numPr>
          <w:ilvl w:val="1"/>
          <w:numId w:val="3"/>
        </w:numPr>
        <w:jc w:val="both"/>
        <w:rPr/>
      </w:pPr>
      <w:bookmarkStart w:id="5" w:name="_Toc46743505"/>
      <w:r>
        <w:rPr/>
        <w:t>Обозначения и сокращения</w:t>
      </w:r>
      <w:bookmarkEnd w:id="5"/>
    </w:p>
    <w:p>
      <w:pPr>
        <w:pStyle w:val="Normal"/>
        <w:rPr>
          <w:lang w:val="x-none" w:eastAsia="x-none"/>
        </w:rPr>
      </w:pPr>
      <w:r>
        <w:rPr>
          <w:lang w:val="x-none" w:eastAsia="x-none"/>
        </w:rPr>
      </w:r>
    </w:p>
    <w:tbl>
      <w:tblPr>
        <w:tblW w:w="962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5"/>
        <w:gridCol w:w="7223"/>
      </w:tblGrid>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АРЗ</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аварийно-ремонтный затвор;</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 xml:space="preserve">АСУ Э </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Общестанционная автоматизированная система управления электрооборудованием;</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АРЧМ</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Автоматическое регулирование частоты и перетоков активной мощности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rPr>
            </w:pPr>
            <w:r>
              <w:rPr>
                <w:color w:val="000000"/>
              </w:rPr>
              <w:t>АСУТП</w:t>
            </w:r>
            <w:r>
              <w:rPr>
                <w:color w:val="000000"/>
                <w:lang w:val="en-US"/>
              </w:rPr>
              <w:t xml:space="preserve"> </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 xml:space="preserve">Автоматизированная система управления технологическим процессом </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rPr>
            </w:pPr>
            <w:r>
              <w:rPr>
                <w:lang w:eastAsia="x-none"/>
              </w:rPr>
              <w:t>АИИСКУЭ</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eastAsia="x-none"/>
              </w:rPr>
            </w:pPr>
            <w:r>
              <w:rPr>
                <w:lang w:eastAsia="x-none"/>
              </w:rPr>
              <w:t>Автоматизированная информационно-измерительная система коммерческого учета электроэнергии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АУВ</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автоматика управления выключателем</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lang w:val="en-US"/>
              </w:rPr>
              <w:t>АУПТ</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lang w:val="en-US"/>
              </w:rPr>
              <w:t>Автоматическая установка пожаротушения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РАСП</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Style w:val="Strong2"/>
                <w:b w:val="false"/>
              </w:rPr>
              <w:t>регистраторы аварийных событий и процессов</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гидроагрегат;</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ГГ</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гидрогенератор;</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ГП</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гидроподъемники;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ГПМ</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грузоподъемные механизмы;</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ГРАМ</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система группового регулирования активной мощности;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ГРНРМ</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система группового регулирования напряжения и реактивной мощности;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ДГК</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дугогасящая катушка;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ИД</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lang w:val="en-US"/>
              </w:rPr>
              <w:t>исполнительная документация;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КД</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конструкторская документация;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КПД</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коэффициент полезного действия;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МНУ</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маслонапорная установка;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МНУ ГА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маслонапорная установка гидроагрегата;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МНУ ГП</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маслонапорная установка гидроподъемников;</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НПА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нормативно-правовой акт;</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ПА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lang w:val="en-US"/>
              </w:rPr>
              <w:t>Противоаварийная автоматика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ПНР</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пуско-наладочные работы;</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ППР</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проект производства работ;</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ПОР</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проект организации работ;</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ПТК</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программно–технический комплекс;</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РД</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рабочая документация;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РЗА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релейная защита и автоматика;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РЗА ГА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релейная защита и автоматика гидроагрегата (сетевая автоматика, АУВ, РАСП, блокировка генератора (трансформатора), реализуемая микропроцессорными терминалами РЗА);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САУ ГА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Проектируемая система автоматического управления гидроагрегатом;</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rPr>
            </w:pPr>
            <w:r>
              <w:rPr>
                <w:color w:val="000000"/>
                <w:lang w:val="en-US"/>
              </w:rPr>
              <w:t>Е</w:t>
            </w:r>
            <w:r>
              <w:rPr>
                <w:color w:val="000000"/>
              </w:rPr>
              <w:t>ВУ САУ ГА</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Существующий Единый верхний уровень САУ ГА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СВ</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система возбуждения;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СИ</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средство измерений;</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СК</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 xml:space="preserve">синхронный компенсатор; </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СМР</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строительно-монтажные работы;</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СОПТ</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система оперативного постоянного тока;</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ССПИ</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система сбора и передачи информации;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СТО</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стандарт организации;</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ТВС</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техническое водоснабжение;</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ТЗ</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техническое задание;</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ТО</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техническое обеспечение;</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ТТ</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технические требования;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ТН</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трансформатор напряжения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РЧВ</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регулятор частоты вращения;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ГТС</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851" w:leader="none"/>
              </w:tabs>
              <w:jc w:val="both"/>
              <w:rPr>
                <w:color w:val="000000"/>
              </w:rPr>
            </w:pPr>
            <w:r>
              <w:rPr>
                <w:rStyle w:val="Style8"/>
                <w:b w:val="false"/>
                <w:i w:val="false"/>
                <w:color w:val="000000"/>
                <w:shd w:fill="auto" w:val="clear"/>
              </w:rPr>
              <w:t>гидротехническое сооружение - Здание ГЭС;</w:t>
            </w:r>
          </w:p>
        </w:tc>
      </w:tr>
      <w:tr>
        <w:trPr/>
        <w:tc>
          <w:tcPr>
            <w:tcW w:w="2405" w:type="dxa"/>
            <w:tcBorders>
              <w:left w:val="single" w:sz="4" w:space="0" w:color="000000"/>
              <w:bottom w:val="single" w:sz="4" w:space="0" w:color="000000"/>
              <w:right w:val="single" w:sz="4" w:space="0" w:color="000000"/>
            </w:tcBorders>
          </w:tcPr>
          <w:p>
            <w:pPr>
              <w:pStyle w:val="Normal"/>
              <w:widowControl w:val="false"/>
              <w:jc w:val="both"/>
              <w:rPr/>
            </w:pPr>
            <w:r>
              <w:rPr/>
              <w:t>ЭД</w:t>
            </w:r>
          </w:p>
        </w:tc>
        <w:tc>
          <w:tcPr>
            <w:tcW w:w="7223" w:type="dxa"/>
            <w:tcBorders>
              <w:left w:val="single" w:sz="4" w:space="0" w:color="000000"/>
              <w:bottom w:val="single" w:sz="4" w:space="0" w:color="000000"/>
              <w:right w:val="single" w:sz="4" w:space="0" w:color="000000"/>
            </w:tcBorders>
          </w:tcPr>
          <w:p>
            <w:pPr>
              <w:pStyle w:val="Normal"/>
              <w:widowControl w:val="false"/>
              <w:tabs>
                <w:tab w:val="clear" w:pos="708"/>
                <w:tab w:val="left" w:pos="851" w:leader="none"/>
              </w:tabs>
              <w:jc w:val="both"/>
              <w:rPr>
                <w:color w:val="000000"/>
              </w:rPr>
            </w:pPr>
            <w:r>
              <w:rPr>
                <w:color w:val="000000"/>
              </w:rPr>
              <w:t>эксплуатационная документация</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rPr>
              <w:t>Объект ГА ст.№5</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Style w:val="Style8"/>
                <w:b w:val="false"/>
                <w:bCs/>
                <w:i w:val="false"/>
                <w:iCs/>
                <w:color w:val="000000"/>
                <w:shd w:fill="auto" w:val="clear"/>
              </w:rPr>
              <w:t>Включает в себя гидрог</w:t>
            </w:r>
            <w:r>
              <w:rPr>
                <w:rStyle w:val="Style8"/>
                <w:b w:val="false"/>
                <w:i w:val="false"/>
                <w:color w:val="000000"/>
                <w:shd w:fill="auto" w:val="clear"/>
              </w:rPr>
              <w:t>енератор</w:t>
            </w:r>
            <w:r>
              <w:rPr>
                <w:rStyle w:val="Style8"/>
                <w:b w:val="false"/>
                <w:bCs/>
                <w:i w:val="false"/>
                <w:iCs/>
                <w:color w:val="000000"/>
                <w:shd w:fill="auto" w:val="clear"/>
              </w:rPr>
              <w:t xml:space="preserve"> ст. №5; токопроводы и оборудование 13,8 кВ от генератора ГГ-5 до трансформатора Т-5; систему рабочего и аварийного освещения; систему отопления; систему отбора и компенсации воздуха; гидротурбину ст. №5; систему управления гидравлической турбиной с регулятором частоты вращения, включая МНУ; аварийно-ремонтные затворы (быстропадающие щиты) с сервомоторами, трубопроводами, запорной арматурой и крышками щитового помещения; МНУ гидроподъемников; систему технического водоснабжения гидроагрегата; систему маслоснабжения гидроагрегата; систему пожаротушения гидроагрегата; систему осушения и дренажа гидроагрегата, включая байпас ВБ; донный клапан и трубопровод осушения проточной части с сороудерживающими решетками; систему воздухоснабжения 0,8 МПа гидроагрегата; агрегатная часть системы воздухоснабжения 7,0 МПа ; систему режима СК гидроагрегата; закладные элементы проточной части; люки в проточную часть гидротурбины; приспособления для монтажа, ремонта и обслуживания гидроагрегата; монорельс с ГПМ в шахте турбины; </w:t>
            </w:r>
            <w:r>
              <w:rPr/>
              <w:t>систему релейной защиты генератора; систему релейной защиты блочного трансформатора; релейную защиту системы возбуждения; систему автоматики управления выключателем блока генератор-трансформатор; систему технологических защит, автоматики, управления, сигнализации ГА, (включая вспомогательное оборудование, в тч оборудование режима СК); систему управления вспомогательного оборудования блочного трансформатора;  систему защит, автоматики, управления, сигнализацию аварийно-ремонтных затворов; систему автоматического  пожаротушения генератора; приборы учёта электрической энергии; систему электромагнитной блокировки; систему распределения оперативного тока; систему электропитания; систему возбуждения ГА; систему (шкафы) вторичной коммутации трансформаторов тока, напряжения; ТСПД САУ ГА в части подключения к ЕВУ САУ ГА (АСУЭ; ГРАМ, ГРНРМ.</w:t>
            </w:r>
          </w:p>
          <w:p>
            <w:pPr>
              <w:pStyle w:val="Normal"/>
              <w:widowControl w:val="false"/>
              <w:jc w:val="both"/>
              <w:rPr/>
            </w:pPr>
            <w:r>
              <w:rPr/>
              <w:t xml:space="preserve">– </w:t>
            </w:r>
            <w:r>
              <w:rPr/>
              <w:t>строительные конструкции (потолок, стены, пол, колонны, фундаменты) машинного зала и вспомогательных помещений в машинном зале на отм. 82.50; кожух генератора на отм. 82.50.</w:t>
            </w:r>
          </w:p>
          <w:p>
            <w:pPr>
              <w:pStyle w:val="Normal"/>
              <w:widowControl w:val="false"/>
              <w:jc w:val="both"/>
              <w:rPr/>
            </w:pPr>
            <w:r>
              <w:rPr/>
              <w:t>- строительные конструкции (потолок, стены, пол, колонны, фундаменты) машинного зала, вспомогательных помещений в машинном зале, помещения РУ 13,8 кВ, помещения сборных шин на отм. 78.00; кожух генератора, помещения шахты генератора и шахты холодного воздуха.</w:t>
            </w:r>
          </w:p>
          <w:p>
            <w:pPr>
              <w:pStyle w:val="Normal"/>
              <w:widowControl w:val="false"/>
              <w:jc w:val="both"/>
              <w:rPr/>
            </w:pPr>
            <w:r>
              <w:rPr/>
              <w:t>- строительные конструкции (потолок, стены, пол, колонны, фундаменты, дренаж) машинного зала, вспомогательных помещений в машинном зале, помещения РУ 13,8 кВ на отм. 74.00; шахта турбины.</w:t>
            </w:r>
          </w:p>
          <w:p>
            <w:pPr>
              <w:pStyle w:val="Normal"/>
              <w:widowControl w:val="false"/>
              <w:jc w:val="both"/>
              <w:rPr/>
            </w:pPr>
            <w:r>
              <w:rPr/>
              <w:t>- строительные конструкции (потолок, стены, пол, дренаж) в помещении гидроподъемников, отм. 66.52 (включая подкрановые балки).</w:t>
            </w:r>
          </w:p>
          <w:p>
            <w:pPr>
              <w:pStyle w:val="Normal"/>
              <w:widowControl w:val="false"/>
              <w:jc w:val="both"/>
              <w:rPr/>
            </w:pPr>
            <w:r>
              <w:rPr/>
              <w:t>- строительные конструкции (потолок, стены, пол, дренаж), в помещении байпасов, отм. 60.00.</w:t>
            </w:r>
          </w:p>
          <w:p>
            <w:pPr>
              <w:pStyle w:val="Normal"/>
              <w:widowControl w:val="false"/>
              <w:jc w:val="both"/>
              <w:rPr/>
            </w:pPr>
            <w:r>
              <w:rPr/>
              <w:t xml:space="preserve">- строительные конструкции (потолок, стены, пол, дренаж) в помещении насосной потерны, отм. 50.60. </w:t>
            </w:r>
          </w:p>
          <w:p>
            <w:pPr>
              <w:pStyle w:val="Normal"/>
              <w:widowControl w:val="false"/>
              <w:jc w:val="both"/>
              <w:rPr/>
            </w:pPr>
            <w:r>
              <w:rPr/>
              <w:t>- температурно-осадочный шов между секциями 2 и 3 здания ГЭС.</w:t>
            </w:r>
          </w:p>
          <w:p>
            <w:pPr>
              <w:pStyle w:val="Normal"/>
              <w:widowControl w:val="false"/>
              <w:jc w:val="both"/>
              <w:rPr/>
            </w:pPr>
            <w:r>
              <w:rPr/>
              <w:t>- строительные конструкции (потолок, стены, пол) помещения спиральной камеры (включая бычки водоводов ВБ и конус КРК).</w:t>
            </w:r>
          </w:p>
          <w:p>
            <w:pPr>
              <w:pStyle w:val="Normal"/>
              <w:widowControl w:val="false"/>
              <w:jc w:val="both"/>
              <w:rPr/>
            </w:pPr>
            <w:r>
              <w:rPr/>
              <w:t>- строительные конструкции (потолок, стены, пол) помещения отсасывающей трубы (включая бычки водоводов НБ) и помещений аварийно-ремонтных затворов.</w:t>
            </w:r>
          </w:p>
          <w:p>
            <w:pPr>
              <w:pStyle w:val="Normal"/>
              <w:widowControl w:val="false"/>
              <w:jc w:val="both"/>
              <w:rPr/>
            </w:pPr>
            <w:r>
              <w:rPr/>
              <w:t>- Камера рабочего колеса и сопрягающий пояс.</w:t>
            </w:r>
          </w:p>
          <w:p>
            <w:pPr>
              <w:pStyle w:val="Normal"/>
              <w:widowControl w:val="false"/>
              <w:jc w:val="both"/>
              <w:rPr/>
            </w:pPr>
            <w:r>
              <w:rPr/>
              <w:t>Лестницы, в том числе на оборудовании и в помещениях.</w:t>
            </w:r>
          </w:p>
        </w:tc>
      </w:tr>
      <w:tr>
        <w:trPr/>
        <w:tc>
          <w:tcPr>
            <w:tcW w:w="2405" w:type="dxa"/>
            <w:tcBorders>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w:t>
            </w:r>
            <w:r>
              <w:rPr>
                <w:color w:val="000000"/>
                <w:lang w:val="en-US"/>
              </w:rPr>
              <w:t>Объект ЕВУ САУ ГА</w:t>
            </w:r>
          </w:p>
        </w:tc>
        <w:tc>
          <w:tcPr>
            <w:tcW w:w="7223" w:type="dxa"/>
            <w:tcBorders>
              <w:left w:val="single" w:sz="4" w:space="0" w:color="000000"/>
              <w:bottom w:val="single" w:sz="4" w:space="0" w:color="000000"/>
              <w:right w:val="single" w:sz="4" w:space="0" w:color="000000"/>
            </w:tcBorders>
          </w:tcPr>
          <w:p>
            <w:pPr>
              <w:pStyle w:val="Normal"/>
              <w:widowControl w:val="false"/>
              <w:rPr/>
            </w:pPr>
            <w:r>
              <w:rPr/>
              <w:t>Общестанционная система ЕВУ САУГА представляет собой общую архитектуру верхнего уровня САУ ГА №1-8 с единой структурой ТСПД, топология - дублированная звезда. Для каждого САУ ГА выделен сегмент сети при помощи VLAN. ЕВУ САУ ГА реализован в рамках модернизации ГА№1.</w:t>
            </w:r>
          </w:p>
          <w:p>
            <w:pPr>
              <w:pStyle w:val="Normal"/>
              <w:widowControl w:val="false"/>
              <w:rPr/>
            </w:pPr>
            <w:r>
              <w:rPr/>
              <w:t xml:space="preserve">ЕВУ САУГА построен на резервированном сервере, с программным обеспечением SCADA-системы АСОКУ.   </w:t>
            </w:r>
          </w:p>
          <w:p>
            <w:pPr>
              <w:pStyle w:val="Normal"/>
              <w:widowControl w:val="false"/>
              <w:rPr/>
            </w:pPr>
            <w:r>
              <w:rPr/>
              <w:t>В объем работ входит подключение САУ ГА№ 5 в ЕВУ САУГА/ВУ АСУТП</w:t>
            </w:r>
          </w:p>
        </w:tc>
      </w:tr>
      <w:tr>
        <w:trPr/>
        <w:tc>
          <w:tcPr>
            <w:tcW w:w="2405" w:type="dxa"/>
            <w:tcBorders>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w:t>
            </w:r>
            <w:r>
              <w:rPr>
                <w:color w:val="000000"/>
                <w:lang w:val="en-US"/>
              </w:rPr>
              <w:t>Объект  АСУ Э</w:t>
            </w:r>
          </w:p>
        </w:tc>
        <w:tc>
          <w:tcPr>
            <w:tcW w:w="7223" w:type="dxa"/>
            <w:tcBorders>
              <w:left w:val="single" w:sz="4" w:space="0" w:color="000000"/>
              <w:bottom w:val="single" w:sz="4" w:space="0" w:color="000000"/>
              <w:right w:val="single" w:sz="4" w:space="0" w:color="000000"/>
            </w:tcBorders>
          </w:tcPr>
          <w:p>
            <w:pPr>
              <w:pStyle w:val="Normal"/>
              <w:widowControl w:val="false"/>
              <w:rPr/>
            </w:pPr>
            <w:r>
              <w:rPr/>
              <w:t>Общестанционная АСУ Э предназначена для организации централизованной системы оперативного контроля и управления оборудованием электрической части Нижегородской ГЭС, включает СОТИ АССО. В объем работ входит интеграция терминалов РЗА САУ ГА№ 5 в АСУЭ/ВУ АСУТП</w:t>
            </w:r>
          </w:p>
        </w:tc>
      </w:tr>
      <w:tr>
        <w:trPr/>
        <w:tc>
          <w:tcPr>
            <w:tcW w:w="2405" w:type="dxa"/>
            <w:tcBorders>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w:t>
            </w:r>
            <w:r>
              <w:rPr>
                <w:color w:val="000000"/>
                <w:lang w:val="en-US"/>
              </w:rPr>
              <w:t>Объект ГРАМ</w:t>
            </w:r>
          </w:p>
        </w:tc>
        <w:tc>
          <w:tcPr>
            <w:tcW w:w="7223" w:type="dxa"/>
            <w:tcBorders>
              <w:left w:val="single" w:sz="4" w:space="0" w:color="000000"/>
              <w:bottom w:val="single" w:sz="4" w:space="0" w:color="000000"/>
              <w:right w:val="single" w:sz="4" w:space="0" w:color="000000"/>
            </w:tcBorders>
          </w:tcPr>
          <w:p>
            <w:pPr>
              <w:pStyle w:val="Normal"/>
              <w:widowControl w:val="false"/>
              <w:rPr/>
            </w:pPr>
            <w:r>
              <w:rPr/>
              <w:t xml:space="preserve">Система ГРАМ предназначена для регулирования активной мощности Нижегородской ГЭС путем распределения между ГА суммарной заданной мощности  по определенному критерию и ее отработку через воздействие на САУ включенных в ГРАМ ГА В объем работ входит  подключение САУ ГА № 5 </w:t>
            </w:r>
          </w:p>
        </w:tc>
      </w:tr>
      <w:tr>
        <w:trPr/>
        <w:tc>
          <w:tcPr>
            <w:tcW w:w="2405" w:type="dxa"/>
            <w:tcBorders>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w:t>
            </w:r>
            <w:r>
              <w:rPr>
                <w:color w:val="000000"/>
                <w:lang w:val="en-US"/>
              </w:rPr>
              <w:t>Объект ГРНРМ</w:t>
            </w:r>
          </w:p>
        </w:tc>
        <w:tc>
          <w:tcPr>
            <w:tcW w:w="7223" w:type="dxa"/>
            <w:tcBorders>
              <w:left w:val="single" w:sz="4" w:space="0" w:color="000000"/>
              <w:bottom w:val="single" w:sz="4" w:space="0" w:color="000000"/>
              <w:right w:val="single" w:sz="4" w:space="0" w:color="000000"/>
            </w:tcBorders>
          </w:tcPr>
          <w:p>
            <w:pPr>
              <w:pStyle w:val="Normal"/>
              <w:widowControl w:val="false"/>
              <w:rPr/>
            </w:pPr>
            <w:r>
              <w:rPr>
                <w:color w:val="000000"/>
              </w:rPr>
              <w:t>Система ГРНРМ предназначена для </w:t>
            </w:r>
            <w:r>
              <w:rPr>
                <w:rStyle w:val="Strong"/>
                <w:b w:val="false"/>
                <w:color w:val="000000"/>
              </w:rPr>
              <w:t>автоматического поддержания напряжения на шинах ГЭС и регулирования реактивной мощности</w:t>
            </w:r>
            <w:r>
              <w:rPr>
                <w:color w:val="000000"/>
              </w:rPr>
              <w:t> с соблюдением заданного распределения реактивной мощности между агрегатами с учётом технологических ограничений режимных параметров генераторов. В объем работ входит подключение САУ ГА№ 5</w:t>
            </w:r>
          </w:p>
        </w:tc>
      </w:tr>
      <w:tr>
        <w:trPr/>
        <w:tc>
          <w:tcPr>
            <w:tcW w:w="2405" w:type="dxa"/>
            <w:tcBorders>
              <w:left w:val="single" w:sz="4" w:space="0" w:color="000000"/>
              <w:bottom w:val="single" w:sz="4" w:space="0" w:color="000000"/>
              <w:right w:val="single" w:sz="4" w:space="0" w:color="000000"/>
            </w:tcBorders>
          </w:tcPr>
          <w:p>
            <w:pPr>
              <w:pStyle w:val="Normal"/>
              <w:widowControl w:val="false"/>
              <w:rPr>
                <w:color w:val="000000"/>
                <w:lang w:val="en-US"/>
              </w:rPr>
            </w:pPr>
            <w:r>
              <w:rPr>
                <w:color w:val="000000"/>
                <w:lang w:val="en-US"/>
              </w:rPr>
              <w:t>‍</w:t>
            </w:r>
            <w:r>
              <w:rPr>
                <w:color w:val="000000"/>
                <w:lang w:val="en-US"/>
              </w:rPr>
              <w:t xml:space="preserve">Объект </w:t>
            </w:r>
            <w:r>
              <w:rPr>
                <w:color w:val="000000"/>
              </w:rPr>
              <w:t>АИИС КУЭ</w:t>
            </w:r>
          </w:p>
        </w:tc>
        <w:tc>
          <w:tcPr>
            <w:tcW w:w="7223" w:type="dxa"/>
            <w:tcBorders>
              <w:left w:val="single" w:sz="4" w:space="0" w:color="000000"/>
              <w:bottom w:val="single" w:sz="4" w:space="0" w:color="000000"/>
              <w:right w:val="single" w:sz="4" w:space="0" w:color="000000"/>
            </w:tcBorders>
          </w:tcPr>
          <w:p>
            <w:pPr>
              <w:pStyle w:val="Normal"/>
              <w:widowControl w:val="false"/>
              <w:rPr/>
            </w:pPr>
            <w:r>
              <w:rPr/>
              <w:t>АИИС КУЭ предназначена для контроля и учета отпущенной и потребленной электроэнергии. В объем работ входит подключение приборов учета № 5 с обеспечением мероприятий по МЕО</w:t>
            </w:r>
          </w:p>
        </w:tc>
      </w:tr>
      <w:tr>
        <w:trPr/>
        <w:tc>
          <w:tcPr>
            <w:tcW w:w="240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lang w:val="en-US"/>
              </w:rPr>
            </w:pPr>
            <w:r>
              <w:rPr>
                <w:color w:val="000000"/>
                <w:lang w:val="en-US"/>
              </w:rPr>
              <w:t>«Под ключ»</w:t>
            </w:r>
          </w:p>
        </w:tc>
        <w:tc>
          <w:tcPr>
            <w:tcW w:w="722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eastAsia="x-none"/>
              </w:rPr>
            </w:pPr>
            <w:r>
              <w:rPr>
                <w:lang w:eastAsia="x-none"/>
              </w:rPr>
              <w:t>Под ключ (</w:t>
            </w:r>
            <w:r>
              <w:rPr>
                <w:lang w:val="en-US" w:eastAsia="x-none"/>
              </w:rPr>
              <w:t>EPC</w:t>
            </w:r>
            <w:r>
              <w:rPr>
                <w:lang w:eastAsia="x-none"/>
              </w:rPr>
              <w:t>-контракт) означает контракт «полного цикла», по которому Подрядчик выполняет:</w:t>
            </w:r>
          </w:p>
          <w:p>
            <w:pPr>
              <w:pStyle w:val="Normal"/>
              <w:widowControl w:val="false"/>
              <w:ind w:firstLine="708"/>
              <w:jc w:val="both"/>
              <w:rPr>
                <w:lang w:eastAsia="x-none"/>
              </w:rPr>
            </w:pPr>
            <w:r>
              <w:rPr>
                <w:lang w:eastAsia="x-none"/>
              </w:rPr>
              <w:t>- проектно-изыскательские работы и получение всей необходимой разрешительной документации и необходимых для эксплуатации согласований;</w:t>
            </w:r>
          </w:p>
          <w:p>
            <w:pPr>
              <w:pStyle w:val="Normal"/>
              <w:widowControl w:val="false"/>
              <w:ind w:firstLine="708"/>
              <w:jc w:val="both"/>
              <w:rPr>
                <w:lang w:eastAsia="x-none"/>
              </w:rPr>
            </w:pPr>
            <w:r>
              <w:rPr>
                <w:lang w:eastAsia="x-none"/>
              </w:rPr>
              <w:t>- изготовление, закупку и поставку материалов и оборудования для реализации проекта;</w:t>
            </w:r>
          </w:p>
          <w:p>
            <w:pPr>
              <w:pStyle w:val="Normal"/>
              <w:widowControl w:val="false"/>
              <w:ind w:firstLine="708"/>
              <w:jc w:val="both"/>
              <w:rPr>
                <w:lang w:eastAsia="x-none"/>
              </w:rPr>
            </w:pPr>
            <w:r>
              <w:rPr>
                <w:lang w:eastAsia="x-none"/>
              </w:rPr>
              <w:t>- строительно-монтажные и пуско-наладочные работы с обеспечением шеф-монтажа, шеф-наладки и авторского надзора.</w:t>
            </w:r>
          </w:p>
          <w:p>
            <w:pPr>
              <w:pStyle w:val="Normal"/>
              <w:widowControl w:val="false"/>
              <w:jc w:val="both"/>
              <w:rPr>
                <w:lang w:eastAsia="x-none"/>
              </w:rPr>
            </w:pPr>
            <w:r>
              <w:rPr>
                <w:lang w:eastAsia="x-none"/>
              </w:rPr>
              <w:t>Подрядчик по договору реализует проект «под ключ» и несет все риски, связанные с его реализацией с момента обследования, проектирования и до момента ввода готового объекта в эксплуатацию, передачи готового объекта Заказчику. Берет на себя ответственность и риски в пределах гарантийного срока.</w:t>
            </w:r>
          </w:p>
        </w:tc>
      </w:tr>
    </w:tbl>
    <w:p>
      <w:pPr>
        <w:pStyle w:val="Normal"/>
        <w:keepNext w:val="true"/>
        <w:jc w:val="both"/>
        <w:rPr>
          <w:sz w:val="24"/>
          <w:szCs w:val="24"/>
        </w:rPr>
      </w:pPr>
      <w:r>
        <w:rPr>
          <w:sz w:val="24"/>
          <w:szCs w:val="24"/>
        </w:rPr>
      </w:r>
    </w:p>
    <w:p>
      <w:pPr>
        <w:pStyle w:val="Normal"/>
        <w:keepNext w:val="true"/>
        <w:jc w:val="both"/>
        <w:rPr>
          <w:sz w:val="24"/>
          <w:szCs w:val="24"/>
        </w:rPr>
      </w:pPr>
      <w:r>
        <w:rPr>
          <w:sz w:val="24"/>
          <w:szCs w:val="24"/>
        </w:rPr>
      </w:r>
    </w:p>
    <w:p>
      <w:pPr>
        <w:pStyle w:val="Normal"/>
        <w:rPr>
          <w:sz w:val="24"/>
          <w:szCs w:val="24"/>
        </w:rPr>
      </w:pPr>
      <w:r>
        <w:rPr>
          <w:sz w:val="24"/>
          <w:szCs w:val="24"/>
        </w:rPr>
      </w:r>
      <w:r>
        <w:br w:type="page"/>
      </w:r>
    </w:p>
    <w:p>
      <w:pPr>
        <w:pStyle w:val="Heading4"/>
        <w:numPr>
          <w:ilvl w:val="1"/>
          <w:numId w:val="3"/>
        </w:numPr>
        <w:jc w:val="both"/>
        <w:rPr>
          <w:sz w:val="28"/>
          <w:szCs w:val="28"/>
        </w:rPr>
      </w:pPr>
      <w:bookmarkStart w:id="6" w:name="_Toc46743506"/>
      <w:r>
        <w:rPr>
          <w:sz w:val="28"/>
          <w:szCs w:val="28"/>
        </w:rPr>
        <w:t>Наименование закупаемой продукции</w:t>
      </w:r>
      <w:bookmarkEnd w:id="6"/>
    </w:p>
    <w:p>
      <w:pPr>
        <w:pStyle w:val="Normal"/>
        <w:tabs>
          <w:tab w:val="clear" w:pos="708"/>
          <w:tab w:val="left" w:pos="426" w:leader="none"/>
        </w:tabs>
        <w:spacing w:before="120" w:after="120"/>
        <w:jc w:val="both"/>
        <w:rPr>
          <w:bCs/>
          <w:i/>
          <w:i/>
          <w:sz w:val="24"/>
          <w:szCs w:val="24"/>
          <w:shd w:fill="FFFF99" w:val="clear"/>
        </w:rPr>
      </w:pPr>
      <w:bookmarkStart w:id="7" w:name="_Toc46743507"/>
      <w:r>
        <w:rPr>
          <w:rFonts w:eastAsia="Calibri"/>
          <w:color w:val="000000"/>
          <w:lang w:eastAsia="x-none"/>
        </w:rPr>
        <w:t>Замена гидроагрегата ст.№5 Нижегородской ГЭС.</w:t>
      </w:r>
      <w:bookmarkEnd w:id="7"/>
    </w:p>
    <w:p>
      <w:pPr>
        <w:pStyle w:val="Heading3"/>
        <w:numPr>
          <w:ilvl w:val="1"/>
          <w:numId w:val="8"/>
        </w:numPr>
        <w:tabs>
          <w:tab w:val="clear" w:pos="708"/>
          <w:tab w:val="left" w:pos="1134" w:leader="none"/>
        </w:tabs>
        <w:jc w:val="both"/>
        <w:rPr>
          <w:sz w:val="28"/>
          <w:szCs w:val="28"/>
        </w:rPr>
      </w:pPr>
      <w:r>
        <w:rPr>
          <w:rStyle w:val="Style8"/>
          <w:b/>
          <w:i w:val="false"/>
          <w:sz w:val="28"/>
          <w:szCs w:val="28"/>
          <w:shd w:fill="auto" w:val="clear"/>
          <w:lang w:val="ru-RU"/>
        </w:rPr>
        <w:t>Цели выполнения работ:</w:t>
      </w:r>
    </w:p>
    <w:p>
      <w:pPr>
        <w:pStyle w:val="Heading3"/>
        <w:numPr>
          <w:ilvl w:val="2"/>
          <w:numId w:val="8"/>
        </w:numPr>
        <w:tabs>
          <w:tab w:val="clear" w:pos="708"/>
          <w:tab w:val="left" w:pos="0" w:leader="none"/>
        </w:tabs>
        <w:jc w:val="both"/>
        <w:rPr>
          <w:sz w:val="28"/>
          <w:szCs w:val="28"/>
        </w:rPr>
      </w:pPr>
      <w:r>
        <w:rPr>
          <w:rStyle w:val="Style8"/>
          <w:b/>
          <w:i w:val="false"/>
          <w:sz w:val="28"/>
          <w:szCs w:val="28"/>
          <w:shd w:fill="auto" w:val="clear"/>
          <w:lang w:val="ru-RU"/>
        </w:rPr>
        <w:t xml:space="preserve"> </w:t>
      </w:r>
      <w:r>
        <w:rPr>
          <w:rStyle w:val="Style8"/>
          <w:b/>
          <w:i w:val="false"/>
          <w:sz w:val="28"/>
          <w:szCs w:val="28"/>
          <w:shd w:fill="auto" w:val="clear"/>
        </w:rPr>
        <w:t>Осуществление всего необходимого комплекса работ и услуг, осуществляемых при замене Объектов</w:t>
      </w:r>
      <w:r>
        <w:rPr>
          <w:rStyle w:val="Style8"/>
          <w:b/>
          <w:i w:val="false"/>
          <w:color w:val="000000"/>
          <w:sz w:val="28"/>
          <w:szCs w:val="28"/>
          <w:shd w:fill="auto" w:val="clear"/>
        </w:rPr>
        <w:t xml:space="preserve"> «под ключ».</w:t>
      </w:r>
    </w:p>
    <w:p>
      <w:pPr>
        <w:pStyle w:val="Heading3"/>
        <w:numPr>
          <w:ilvl w:val="2"/>
          <w:numId w:val="8"/>
        </w:numPr>
        <w:tabs>
          <w:tab w:val="clear" w:pos="708"/>
          <w:tab w:val="left" w:pos="0" w:leader="none"/>
        </w:tabs>
        <w:jc w:val="both"/>
        <w:rPr>
          <w:b w:val="false"/>
          <w:sz w:val="28"/>
          <w:szCs w:val="28"/>
        </w:rPr>
      </w:pPr>
      <w:r>
        <w:rPr>
          <w:b w:val="false"/>
          <w:sz w:val="28"/>
          <w:szCs w:val="28"/>
        </w:rPr>
        <w:t>Увеличение установленной мощности ГЭС.</w:t>
      </w:r>
    </w:p>
    <w:p>
      <w:pPr>
        <w:pStyle w:val="Heading3"/>
        <w:numPr>
          <w:ilvl w:val="2"/>
          <w:numId w:val="8"/>
        </w:numPr>
        <w:tabs>
          <w:tab w:val="clear" w:pos="708"/>
          <w:tab w:val="left" w:pos="0" w:leader="none"/>
        </w:tabs>
        <w:jc w:val="both"/>
        <w:rPr>
          <w:b w:val="false"/>
          <w:sz w:val="28"/>
          <w:szCs w:val="28"/>
        </w:rPr>
      </w:pPr>
      <w:r>
        <w:rPr>
          <w:b w:val="false"/>
          <w:sz w:val="28"/>
          <w:szCs w:val="28"/>
        </w:rPr>
        <w:t>Повышение надежности и безопасности эксплуатаци</w:t>
      </w:r>
      <w:r>
        <w:rPr>
          <w:b w:val="false"/>
          <w:sz w:val="28"/>
          <w:szCs w:val="28"/>
          <w:lang w:val="ru-RU"/>
        </w:rPr>
        <w:t>и</w:t>
      </w:r>
      <w:r>
        <w:rPr>
          <w:b w:val="false"/>
          <w:sz w:val="28"/>
          <w:szCs w:val="28"/>
        </w:rPr>
        <w:t xml:space="preserve"> Объектов, сооружений ГЭС.</w:t>
      </w:r>
    </w:p>
    <w:p>
      <w:pPr>
        <w:pStyle w:val="Heading3"/>
        <w:numPr>
          <w:ilvl w:val="3"/>
          <w:numId w:val="8"/>
        </w:numPr>
        <w:tabs>
          <w:tab w:val="clear" w:pos="708"/>
          <w:tab w:val="left" w:pos="0" w:leader="none"/>
          <w:tab w:val="left" w:pos="567" w:leader="none"/>
        </w:tabs>
        <w:jc w:val="both"/>
        <w:rPr>
          <w:b w:val="false"/>
          <w:sz w:val="28"/>
          <w:szCs w:val="28"/>
          <w:lang w:val="ru-RU"/>
        </w:rPr>
      </w:pPr>
      <w:r>
        <w:rPr>
          <w:b w:val="false"/>
          <w:sz w:val="28"/>
          <w:szCs w:val="28"/>
          <w:lang w:val="ru-RU"/>
        </w:rPr>
        <w:t xml:space="preserve">  </w:t>
      </w:r>
      <w:r>
        <w:rPr>
          <w:b w:val="false"/>
          <w:sz w:val="28"/>
          <w:szCs w:val="28"/>
          <w:lang w:val="ru-RU"/>
        </w:rPr>
        <w:t>Задачи:</w:t>
      </w:r>
    </w:p>
    <w:p>
      <w:pPr>
        <w:pStyle w:val="Heading3"/>
        <w:numPr>
          <w:ilvl w:val="4"/>
          <w:numId w:val="8"/>
        </w:numPr>
        <w:tabs>
          <w:tab w:val="clear" w:pos="708"/>
          <w:tab w:val="left" w:pos="0" w:leader="none"/>
          <w:tab w:val="left" w:pos="567" w:leader="none"/>
        </w:tabs>
        <w:jc w:val="both"/>
        <w:rPr>
          <w:b w:val="false"/>
          <w:sz w:val="28"/>
          <w:szCs w:val="28"/>
          <w:lang w:val="ru-RU"/>
        </w:rPr>
      </w:pPr>
      <w:r>
        <w:rPr>
          <w:b w:val="false"/>
          <w:sz w:val="28"/>
          <w:szCs w:val="28"/>
          <w:lang w:val="ru-RU"/>
        </w:rPr>
        <w:t>Проведение необходимых обследований с оформлением отчетов, результатов и их согласованием с Заказчиком. Отчет должен содержать укрупненный полный перечень оборудования, подлежащего демонтажу. В рамках предпроектного обследования должна быть определена этапность выполнения работ по замене оборудования с учетом графика и режима работы Нижегородской ГЭС, наличия резерва и прочих факторов которые могут оказать влияние на сроки выполнения работ.</w:t>
      </w:r>
    </w:p>
    <w:p>
      <w:pPr>
        <w:pStyle w:val="Heading3"/>
        <w:numPr>
          <w:ilvl w:val="4"/>
          <w:numId w:val="8"/>
        </w:numPr>
        <w:tabs>
          <w:tab w:val="clear" w:pos="708"/>
          <w:tab w:val="left" w:pos="0" w:leader="none"/>
          <w:tab w:val="left" w:pos="567" w:leader="none"/>
        </w:tabs>
        <w:jc w:val="both"/>
        <w:rPr>
          <w:b w:val="false"/>
          <w:sz w:val="28"/>
          <w:szCs w:val="28"/>
          <w:lang w:val="ru-RU"/>
        </w:rPr>
      </w:pPr>
      <w:r>
        <w:rPr>
          <w:b w:val="false"/>
          <w:sz w:val="28"/>
          <w:szCs w:val="28"/>
          <w:lang w:val="ru-RU"/>
        </w:rPr>
        <w:t>Р</w:t>
      </w:r>
      <w:r>
        <w:rPr>
          <w:b w:val="false"/>
          <w:sz w:val="28"/>
          <w:szCs w:val="28"/>
        </w:rPr>
        <w:t>азработка</w:t>
      </w:r>
      <w:r>
        <w:rPr>
          <w:b w:val="false"/>
          <w:sz w:val="28"/>
          <w:szCs w:val="28"/>
          <w:lang w:val="ru-RU"/>
        </w:rPr>
        <w:t xml:space="preserve"> конструкторской и </w:t>
      </w:r>
      <w:r>
        <w:rPr>
          <w:b w:val="false"/>
          <w:sz w:val="28"/>
          <w:szCs w:val="28"/>
        </w:rPr>
        <w:t>рабочей документации, включая ведомости объемов работ и сметную документацию,</w:t>
      </w:r>
      <w:r>
        <w:rPr>
          <w:b w:val="false"/>
          <w:sz w:val="28"/>
          <w:szCs w:val="28"/>
          <w:lang w:val="ru-RU"/>
        </w:rPr>
        <w:t xml:space="preserve"> </w:t>
      </w:r>
      <w:r>
        <w:rPr>
          <w:b w:val="false"/>
          <w:sz w:val="28"/>
          <w:szCs w:val="28"/>
        </w:rPr>
        <w:t xml:space="preserve">с её согласованием у </w:t>
      </w:r>
      <w:r>
        <w:rPr>
          <w:b w:val="false"/>
          <w:sz w:val="28"/>
          <w:szCs w:val="28"/>
          <w:lang w:val="ru-RU"/>
        </w:rPr>
        <w:t>Заказчика</w:t>
      </w:r>
      <w:r>
        <w:rPr>
          <w:b w:val="false"/>
          <w:sz w:val="28"/>
          <w:szCs w:val="28"/>
        </w:rPr>
        <w:t xml:space="preserve"> и</w:t>
      </w:r>
      <w:r>
        <w:rPr>
          <w:b w:val="false"/>
          <w:sz w:val="28"/>
          <w:szCs w:val="28"/>
          <w:lang w:val="ru-RU"/>
        </w:rPr>
        <w:t xml:space="preserve"> </w:t>
      </w:r>
      <w:r>
        <w:rPr>
          <w:b w:val="false"/>
          <w:sz w:val="28"/>
          <w:szCs w:val="28"/>
        </w:rPr>
        <w:t xml:space="preserve">поставка оборудования для замены </w:t>
      </w:r>
      <w:r>
        <w:rPr>
          <w:b w:val="false"/>
          <w:sz w:val="28"/>
          <w:szCs w:val="28"/>
          <w:lang w:val="ru-RU"/>
        </w:rPr>
        <w:t>Объекта ГА ст.№5.</w:t>
      </w:r>
    </w:p>
    <w:p>
      <w:pPr>
        <w:pStyle w:val="Heading3"/>
        <w:numPr>
          <w:ilvl w:val="4"/>
          <w:numId w:val="8"/>
        </w:numPr>
        <w:tabs>
          <w:tab w:val="clear" w:pos="708"/>
          <w:tab w:val="left" w:pos="0" w:leader="none"/>
          <w:tab w:val="left" w:pos="567" w:leader="none"/>
        </w:tabs>
        <w:jc w:val="both"/>
        <w:rPr>
          <w:b w:val="false"/>
          <w:sz w:val="28"/>
          <w:szCs w:val="28"/>
          <w:lang w:val="ru-RU"/>
        </w:rPr>
      </w:pPr>
      <w:r>
        <w:rPr>
          <w:b w:val="false"/>
          <w:sz w:val="28"/>
          <w:szCs w:val="28"/>
          <w:lang w:val="ru-RU"/>
        </w:rPr>
        <w:t xml:space="preserve"> </w:t>
      </w:r>
      <w:r>
        <w:rPr>
          <w:b w:val="false"/>
          <w:sz w:val="28"/>
          <w:szCs w:val="28"/>
          <w:lang w:val="ru-RU"/>
        </w:rPr>
        <w:t>Устранение замечаний, возникших при согласовании рабочей и конструкторской документации с различными организациями (Генпроектировщик, МЭС Центра, МЭС Волги, ОДУ Средней Волги, РДУ, АО «СО ЕЭС»).</w:t>
      </w:r>
    </w:p>
    <w:p>
      <w:pPr>
        <w:pStyle w:val="Heading3"/>
        <w:numPr>
          <w:ilvl w:val="4"/>
          <w:numId w:val="8"/>
        </w:numPr>
        <w:jc w:val="both"/>
        <w:rPr>
          <w:sz w:val="28"/>
          <w:szCs w:val="28"/>
        </w:rPr>
      </w:pPr>
      <w:r>
        <w:rPr>
          <w:b w:val="false"/>
          <w:sz w:val="28"/>
          <w:szCs w:val="28"/>
        </w:rPr>
        <w:t>Замена оборудования</w:t>
      </w:r>
      <w:r>
        <w:rPr>
          <w:b w:val="false"/>
          <w:sz w:val="28"/>
          <w:szCs w:val="28"/>
          <w:lang w:val="ru-RU"/>
        </w:rPr>
        <w:t xml:space="preserve"> Объекта ГА ст.№5</w:t>
      </w:r>
      <w:r>
        <w:rPr>
          <w:b w:val="false"/>
          <w:sz w:val="28"/>
          <w:szCs w:val="28"/>
        </w:rPr>
        <w:t xml:space="preserve"> отработавшего нормативный срок службы</w:t>
      </w:r>
      <w:r>
        <w:rPr>
          <w:b w:val="false"/>
          <w:sz w:val="28"/>
          <w:szCs w:val="28"/>
          <w:lang w:val="ru-RU"/>
        </w:rPr>
        <w:t>.</w:t>
      </w:r>
    </w:p>
    <w:p>
      <w:pPr>
        <w:pStyle w:val="Heading3"/>
        <w:numPr>
          <w:ilvl w:val="4"/>
          <w:numId w:val="8"/>
        </w:numPr>
        <w:jc w:val="both"/>
        <w:rPr>
          <w:b w:val="false"/>
          <w:sz w:val="28"/>
          <w:szCs w:val="28"/>
        </w:rPr>
      </w:pPr>
      <w:r>
        <w:rPr>
          <w:b w:val="false"/>
          <w:sz w:val="28"/>
          <w:szCs w:val="28"/>
        </w:rPr>
        <w:t>Настройка</w:t>
      </w:r>
      <w:r>
        <w:rPr>
          <w:b w:val="false"/>
          <w:sz w:val="28"/>
          <w:szCs w:val="28"/>
          <w:lang w:val="ru-RU"/>
        </w:rPr>
        <w:t xml:space="preserve"> (пусконаладочные работы)</w:t>
      </w:r>
      <w:r>
        <w:rPr>
          <w:b w:val="false"/>
          <w:sz w:val="28"/>
          <w:szCs w:val="28"/>
        </w:rPr>
        <w:t xml:space="preserve"> системы тиристорного самовозбуждения </w:t>
      </w:r>
      <w:r>
        <w:rPr>
          <w:b w:val="false"/>
          <w:sz w:val="28"/>
          <w:szCs w:val="28"/>
          <w:lang w:val="ru-RU"/>
        </w:rPr>
        <w:t>ГГ-5</w:t>
      </w:r>
      <w:r>
        <w:rPr>
          <w:b w:val="false"/>
          <w:sz w:val="28"/>
          <w:szCs w:val="28"/>
        </w:rPr>
        <w:t>.</w:t>
      </w:r>
    </w:p>
    <w:p>
      <w:pPr>
        <w:pStyle w:val="Heading3"/>
        <w:numPr>
          <w:ilvl w:val="4"/>
          <w:numId w:val="8"/>
        </w:numPr>
        <w:jc w:val="both"/>
        <w:rPr>
          <w:b w:val="false"/>
          <w:sz w:val="28"/>
          <w:szCs w:val="28"/>
        </w:rPr>
      </w:pPr>
      <w:r>
        <w:rPr>
          <w:b w:val="false"/>
          <w:sz w:val="28"/>
          <w:szCs w:val="28"/>
          <w:lang w:val="ru-RU"/>
        </w:rPr>
        <w:t>Интеграция в существующий ЕВУ САУ ГА/ВУ АСУТП ПТК САУ ГА ст.№5</w:t>
      </w:r>
      <w:r>
        <w:rPr>
          <w:b w:val="false"/>
          <w:sz w:val="28"/>
          <w:szCs w:val="28"/>
        </w:rPr>
        <w:t>.</w:t>
      </w:r>
    </w:p>
    <w:p>
      <w:pPr>
        <w:pStyle w:val="Heading3"/>
        <w:numPr>
          <w:ilvl w:val="4"/>
          <w:numId w:val="8"/>
        </w:numPr>
        <w:jc w:val="both"/>
        <w:rPr>
          <w:b w:val="false"/>
          <w:sz w:val="28"/>
          <w:szCs w:val="28"/>
        </w:rPr>
      </w:pPr>
      <w:r>
        <w:rPr>
          <w:sz w:val="28"/>
          <w:szCs w:val="28"/>
          <w:lang w:val="ru-RU"/>
        </w:rPr>
        <w:t xml:space="preserve"> </w:t>
      </w:r>
      <w:r>
        <w:rPr>
          <w:b w:val="false"/>
          <w:sz w:val="28"/>
          <w:szCs w:val="28"/>
          <w:lang w:val="ru-RU"/>
        </w:rPr>
        <w:t>Интеграция вновь устанавливаемого для ГА ст.№5 оборудования РЗА и телемеханики в существующую АСУЭ/ВУ АСУТП.</w:t>
      </w:r>
    </w:p>
    <w:p>
      <w:pPr>
        <w:pStyle w:val="Heading3"/>
        <w:numPr>
          <w:ilvl w:val="4"/>
          <w:numId w:val="8"/>
        </w:numPr>
        <w:jc w:val="both"/>
        <w:rPr>
          <w:b w:val="false"/>
          <w:sz w:val="28"/>
          <w:szCs w:val="28"/>
        </w:rPr>
      </w:pPr>
      <w:r>
        <w:rPr>
          <w:b w:val="false"/>
          <w:sz w:val="28"/>
          <w:szCs w:val="28"/>
          <w:lang w:val="ru-RU"/>
        </w:rPr>
        <w:t>Обеспечить подключение вновь устанавливаемого для ГА ст.№5 оборудования к существующим системам ГРАМ, ГРНРМ, АИИС КУЭ.</w:t>
      </w:r>
    </w:p>
    <w:p>
      <w:pPr>
        <w:pStyle w:val="Normal"/>
        <w:numPr>
          <w:ilvl w:val="4"/>
          <w:numId w:val="8"/>
        </w:numPr>
        <w:rPr/>
      </w:pPr>
      <w:r>
        <w:rPr>
          <w:color w:val="000000"/>
        </w:rPr>
        <w:t>Восстановление исправности и полного ресурса оборудования АРЗ отсасывающей трубы, сервомоторов гидроподъемников, трубопроводов и запорной арматуры, устранение дефектов пазов АРЗ. Замена насосной установки МНУ-3 АРЗ с поставкой оборудования.</w:t>
      </w:r>
    </w:p>
    <w:p>
      <w:pPr>
        <w:pStyle w:val="Heading3"/>
        <w:numPr>
          <w:ilvl w:val="3"/>
          <w:numId w:val="8"/>
        </w:numPr>
        <w:tabs>
          <w:tab w:val="clear" w:pos="708"/>
          <w:tab w:val="left" w:pos="142" w:leader="none"/>
        </w:tabs>
        <w:ind w:hanging="0" w:left="0"/>
        <w:jc w:val="both"/>
        <w:rPr>
          <w:b w:val="false"/>
          <w:sz w:val="28"/>
          <w:szCs w:val="28"/>
          <w:lang w:val="ru-RU"/>
        </w:rPr>
      </w:pPr>
      <w:bookmarkStart w:id="8" w:name="_Hlk197962963"/>
      <w:r>
        <w:rPr>
          <w:b w:val="false"/>
          <w:sz w:val="28"/>
          <w:szCs w:val="28"/>
          <w:lang w:val="ru-RU"/>
        </w:rPr>
        <w:t>Все работы по Объектам выполняются «под ключ», результат работ на момент ввода каждого объекта должен соответствовать настоящим требованиям, требованиям действующих НПА и указанным в приложении №11 к настоящему ТТ, НТД, а также ЛНА ПАО «РусГидро»</w:t>
      </w:r>
      <w:bookmarkEnd w:id="8"/>
    </w:p>
    <w:p>
      <w:pPr>
        <w:pStyle w:val="Heading3"/>
        <w:numPr>
          <w:ilvl w:val="3"/>
          <w:numId w:val="8"/>
        </w:numPr>
        <w:tabs>
          <w:tab w:val="clear" w:pos="708"/>
          <w:tab w:val="left" w:pos="142" w:leader="none"/>
        </w:tabs>
        <w:ind w:hanging="0" w:left="0"/>
        <w:jc w:val="both"/>
        <w:rPr>
          <w:b w:val="false"/>
          <w:sz w:val="28"/>
          <w:szCs w:val="28"/>
          <w:lang w:val="ru-RU"/>
        </w:rPr>
      </w:pPr>
      <w:r>
        <w:rPr>
          <w:b w:val="false"/>
          <w:sz w:val="28"/>
          <w:szCs w:val="28"/>
          <w:lang w:val="ru-RU"/>
        </w:rPr>
        <w:t xml:space="preserve">Структура САУ ГА, топология сети, протоколы передачи данных, оборудование должны соответствовать требованиям документов «Типовые проектные решения по САУ ГА и ГРАМ ГЭС/ГАЭС», утвержденные приказом №882 ПАО «РусГидро» от 16.12.2024, в том числе в части компоновки элементов экранных форм для оперативного персонала и «Технической политики Группы РусГидро» протокол от 07.02.2024 №368. </w:t>
      </w:r>
    </w:p>
    <w:p>
      <w:pPr>
        <w:pStyle w:val="Normal"/>
        <w:rPr>
          <w:lang w:eastAsia="x-none"/>
        </w:rPr>
      </w:pPr>
      <w:r>
        <w:rPr>
          <w:lang w:eastAsia="x-none"/>
        </w:rPr>
      </w:r>
    </w:p>
    <w:p>
      <w:pPr>
        <w:pStyle w:val="Heading4"/>
        <w:numPr>
          <w:ilvl w:val="1"/>
          <w:numId w:val="31"/>
        </w:numPr>
        <w:jc w:val="both"/>
        <w:rPr>
          <w:sz w:val="28"/>
          <w:szCs w:val="28"/>
        </w:rPr>
      </w:pPr>
      <w:bookmarkStart w:id="9" w:name="_Toc46743508"/>
      <w:r>
        <w:rPr>
          <w:sz w:val="28"/>
          <w:szCs w:val="28"/>
        </w:rPr>
        <w:t>Существующее положение</w:t>
      </w:r>
      <w:bookmarkEnd w:id="9"/>
    </w:p>
    <w:p>
      <w:pPr>
        <w:pStyle w:val="Normal"/>
        <w:jc w:val="both"/>
        <w:rPr/>
      </w:pPr>
      <w:r>
        <w:rPr/>
      </w:r>
    </w:p>
    <w:p>
      <w:pPr>
        <w:pStyle w:val="Normal"/>
        <w:jc w:val="both"/>
        <w:rPr>
          <w:b/>
          <w:bCs/>
        </w:rPr>
      </w:pPr>
      <w:r>
        <w:rPr>
          <w:b/>
          <w:bCs/>
        </w:rPr>
        <w:t>Основание для выполнения работ</w:t>
      </w:r>
    </w:p>
    <w:p>
      <w:pPr>
        <w:pStyle w:val="Normal"/>
        <w:ind w:right="40"/>
        <w:jc w:val="both"/>
        <w:rPr>
          <w:lang w:eastAsia="en-US"/>
        </w:rPr>
      </w:pPr>
      <w:r>
        <w:rPr>
          <w:lang w:eastAsia="en-US"/>
        </w:rPr>
        <w:t>Программа ТПиР 2025-2030 года</w:t>
      </w:r>
    </w:p>
    <w:p>
      <w:pPr>
        <w:pStyle w:val="Normal"/>
        <w:jc w:val="both"/>
        <w:rPr>
          <w:rFonts w:eastAsia="Calibri"/>
          <w:b/>
          <w:lang w:eastAsia="en-US"/>
        </w:rPr>
      </w:pPr>
      <w:r>
        <w:rPr>
          <w:rFonts w:eastAsia="Calibri"/>
          <w:b/>
          <w:lang w:eastAsia="en-US"/>
        </w:rPr>
        <w:t>Таблица 1</w:t>
      </w:r>
      <w:r>
        <w:rPr>
          <w:rFonts w:eastAsia="Calibri"/>
          <w:b/>
          <w:lang w:val="en-US" w:eastAsia="en-US"/>
        </w:rPr>
        <w:t>.</w:t>
      </w:r>
      <w:r>
        <w:rPr>
          <w:rFonts w:eastAsia="Calibri"/>
          <w:b/>
          <w:lang w:eastAsia="en-US"/>
        </w:rPr>
        <w:t xml:space="preserve"> Состав основного оборудования</w:t>
      </w:r>
    </w:p>
    <w:tbl>
      <w:tblPr>
        <w:tblW w:w="966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310"/>
        <w:gridCol w:w="2388"/>
        <w:gridCol w:w="1136"/>
        <w:gridCol w:w="1718"/>
        <w:gridCol w:w="1838"/>
        <w:gridCol w:w="1277"/>
      </w:tblGrid>
      <w:tr>
        <w:trPr>
          <w:trHeight w:val="60" w:hRule="atLeast"/>
        </w:trPr>
        <w:tc>
          <w:tcPr>
            <w:tcW w:w="13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both"/>
              <w:rPr>
                <w:rFonts w:eastAsia="Courier New"/>
                <w:color w:val="000000"/>
              </w:rPr>
            </w:pPr>
            <w:r>
              <w:rPr>
                <w:rFonts w:eastAsia="Courier New"/>
                <w:color w:val="000000"/>
              </w:rPr>
              <w:t>Установленная мощность, МВт</w:t>
            </w:r>
          </w:p>
        </w:tc>
        <w:tc>
          <w:tcPr>
            <w:tcW w:w="238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both"/>
              <w:rPr>
                <w:rFonts w:eastAsia="Courier New"/>
                <w:color w:val="000000"/>
              </w:rPr>
            </w:pPr>
            <w:r>
              <w:rPr>
                <w:rFonts w:eastAsia="Courier New"/>
                <w:color w:val="000000"/>
              </w:rPr>
              <w:t>Тип гидротурбины и завод изготовитель</w:t>
            </w:r>
          </w:p>
        </w:tc>
        <w:tc>
          <w:tcPr>
            <w:tcW w:w="1136"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ind w:left="-109" w:right="-108"/>
              <w:jc w:val="both"/>
              <w:rPr>
                <w:rFonts w:eastAsia="Courier New"/>
                <w:color w:val="000000"/>
              </w:rPr>
            </w:pPr>
            <w:r>
              <w:rPr>
                <w:rFonts w:eastAsia="Courier New"/>
                <w:color w:val="000000"/>
              </w:rPr>
              <w:t>Кол-во агрегатов</w:t>
            </w:r>
          </w:p>
        </w:tc>
        <w:tc>
          <w:tcPr>
            <w:tcW w:w="171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both"/>
              <w:rPr>
                <w:rFonts w:eastAsia="Courier New"/>
                <w:color w:val="000000"/>
              </w:rPr>
            </w:pPr>
            <w:r>
              <w:rPr>
                <w:rFonts w:eastAsia="Courier New"/>
                <w:color w:val="000000"/>
              </w:rPr>
              <w:t>Тип генератора</w:t>
            </w:r>
          </w:p>
        </w:tc>
        <w:tc>
          <w:tcPr>
            <w:tcW w:w="183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both"/>
              <w:rPr>
                <w:rFonts w:eastAsia="Courier New"/>
                <w:color w:val="000000"/>
              </w:rPr>
            </w:pPr>
            <w:r>
              <w:rPr>
                <w:rFonts w:eastAsia="Courier New"/>
                <w:color w:val="000000"/>
              </w:rPr>
              <w:t>U ном. кВ и завод изготовитель</w:t>
            </w:r>
          </w:p>
        </w:tc>
        <w:tc>
          <w:tcPr>
            <w:tcW w:w="1277"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jc w:val="both"/>
              <w:rPr>
                <w:rFonts w:eastAsia="Courier New"/>
                <w:color w:val="000000"/>
              </w:rPr>
            </w:pPr>
            <w:r>
              <w:rPr>
                <w:rFonts w:eastAsia="Courier New"/>
                <w:color w:val="000000"/>
              </w:rPr>
              <w:t>Год ввода в эксплуатацию</w:t>
            </w:r>
          </w:p>
        </w:tc>
      </w:tr>
      <w:tr>
        <w:trPr>
          <w:trHeight w:val="113" w:hRule="atLeast"/>
        </w:trPr>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65</w:t>
            </w:r>
          </w:p>
        </w:tc>
        <w:tc>
          <w:tcPr>
            <w:tcW w:w="2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К-510-ВБ-900, ЛМЗ</w:t>
            </w:r>
          </w:p>
        </w:tc>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lang w:val="en-US"/>
              </w:rPr>
            </w:pPr>
            <w:r>
              <w:rPr>
                <w:rFonts w:cs="Calibri"/>
                <w:lang w:val="en-US"/>
              </w:rPr>
              <w:t>1</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СВ-1340/150-96</w:t>
            </w:r>
          </w:p>
        </w:tc>
        <w:tc>
          <w:tcPr>
            <w:tcW w:w="1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13,8 кВ, Электросила</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1955</w:t>
            </w:r>
          </w:p>
        </w:tc>
      </w:tr>
      <w:tr>
        <w:trPr>
          <w:trHeight w:val="113" w:hRule="atLeast"/>
        </w:trPr>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65</w:t>
            </w:r>
          </w:p>
        </w:tc>
        <w:tc>
          <w:tcPr>
            <w:tcW w:w="2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К-510-ВБ-900, ЛМЗ</w:t>
            </w:r>
          </w:p>
        </w:tc>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lang w:val="en-US"/>
              </w:rPr>
            </w:pPr>
            <w:r>
              <w:rPr>
                <w:rFonts w:cs="Calibri"/>
                <w:lang w:val="en-US"/>
              </w:rPr>
              <w:t>3</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СВ-1340/150-96</w:t>
            </w:r>
          </w:p>
        </w:tc>
        <w:tc>
          <w:tcPr>
            <w:tcW w:w="1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13,8 кВ, Электросила</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1956</w:t>
            </w:r>
          </w:p>
        </w:tc>
      </w:tr>
      <w:tr>
        <w:trPr>
          <w:trHeight w:val="113" w:hRule="atLeast"/>
        </w:trPr>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68</w:t>
            </w:r>
          </w:p>
        </w:tc>
        <w:tc>
          <w:tcPr>
            <w:tcW w:w="2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К-510-ВБ-900, ЛМЗ</w:t>
            </w:r>
          </w:p>
        </w:tc>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СВ-1340/150-96</w:t>
            </w:r>
          </w:p>
        </w:tc>
        <w:tc>
          <w:tcPr>
            <w:tcW w:w="1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13,8 кВ, Электросила</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1956</w:t>
            </w:r>
          </w:p>
        </w:tc>
      </w:tr>
      <w:tr>
        <w:trPr>
          <w:trHeight w:val="113" w:hRule="atLeast"/>
        </w:trPr>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72,5</w:t>
            </w:r>
          </w:p>
        </w:tc>
        <w:tc>
          <w:tcPr>
            <w:tcW w:w="2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ПЛ20 В-900</w:t>
            </w:r>
          </w:p>
        </w:tc>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СВ-1345/145-96</w:t>
            </w:r>
          </w:p>
        </w:tc>
        <w:tc>
          <w:tcPr>
            <w:tcW w:w="1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13,8 кВ, Электросила</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eastAsia="Courier New"/>
                <w:color w:val="000000"/>
              </w:rPr>
            </w:pPr>
            <w:r>
              <w:rPr>
                <w:rFonts w:cs="Calibri"/>
              </w:rPr>
              <w:t>2021</w:t>
            </w:r>
          </w:p>
        </w:tc>
      </w:tr>
      <w:tr>
        <w:trPr>
          <w:trHeight w:val="113" w:hRule="atLeast"/>
        </w:trPr>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72,5</w:t>
            </w:r>
          </w:p>
        </w:tc>
        <w:tc>
          <w:tcPr>
            <w:tcW w:w="23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ПЛ20 В-900</w:t>
            </w:r>
          </w:p>
        </w:tc>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1</w:t>
            </w:r>
          </w:p>
        </w:tc>
        <w:tc>
          <w:tcPr>
            <w:tcW w:w="17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СВ-1345/145-96</w:t>
            </w:r>
          </w:p>
        </w:tc>
        <w:tc>
          <w:tcPr>
            <w:tcW w:w="18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13,8 кВ, Электросила</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2024</w:t>
            </w:r>
          </w:p>
        </w:tc>
      </w:tr>
      <w:tr>
        <w:trPr>
          <w:trHeight w:val="113" w:hRule="atLeast"/>
        </w:trPr>
        <w:tc>
          <w:tcPr>
            <w:tcW w:w="1310" w:type="dxa"/>
            <w:tcBorders>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72,5</w:t>
            </w:r>
          </w:p>
        </w:tc>
        <w:tc>
          <w:tcPr>
            <w:tcW w:w="2388" w:type="dxa"/>
            <w:tcBorders>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ПЛ20 В-900</w:t>
            </w:r>
          </w:p>
        </w:tc>
        <w:tc>
          <w:tcPr>
            <w:tcW w:w="1136" w:type="dxa"/>
            <w:tcBorders>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1</w:t>
            </w:r>
          </w:p>
        </w:tc>
        <w:tc>
          <w:tcPr>
            <w:tcW w:w="1718" w:type="dxa"/>
            <w:tcBorders>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СВ-1345/145-96</w:t>
            </w:r>
          </w:p>
        </w:tc>
        <w:tc>
          <w:tcPr>
            <w:tcW w:w="1838" w:type="dxa"/>
            <w:tcBorders>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13,8 кВ, Электросила</w:t>
            </w:r>
          </w:p>
        </w:tc>
        <w:tc>
          <w:tcPr>
            <w:tcW w:w="1277" w:type="dxa"/>
            <w:tcBorders>
              <w:left w:val="single" w:sz="4" w:space="0" w:color="000000"/>
              <w:bottom w:val="single" w:sz="4" w:space="0" w:color="000000"/>
              <w:right w:val="single" w:sz="4" w:space="0" w:color="000000"/>
            </w:tcBorders>
            <w:vAlign w:val="center"/>
          </w:tcPr>
          <w:p>
            <w:pPr>
              <w:pStyle w:val="Normal"/>
              <w:widowControl w:val="false"/>
              <w:jc w:val="both"/>
              <w:rPr>
                <w:rFonts w:cs="Calibri"/>
              </w:rPr>
            </w:pPr>
            <w:r>
              <w:rPr>
                <w:rFonts w:cs="Calibri"/>
              </w:rPr>
              <w:t>2026</w:t>
            </w:r>
          </w:p>
        </w:tc>
      </w:tr>
    </w:tbl>
    <w:p>
      <w:pPr>
        <w:pStyle w:val="Normal"/>
        <w:ind w:firstLine="567" w:right="40"/>
        <w:jc w:val="both"/>
        <w:rPr/>
      </w:pPr>
      <w:r>
        <w:rPr/>
      </w:r>
    </w:p>
    <w:p>
      <w:pPr>
        <w:pStyle w:val="Normal"/>
        <w:ind w:firstLine="567" w:right="40"/>
        <w:jc w:val="both"/>
        <w:rPr/>
      </w:pPr>
      <w:r>
        <w:rPr/>
      </w:r>
    </w:p>
    <w:p>
      <w:pPr>
        <w:pStyle w:val="Heading4"/>
        <w:numPr>
          <w:ilvl w:val="1"/>
          <w:numId w:val="9"/>
        </w:numPr>
        <w:ind w:hanging="0" w:left="0"/>
        <w:jc w:val="both"/>
        <w:rPr>
          <w:sz w:val="28"/>
          <w:szCs w:val="28"/>
        </w:rPr>
      </w:pPr>
      <w:bookmarkStart w:id="10" w:name="_Hlk49857604"/>
      <w:bookmarkStart w:id="11" w:name="_Toc46743509"/>
      <w:r>
        <w:rPr>
          <w:sz w:val="28"/>
          <w:szCs w:val="28"/>
        </w:rPr>
        <w:t xml:space="preserve">Информация в отношении исполнения договора, </w:t>
      </w:r>
      <w:bookmarkStart w:id="12" w:name="_Hlk46492347"/>
      <w:r>
        <w:rPr>
          <w:sz w:val="28"/>
          <w:szCs w:val="28"/>
        </w:rPr>
        <w:t xml:space="preserve">которая должна быть учтена при подготовке заявки </w:t>
      </w:r>
      <w:bookmarkEnd w:id="12"/>
      <w:r>
        <w:rPr>
          <w:sz w:val="28"/>
          <w:szCs w:val="28"/>
        </w:rPr>
        <w:t xml:space="preserve">(в том числе перечень ресурсов, услуг и документов, предоставляемых </w:t>
      </w:r>
      <w:r>
        <w:rPr>
          <w:sz w:val="28"/>
          <w:szCs w:val="28"/>
          <w:lang w:val="ru-RU"/>
        </w:rPr>
        <w:t>заказчиком</w:t>
      </w:r>
      <w:r>
        <w:rPr>
          <w:sz w:val="28"/>
          <w:szCs w:val="28"/>
        </w:rPr>
        <w:t xml:space="preserve"> на этапе исполнения договора)</w:t>
      </w:r>
    </w:p>
    <w:p>
      <w:pPr>
        <w:pStyle w:val="Heading4"/>
        <w:numPr>
          <w:ilvl w:val="2"/>
          <w:numId w:val="9"/>
        </w:numPr>
        <w:tabs>
          <w:tab w:val="left" w:pos="0" w:leader="none"/>
          <w:tab w:val="left" w:pos="851" w:leader="none"/>
        </w:tabs>
        <w:ind w:hanging="0" w:left="0"/>
        <w:jc w:val="both"/>
        <w:rPr>
          <w:b w:val="false"/>
          <w:sz w:val="28"/>
          <w:szCs w:val="28"/>
        </w:rPr>
      </w:pPr>
      <w:r>
        <w:rPr>
          <w:b w:val="false"/>
          <w:sz w:val="28"/>
          <w:szCs w:val="28"/>
        </w:rPr>
        <w:t xml:space="preserve">В целях уточнения и детализации информации и дополнительных данных, требуемых для исполнения настоящих ТТ, </w:t>
      </w:r>
      <w:r>
        <w:rPr>
          <w:b w:val="false"/>
          <w:sz w:val="28"/>
          <w:szCs w:val="28"/>
          <w:lang w:val="ru-RU"/>
        </w:rPr>
        <w:t>на основании</w:t>
      </w:r>
      <w:r>
        <w:rPr>
          <w:b w:val="false"/>
          <w:sz w:val="28"/>
          <w:szCs w:val="28"/>
        </w:rPr>
        <w:t xml:space="preserve"> письменно</w:t>
      </w:r>
      <w:r>
        <w:rPr>
          <w:b w:val="false"/>
          <w:sz w:val="28"/>
          <w:szCs w:val="28"/>
          <w:lang w:val="ru-RU"/>
        </w:rPr>
        <w:t>го</w:t>
      </w:r>
      <w:r>
        <w:rPr>
          <w:b w:val="false"/>
          <w:sz w:val="28"/>
          <w:szCs w:val="28"/>
        </w:rPr>
        <w:t xml:space="preserve"> запрос</w:t>
      </w:r>
      <w:r>
        <w:rPr>
          <w:b w:val="false"/>
          <w:sz w:val="28"/>
          <w:szCs w:val="28"/>
          <w:lang w:val="ru-RU"/>
        </w:rPr>
        <w:t>а в адрес Заказчика,</w:t>
      </w:r>
      <w:r>
        <w:rPr>
          <w:b w:val="false"/>
          <w:sz w:val="28"/>
          <w:szCs w:val="28"/>
        </w:rPr>
        <w:t xml:space="preserve"> Подрядчик ознакамливается в архиве ГЭС с имеющимися у Заказчика технологическими и архитектурно-строительными чертежами, технологическими схемами, электрическими схемами, характеристиками существующего оборудования, проектной документацией, в том числе «Разработка проектной документации комплексного проекта реконструкции Нижегородской ГЭС с интеграцией запущенных проектов в общий проект реконструкции» (АО «Институт Гидропроект», 2017 год), техническими решениями, конструкторской и рабочей документацией новых гидроагрегатов ст.№1, 2, 4. Порядок посещения и ознакомления согласовывается отдельно между Заказчиком и Подрядчиком.</w:t>
      </w:r>
    </w:p>
    <w:p>
      <w:pPr>
        <w:pStyle w:val="Heading4"/>
        <w:numPr>
          <w:ilvl w:val="2"/>
          <w:numId w:val="9"/>
        </w:numPr>
        <w:tabs>
          <w:tab w:val="left" w:pos="0" w:leader="none"/>
          <w:tab w:val="left" w:pos="851" w:leader="none"/>
        </w:tabs>
        <w:ind w:hanging="0" w:left="0"/>
        <w:jc w:val="both"/>
        <w:rPr>
          <w:b w:val="false"/>
          <w:sz w:val="28"/>
          <w:szCs w:val="28"/>
        </w:rPr>
      </w:pPr>
      <w:r>
        <w:rPr>
          <w:b w:val="false"/>
          <w:sz w:val="28"/>
          <w:szCs w:val="28"/>
        </w:rPr>
        <w:t xml:space="preserve">Рабочая документация, разрабатываемая согласно настоящих </w:t>
      </w:r>
      <w:r>
        <w:rPr>
          <w:b w:val="false"/>
          <w:sz w:val="28"/>
          <w:szCs w:val="28"/>
          <w:lang w:val="ru-RU"/>
        </w:rPr>
        <w:t>ТТ</w:t>
      </w:r>
      <w:r>
        <w:rPr>
          <w:b w:val="false"/>
          <w:sz w:val="28"/>
          <w:szCs w:val="28"/>
        </w:rPr>
        <w:t>, передается Подрядчик</w:t>
      </w:r>
      <w:r>
        <w:rPr>
          <w:b w:val="false"/>
          <w:sz w:val="28"/>
          <w:szCs w:val="28"/>
          <w:lang w:val="ru-RU"/>
        </w:rPr>
        <w:t>ом исполнителям</w:t>
      </w:r>
      <w:r>
        <w:rPr>
          <w:b w:val="false"/>
          <w:sz w:val="28"/>
          <w:szCs w:val="28"/>
        </w:rPr>
        <w:t xml:space="preserve"> работ по монтажу, наладке в производство</w:t>
      </w:r>
      <w:r>
        <w:rPr>
          <w:b w:val="false"/>
          <w:sz w:val="28"/>
          <w:szCs w:val="28"/>
          <w:lang w:val="ru-RU"/>
        </w:rPr>
        <w:t xml:space="preserve"> и Заказчику в архив</w:t>
      </w:r>
      <w:r>
        <w:rPr>
          <w:b w:val="false"/>
          <w:sz w:val="28"/>
          <w:szCs w:val="28"/>
        </w:rPr>
        <w:t xml:space="preserve"> по акту приема-передачи после её разработки и согласования, утверждения в соответствии с требования настоящих </w:t>
      </w:r>
      <w:r>
        <w:rPr>
          <w:b w:val="false"/>
          <w:sz w:val="28"/>
          <w:szCs w:val="28"/>
          <w:lang w:val="ru-RU"/>
        </w:rPr>
        <w:t>ТТ</w:t>
      </w:r>
      <w:r>
        <w:rPr>
          <w:b w:val="false"/>
          <w:sz w:val="28"/>
          <w:szCs w:val="28"/>
        </w:rPr>
        <w:t>.</w:t>
      </w:r>
    </w:p>
    <w:p>
      <w:pPr>
        <w:pStyle w:val="Heading4"/>
        <w:numPr>
          <w:ilvl w:val="2"/>
          <w:numId w:val="9"/>
        </w:numPr>
        <w:tabs>
          <w:tab w:val="left" w:pos="0" w:leader="none"/>
          <w:tab w:val="left" w:pos="851" w:leader="none"/>
        </w:tabs>
        <w:ind w:hanging="0" w:left="0"/>
        <w:jc w:val="both"/>
        <w:rPr>
          <w:b w:val="false"/>
          <w:sz w:val="28"/>
          <w:szCs w:val="28"/>
        </w:rPr>
      </w:pPr>
      <w:r>
        <w:rPr>
          <w:b w:val="false"/>
          <w:sz w:val="28"/>
          <w:szCs w:val="28"/>
        </w:rPr>
        <w:t>Заказчик в рамках выполнения настоящих ТТ не производит поставки материалов, запасных частей, принадлежностей и оборудования (кроме указанных в приложении №1</w:t>
      </w:r>
      <w:r>
        <w:rPr>
          <w:b w:val="false"/>
          <w:sz w:val="28"/>
          <w:szCs w:val="28"/>
          <w:lang w:val="ru-RU"/>
        </w:rPr>
        <w:t>7</w:t>
      </w:r>
      <w:r>
        <w:rPr>
          <w:b w:val="false"/>
          <w:sz w:val="28"/>
          <w:szCs w:val="28"/>
        </w:rPr>
        <w:t xml:space="preserve"> к настоящим ТТ)</w:t>
      </w:r>
      <w:r>
        <w:rPr>
          <w:b w:val="false"/>
          <w:sz w:val="28"/>
          <w:szCs w:val="28"/>
          <w:lang w:val="ru-RU"/>
        </w:rPr>
        <w:t xml:space="preserve">, </w:t>
      </w:r>
      <w:r>
        <w:rPr>
          <w:b w:val="false"/>
          <w:sz w:val="28"/>
          <w:szCs w:val="28"/>
        </w:rPr>
        <w:t>включая подъемные механизмы, необходимые для полной сборки и разборки всех деталей поставляемого оборудования</w:t>
      </w:r>
      <w:r>
        <w:rPr>
          <w:b w:val="false"/>
          <w:sz w:val="28"/>
          <w:szCs w:val="28"/>
          <w:lang w:val="ru-RU"/>
        </w:rPr>
        <w:t>,</w:t>
      </w:r>
      <w:r>
        <w:rPr>
          <w:b w:val="false"/>
          <w:sz w:val="28"/>
          <w:szCs w:val="28"/>
        </w:rPr>
        <w:t xml:space="preserve"> </w:t>
      </w:r>
      <w:r>
        <w:rPr>
          <w:b w:val="false"/>
          <w:sz w:val="28"/>
          <w:szCs w:val="28"/>
          <w:lang w:val="ru-RU"/>
        </w:rPr>
        <w:t>т</w:t>
      </w:r>
      <w:r>
        <w:rPr>
          <w:b w:val="false"/>
          <w:sz w:val="28"/>
          <w:szCs w:val="28"/>
        </w:rPr>
        <w:t xml:space="preserve">естовые приборы и специальные инструменты. Общая стоимость приспособлений и специальных инструментов должна быть включена в </w:t>
      </w:r>
      <w:r>
        <w:rPr>
          <w:b w:val="false"/>
          <w:sz w:val="28"/>
          <w:szCs w:val="28"/>
          <w:lang w:val="ru-RU"/>
        </w:rPr>
        <w:t xml:space="preserve">общую </w:t>
      </w:r>
      <w:r>
        <w:rPr>
          <w:b w:val="false"/>
          <w:sz w:val="28"/>
          <w:szCs w:val="28"/>
        </w:rPr>
        <w:t>стоимость</w:t>
      </w:r>
      <w:r>
        <w:rPr>
          <w:b w:val="false"/>
          <w:sz w:val="28"/>
          <w:szCs w:val="28"/>
          <w:lang w:val="ru-RU"/>
        </w:rPr>
        <w:t xml:space="preserve"> работ по Договору</w:t>
      </w:r>
      <w:r>
        <w:rPr>
          <w:b w:val="false"/>
          <w:sz w:val="28"/>
          <w:szCs w:val="28"/>
        </w:rPr>
        <w:t>.</w:t>
      </w:r>
    </w:p>
    <w:p>
      <w:pPr>
        <w:pStyle w:val="Heading4"/>
        <w:numPr>
          <w:ilvl w:val="2"/>
          <w:numId w:val="9"/>
        </w:numPr>
        <w:ind w:hanging="0" w:left="0"/>
        <w:jc w:val="both"/>
        <w:rPr>
          <w:b w:val="false"/>
          <w:sz w:val="28"/>
          <w:szCs w:val="28"/>
          <w:lang w:val="ru-RU"/>
        </w:rPr>
      </w:pPr>
      <w:r>
        <w:rPr>
          <w:b w:val="false"/>
          <w:sz w:val="28"/>
          <w:szCs w:val="28"/>
        </w:rPr>
        <w:t xml:space="preserve">Оборудование гидротурбины, гидрогенератора, устройств САУ, РЗА генератора и иное оборудование передается Подрядчику Заказчиком одномоментно с окончанием поставки каждой позиции с оформлением акта по форме ОС-15 с последующим выполнением </w:t>
      </w:r>
      <w:r>
        <w:rPr>
          <w:b w:val="false"/>
          <w:sz w:val="28"/>
          <w:szCs w:val="28"/>
          <w:lang w:val="ru-RU"/>
        </w:rPr>
        <w:t>проверки комплектности</w:t>
      </w:r>
      <w:r>
        <w:rPr>
          <w:b w:val="false"/>
          <w:sz w:val="28"/>
          <w:szCs w:val="28"/>
        </w:rPr>
        <w:t xml:space="preserve"> поставленного оборудования с участием уполномоченных представителей Подрядчика, Заказчика. Стоимость ревизии всего поставленного оборудования по договору включена в стоимость оборудования.</w:t>
      </w:r>
    </w:p>
    <w:p>
      <w:pPr>
        <w:pStyle w:val="Heading4"/>
        <w:numPr>
          <w:ilvl w:val="2"/>
          <w:numId w:val="9"/>
        </w:numPr>
        <w:tabs>
          <w:tab w:val="left" w:pos="0" w:leader="none"/>
          <w:tab w:val="left" w:pos="851" w:leader="none"/>
        </w:tabs>
        <w:ind w:hanging="0" w:left="0"/>
        <w:jc w:val="both"/>
        <w:rPr>
          <w:b w:val="false"/>
          <w:sz w:val="28"/>
          <w:szCs w:val="28"/>
        </w:rPr>
      </w:pPr>
      <w:r>
        <w:rPr>
          <w:b w:val="false"/>
          <w:sz w:val="28"/>
          <w:szCs w:val="28"/>
        </w:rPr>
        <w:t>Конструкторская и рабочая документация передается</w:t>
      </w:r>
      <w:r>
        <w:rPr>
          <w:b w:val="false"/>
          <w:sz w:val="28"/>
          <w:szCs w:val="28"/>
          <w:lang w:val="ru-RU"/>
        </w:rPr>
        <w:t xml:space="preserve"> Подрядчиком</w:t>
      </w:r>
      <w:r>
        <w:rPr>
          <w:b w:val="false"/>
          <w:sz w:val="28"/>
          <w:szCs w:val="28"/>
        </w:rPr>
        <w:t xml:space="preserve"> </w:t>
      </w:r>
      <w:r>
        <w:rPr>
          <w:b w:val="false"/>
          <w:sz w:val="28"/>
          <w:szCs w:val="28"/>
          <w:lang w:val="ru-RU"/>
        </w:rPr>
        <w:t>исполнителям</w:t>
      </w:r>
      <w:r>
        <w:rPr>
          <w:b w:val="false"/>
          <w:sz w:val="28"/>
          <w:szCs w:val="28"/>
        </w:rPr>
        <w:t xml:space="preserve"> работ по монтажу, наладке в производство и Заказчику в архив по акту приема-передачи заблаговременно до начала работ.</w:t>
      </w:r>
    </w:p>
    <w:p>
      <w:pPr>
        <w:pStyle w:val="Heading4"/>
        <w:numPr>
          <w:ilvl w:val="2"/>
          <w:numId w:val="9"/>
        </w:numPr>
        <w:tabs>
          <w:tab w:val="left" w:pos="0" w:leader="none"/>
          <w:tab w:val="left" w:pos="851" w:leader="none"/>
        </w:tabs>
        <w:ind w:hanging="0" w:left="0"/>
        <w:jc w:val="both"/>
        <w:rPr>
          <w:b w:val="false"/>
          <w:sz w:val="28"/>
          <w:szCs w:val="28"/>
        </w:rPr>
      </w:pPr>
      <w:r>
        <w:rPr>
          <w:b w:val="false"/>
          <w:sz w:val="28"/>
          <w:szCs w:val="28"/>
          <w:lang w:val="ru-RU"/>
        </w:rPr>
        <w:t>Поддержание чистоты, сохранность</w:t>
      </w:r>
      <w:r>
        <w:rPr>
          <w:b w:val="false"/>
          <w:sz w:val="28"/>
          <w:szCs w:val="28"/>
        </w:rPr>
        <w:t xml:space="preserve"> и содержание переданных</w:t>
      </w:r>
      <w:r>
        <w:rPr>
          <w:b w:val="false"/>
          <w:sz w:val="28"/>
          <w:szCs w:val="28"/>
          <w:lang w:val="ru-RU"/>
        </w:rPr>
        <w:t>, в том числе,</w:t>
      </w:r>
      <w:r>
        <w:rPr>
          <w:b w:val="false"/>
          <w:sz w:val="28"/>
          <w:szCs w:val="28"/>
        </w:rPr>
        <w:t xml:space="preserve"> </w:t>
      </w:r>
      <w:r>
        <w:rPr>
          <w:b w:val="false"/>
          <w:sz w:val="28"/>
          <w:szCs w:val="28"/>
          <w:lang w:val="ru-RU"/>
        </w:rPr>
        <w:t xml:space="preserve">по акту-допуску </w:t>
      </w:r>
      <w:r>
        <w:rPr>
          <w:b w:val="false"/>
          <w:sz w:val="28"/>
          <w:szCs w:val="28"/>
        </w:rPr>
        <w:t>помещений и территорий Заказчика выполняется за счет средств Подрядчика.</w:t>
      </w:r>
      <w:r>
        <w:rPr>
          <w:b w:val="false"/>
          <w:sz w:val="28"/>
          <w:szCs w:val="28"/>
          <w:lang w:val="ru-RU"/>
        </w:rPr>
        <w:t xml:space="preserve"> </w:t>
      </w:r>
      <w:r>
        <w:rPr>
          <w:b w:val="false"/>
          <w:sz w:val="28"/>
          <w:szCs w:val="28"/>
        </w:rPr>
        <w:t>Складские помещения и / или площадки для погрузки / разгрузки / складирования / хранения материально-технических ресурсов, оборудования Подрядчика не предоставляется. Для разгрузки и погрузки используются существующие общие территории, используемые при проведении различных работ на территории Заказчика.</w:t>
      </w:r>
      <w:bookmarkEnd w:id="10"/>
      <w:bookmarkEnd w:id="11"/>
    </w:p>
    <w:p>
      <w:pPr>
        <w:pStyle w:val="Heading4"/>
        <w:numPr>
          <w:ilvl w:val="2"/>
          <w:numId w:val="9"/>
        </w:numPr>
        <w:tabs>
          <w:tab w:val="left" w:pos="0" w:leader="none"/>
          <w:tab w:val="left" w:pos="851" w:leader="none"/>
        </w:tabs>
        <w:ind w:hanging="0" w:left="0"/>
        <w:jc w:val="both"/>
        <w:rPr>
          <w:b w:val="false"/>
          <w:sz w:val="28"/>
          <w:szCs w:val="28"/>
        </w:rPr>
      </w:pPr>
      <w:r>
        <w:rPr>
          <w:b w:val="false"/>
          <w:sz w:val="28"/>
          <w:szCs w:val="28"/>
        </w:rPr>
        <w:t>За 20 дней до даты начала производства СМР Подрядчик производит проверку источников электроснабжения, водоснабжения или канализации, предоставленных</w:t>
      </w:r>
      <w:r>
        <w:rPr>
          <w:b w:val="false"/>
          <w:sz w:val="28"/>
          <w:szCs w:val="28"/>
          <w:lang w:val="ru-RU"/>
        </w:rPr>
        <w:t xml:space="preserve"> (по возможности)</w:t>
      </w:r>
      <w:r>
        <w:rPr>
          <w:b w:val="false"/>
          <w:sz w:val="28"/>
          <w:szCs w:val="28"/>
        </w:rPr>
        <w:t xml:space="preserve"> Заказчиком на достаточность для выполнения СМР. В случае их недостаточности для производства Работ, а также при отсутствии таких источников в месте производства Работ, самостоятельно обеспечивает свои потребности по электроэнергии, воде, сжатому воздуху, другим необходимых ресурсам.</w:t>
      </w:r>
    </w:p>
    <w:p>
      <w:pPr>
        <w:pStyle w:val="Heading4"/>
        <w:numPr>
          <w:ilvl w:val="2"/>
          <w:numId w:val="9"/>
        </w:numPr>
        <w:ind w:hanging="0" w:left="0"/>
        <w:jc w:val="both"/>
        <w:rPr>
          <w:sz w:val="28"/>
          <w:szCs w:val="28"/>
        </w:rPr>
      </w:pPr>
      <w:r>
        <w:rPr>
          <w:sz w:val="28"/>
          <w:szCs w:val="28"/>
        </w:rPr>
        <w:t>Заказчик предоставляет Подрядчику:</w:t>
      </w:r>
    </w:p>
    <w:p>
      <w:pPr>
        <w:pStyle w:val="Heading4"/>
        <w:numPr>
          <w:ilvl w:val="3"/>
          <w:numId w:val="9"/>
        </w:numPr>
        <w:tabs>
          <w:tab w:val="clear" w:pos="0"/>
        </w:tabs>
        <w:ind w:hanging="0" w:left="0"/>
        <w:jc w:val="both"/>
        <w:rPr>
          <w:b w:val="false"/>
          <w:sz w:val="28"/>
          <w:szCs w:val="28"/>
        </w:rPr>
      </w:pPr>
      <w:r>
        <w:rPr>
          <w:b w:val="false"/>
          <w:sz w:val="28"/>
          <w:szCs w:val="28"/>
        </w:rPr>
        <w:t>Монтажную площадку здания ГЭС, помещения агрегатного блока ГА №5 на время выполнения работ по договору в соответствующие сроки выполнения работ. Передача помещений оформляется соответствующими актами приема-передачи;</w:t>
      </w:r>
    </w:p>
    <w:p>
      <w:pPr>
        <w:pStyle w:val="Heading4"/>
        <w:numPr>
          <w:ilvl w:val="3"/>
          <w:numId w:val="9"/>
        </w:numPr>
        <w:tabs>
          <w:tab w:val="clear" w:pos="0"/>
        </w:tabs>
        <w:ind w:hanging="0" w:left="0"/>
        <w:jc w:val="both"/>
        <w:rPr>
          <w:b w:val="false"/>
          <w:sz w:val="28"/>
          <w:szCs w:val="28"/>
        </w:rPr>
      </w:pPr>
      <w:r>
        <w:rPr>
          <w:b w:val="false"/>
          <w:sz w:val="28"/>
          <w:szCs w:val="28"/>
        </w:rPr>
        <w:t>Стационарные грузоподъемные краны Нижегородской ГЭС переданы в эксплуатацию Чебоксарскому филиалу АО «Гидроремонт-ВКК» (эксплуатирующая организация). При выполнении СМР по замене ГА ст.№ 5  перемещение грузов стационарными грузоподъемными кранами Нижегородской ГЭС  обеспечивается по отдельному договору, заключенному между филиалом ПАО «РусГидро» - «Нижегородская ГЭС» и Чебоксарским филиалом АО «Гидроремонт-ВКК» в г. Новочебоксарск. Предоставляемое количество крановщиков — не более 2 человек</w:t>
      </w:r>
      <w:r>
        <w:rPr>
          <w:b w:val="false"/>
          <w:sz w:val="28"/>
          <w:szCs w:val="28"/>
          <w:lang w:val="ru-RU"/>
        </w:rPr>
        <w:t xml:space="preserve"> в </w:t>
      </w:r>
      <w:r>
        <w:rPr>
          <w:b w:val="false"/>
          <w:sz w:val="28"/>
          <w:szCs w:val="28"/>
        </w:rPr>
        <w:t>смену при организации многосменного режима выполнения СМР, 3 человек — при организации односменного режима СМР. При выполнении разгрузки, а также перемещения поставленного оборудования на территории Заказчика привлечение стационарных</w:t>
      </w:r>
      <w:r>
        <w:rPr>
          <w:b w:val="false"/>
          <w:sz w:val="28"/>
          <w:szCs w:val="28"/>
          <w:lang w:val="ru-RU"/>
        </w:rPr>
        <w:t xml:space="preserve"> </w:t>
      </w:r>
      <w:r>
        <w:rPr>
          <w:b w:val="false"/>
          <w:sz w:val="28"/>
          <w:szCs w:val="28"/>
        </w:rPr>
        <w:t>грузоподъемных кранов, а также привлечение дополнительных крановщиков обеспечивает Подрядчик по собственному договору с эксплуатирующей организацией.</w:t>
      </w:r>
    </w:p>
    <w:p>
      <w:pPr>
        <w:pStyle w:val="Heading4"/>
        <w:numPr>
          <w:ilvl w:val="3"/>
          <w:numId w:val="9"/>
        </w:numPr>
        <w:tabs>
          <w:tab w:val="clear" w:pos="0"/>
        </w:tabs>
        <w:ind w:hanging="0" w:left="0"/>
        <w:jc w:val="both"/>
        <w:rPr>
          <w:b w:val="false"/>
          <w:sz w:val="28"/>
          <w:szCs w:val="28"/>
        </w:rPr>
      </w:pPr>
      <w:r>
        <w:rPr>
          <w:b w:val="false"/>
          <w:sz w:val="28"/>
          <w:szCs w:val="28"/>
        </w:rPr>
        <w:t>Управление кранами осуществляется в порядке, определенном в</w:t>
      </w:r>
      <w:r>
        <w:rPr>
          <w:b w:val="false"/>
          <w:sz w:val="28"/>
          <w:szCs w:val="28"/>
          <w:lang w:val="ru-RU"/>
        </w:rPr>
        <w:t xml:space="preserve"> </w:t>
      </w:r>
      <w:r>
        <w:rPr>
          <w:b w:val="false"/>
          <w:sz w:val="28"/>
          <w:szCs w:val="28"/>
        </w:rPr>
        <w:t>регламенте</w:t>
      </w:r>
      <w:r>
        <w:rPr>
          <w:b w:val="false"/>
          <w:sz w:val="28"/>
          <w:szCs w:val="28"/>
          <w:lang w:val="ru-RU"/>
        </w:rPr>
        <w:t xml:space="preserve"> (приложение № 20 к настоящим ТТ)</w:t>
      </w:r>
      <w:r>
        <w:rPr>
          <w:b w:val="false"/>
          <w:sz w:val="28"/>
          <w:szCs w:val="28"/>
        </w:rPr>
        <w:t>,  по  предварительной заявке Подрядчика, поданной своевременно до начала производства работ.</w:t>
      </w:r>
    </w:p>
    <w:p>
      <w:pPr>
        <w:pStyle w:val="Heading4"/>
        <w:numPr>
          <w:ilvl w:val="3"/>
          <w:numId w:val="9"/>
        </w:numPr>
        <w:tabs>
          <w:tab w:val="clear" w:pos="0"/>
        </w:tabs>
        <w:ind w:hanging="0" w:left="0"/>
        <w:jc w:val="both"/>
        <w:rPr>
          <w:b w:val="false"/>
          <w:sz w:val="28"/>
          <w:szCs w:val="28"/>
        </w:rPr>
      </w:pPr>
      <w:r>
        <w:rPr>
          <w:b w:val="false"/>
          <w:sz w:val="28"/>
          <w:szCs w:val="28"/>
        </w:rPr>
        <w:t>Предоставляемые Подрядчику ресурсы и механизмы для проведения строительно-монтажных работ Заказчиком (при возможности и необходимости):</w:t>
      </w:r>
    </w:p>
    <w:p>
      <w:pPr>
        <w:pStyle w:val="Heading4"/>
        <w:keepNext w:val="false"/>
        <w:numPr>
          <w:ilvl w:val="4"/>
          <w:numId w:val="9"/>
        </w:numPr>
        <w:suppressAutoHyphens w:val="false"/>
        <w:spacing w:before="120" w:after="120"/>
        <w:jc w:val="both"/>
        <w:rPr>
          <w:b w:val="false"/>
          <w:sz w:val="28"/>
          <w:szCs w:val="28"/>
        </w:rPr>
      </w:pPr>
      <w:r>
        <w:rPr>
          <w:b w:val="false"/>
          <w:sz w:val="28"/>
          <w:szCs w:val="28"/>
          <w:lang w:val="ru-RU"/>
        </w:rPr>
        <w:t>Э</w:t>
      </w:r>
      <w:r>
        <w:rPr>
          <w:b w:val="false"/>
          <w:sz w:val="28"/>
          <w:szCs w:val="28"/>
        </w:rPr>
        <w:t>лектроэнергия (выдается точка подключения в существующих электросетях Заказчика);</w:t>
      </w:r>
    </w:p>
    <w:p>
      <w:pPr>
        <w:pStyle w:val="Heading4"/>
        <w:keepNext w:val="false"/>
        <w:numPr>
          <w:ilvl w:val="4"/>
          <w:numId w:val="9"/>
        </w:numPr>
        <w:suppressAutoHyphens w:val="false"/>
        <w:spacing w:before="120" w:after="120"/>
        <w:jc w:val="both"/>
        <w:rPr>
          <w:sz w:val="28"/>
          <w:szCs w:val="28"/>
        </w:rPr>
      </w:pPr>
      <w:r>
        <w:rPr>
          <w:b w:val="false"/>
          <w:sz w:val="28"/>
          <w:szCs w:val="28"/>
          <w:lang w:val="ru-RU"/>
        </w:rPr>
        <w:t>В</w:t>
      </w:r>
      <w:r>
        <w:rPr>
          <w:b w:val="false"/>
          <w:sz w:val="28"/>
          <w:szCs w:val="28"/>
        </w:rPr>
        <w:t>ода (выдается точка подключения к источнику водоснабжения в существующих сетях Заказчика);</w:t>
      </w:r>
    </w:p>
    <w:p>
      <w:pPr>
        <w:pStyle w:val="Heading4"/>
        <w:keepNext w:val="false"/>
        <w:numPr>
          <w:ilvl w:val="4"/>
          <w:numId w:val="9"/>
        </w:numPr>
        <w:suppressAutoHyphens w:val="false"/>
        <w:spacing w:before="120" w:after="120"/>
        <w:jc w:val="both"/>
        <w:rPr>
          <w:sz w:val="28"/>
          <w:szCs w:val="28"/>
        </w:rPr>
      </w:pPr>
      <w:r>
        <w:rPr>
          <w:b w:val="false"/>
          <w:sz w:val="28"/>
          <w:szCs w:val="28"/>
          <w:lang w:val="ru-RU"/>
        </w:rPr>
        <w:t>С</w:t>
      </w:r>
      <w:r>
        <w:rPr>
          <w:b w:val="false"/>
          <w:sz w:val="28"/>
          <w:szCs w:val="28"/>
        </w:rPr>
        <w:t>жатый воздух (выдается точка подключения к существующей системе технического воздухоснабжения Заказчика)</w:t>
      </w:r>
      <w:r>
        <w:rPr>
          <w:b w:val="false"/>
          <w:sz w:val="28"/>
          <w:szCs w:val="28"/>
          <w:lang w:val="ru-RU"/>
        </w:rPr>
        <w:t>;</w:t>
      </w:r>
    </w:p>
    <w:p>
      <w:pPr>
        <w:pStyle w:val="Heading4"/>
        <w:keepNext w:val="false"/>
        <w:numPr>
          <w:ilvl w:val="3"/>
          <w:numId w:val="9"/>
        </w:numPr>
        <w:suppressAutoHyphens w:val="false"/>
        <w:spacing w:before="120" w:after="120"/>
        <w:jc w:val="both"/>
        <w:rPr>
          <w:sz w:val="28"/>
          <w:szCs w:val="28"/>
        </w:rPr>
      </w:pPr>
      <w:r>
        <w:rPr>
          <w:b w:val="false"/>
          <w:sz w:val="28"/>
          <w:szCs w:val="28"/>
        </w:rPr>
        <w:t>Предоставляемые Подрядчику услуги для проведения СМР Заказчиком (при возможности и необходимости):</w:t>
      </w:r>
    </w:p>
    <w:p>
      <w:pPr>
        <w:pStyle w:val="Heading4"/>
        <w:numPr>
          <w:ilvl w:val="4"/>
          <w:numId w:val="9"/>
        </w:numPr>
        <w:jc w:val="both"/>
        <w:rPr>
          <w:sz w:val="28"/>
          <w:szCs w:val="28"/>
        </w:rPr>
      </w:pPr>
      <w:r>
        <w:rPr>
          <w:b w:val="false"/>
          <w:sz w:val="28"/>
          <w:szCs w:val="28"/>
          <w:lang w:val="ru-RU"/>
        </w:rPr>
        <w:t>Услуги по санитарному обслуживанию не предоставляются. Имеющиеся санитарные комнаты в здании ГЭС становятся совместного использования и подлежат совместному обслуживанию, минимальное количество уборок санузлов Подрядчиком не менее 2 раз в сутки с пополнением расходных материалов.</w:t>
      </w:r>
    </w:p>
    <w:p>
      <w:pPr>
        <w:pStyle w:val="Heading4"/>
        <w:numPr>
          <w:ilvl w:val="4"/>
          <w:numId w:val="9"/>
        </w:numPr>
        <w:jc w:val="both"/>
        <w:rPr>
          <w:sz w:val="28"/>
          <w:szCs w:val="28"/>
        </w:rPr>
      </w:pPr>
      <w:r>
        <w:rPr>
          <w:b w:val="false"/>
          <w:sz w:val="28"/>
          <w:szCs w:val="28"/>
          <w:lang w:val="ru-RU"/>
        </w:rPr>
        <w:t xml:space="preserve"> </w:t>
      </w:r>
      <w:r>
        <w:rPr>
          <w:b w:val="false"/>
          <w:sz w:val="28"/>
          <w:szCs w:val="28"/>
          <w:lang w:val="en-US"/>
        </w:rPr>
        <w:t>С</w:t>
      </w:r>
      <w:r>
        <w:rPr>
          <w:b w:val="false"/>
          <w:sz w:val="28"/>
          <w:szCs w:val="28"/>
        </w:rPr>
        <w:t>одержание сторожевой охраны.</w:t>
      </w:r>
    </w:p>
    <w:p>
      <w:pPr>
        <w:pStyle w:val="Heading4"/>
        <w:numPr>
          <w:ilvl w:val="4"/>
          <w:numId w:val="9"/>
        </w:numPr>
        <w:jc w:val="both"/>
        <w:rPr>
          <w:sz w:val="28"/>
          <w:szCs w:val="28"/>
        </w:rPr>
      </w:pPr>
      <w:r>
        <w:rPr>
          <w:b w:val="false"/>
          <w:sz w:val="28"/>
          <w:szCs w:val="28"/>
          <w:lang w:val="ru-RU"/>
        </w:rPr>
        <w:t xml:space="preserve"> </w:t>
      </w:r>
      <w:r>
        <w:rPr>
          <w:b w:val="false"/>
          <w:sz w:val="28"/>
          <w:szCs w:val="28"/>
          <w:lang w:val="ru-RU"/>
        </w:rPr>
        <w:t>Х</w:t>
      </w:r>
      <w:r>
        <w:rPr>
          <w:b w:val="false"/>
          <w:sz w:val="28"/>
          <w:szCs w:val="28"/>
        </w:rPr>
        <w:t>имический анализ турбинных масел – при приемке поставки масла, вводе гидроагрегатов в работу;</w:t>
      </w:r>
    </w:p>
    <w:p>
      <w:pPr>
        <w:pStyle w:val="ListParagraph"/>
        <w:ind w:left="0"/>
        <w:rPr>
          <w:b/>
          <w:lang w:eastAsia="x-none"/>
        </w:rPr>
      </w:pPr>
      <w:r>
        <w:rPr>
          <w:sz w:val="28"/>
          <w:szCs w:val="28"/>
          <w:lang w:eastAsia="x-none"/>
        </w:rPr>
        <w:t xml:space="preserve">1.5.8.6. </w:t>
      </w:r>
      <w:r>
        <w:rPr>
          <w:b/>
          <w:lang w:eastAsia="x-none"/>
        </w:rPr>
        <w:t>Особые условия выполнения строительно-монтажных работ</w:t>
      </w:r>
    </w:p>
    <w:p>
      <w:pPr>
        <w:pStyle w:val="ListParagraph"/>
        <w:ind w:left="0"/>
        <w:rPr/>
      </w:pPr>
      <w:r>
        <w:rPr/>
      </w:r>
    </w:p>
    <w:tbl>
      <w:tblPr>
        <w:tblW w:w="8749" w:type="dxa"/>
        <w:jc w:val="left"/>
        <w:tblInd w:w="885" w:type="dxa"/>
        <w:tblLayout w:type="fixed"/>
        <w:tblCellMar>
          <w:top w:w="0" w:type="dxa"/>
          <w:left w:w="108" w:type="dxa"/>
          <w:bottom w:w="0" w:type="dxa"/>
          <w:right w:w="108" w:type="dxa"/>
        </w:tblCellMar>
        <w:tblLook w:val="04a0" w:noHBand="0" w:noVBand="1" w:firstColumn="1" w:lastRow="0" w:lastColumn="0" w:firstRow="1"/>
      </w:tblPr>
      <w:tblGrid>
        <w:gridCol w:w="811"/>
        <w:gridCol w:w="7937"/>
      </w:tblGrid>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 xml:space="preserve">№ </w:t>
            </w:r>
            <w:r>
              <w:rPr>
                <w:sz w:val="28"/>
                <w:szCs w:val="28"/>
              </w:rPr>
              <w:t>п/п.</w:t>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Условия производства работ</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tabs>
                <w:tab w:val="clear" w:pos="708"/>
                <w:tab w:val="left" w:pos="142" w:leader="none"/>
              </w:tabs>
              <w:ind w:hanging="284" w:left="284"/>
              <w:rPr>
                <w:sz w:val="28"/>
                <w:szCs w:val="28"/>
                <w:lang w:val="en-US" w:eastAsia="x-none"/>
              </w:rPr>
            </w:pPr>
            <w:r>
              <w:rPr>
                <w:sz w:val="28"/>
                <w:szCs w:val="28"/>
                <w:lang w:val="en-US"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Производство работ в существующих зданиях и сооружениях в стесненных условиях: с наличием в зоне производства работ действующего технологического оборудования и движения транспорта по внутрицеховым путям.</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ind w:hanging="284" w:left="360"/>
              <w:rPr>
                <w:sz w:val="28"/>
                <w:szCs w:val="28"/>
                <w:lang w:eastAsia="x-none"/>
              </w:rPr>
            </w:pPr>
            <w:r>
              <w:rPr>
                <w:sz w:val="28"/>
                <w:szCs w:val="28"/>
                <w:lang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Производство работ вблизи объектов, находящихся под высоким напряжением, в том числе в охранной зоне действующей воздушной линии электропередачи</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rPr>
                <w:sz w:val="28"/>
                <w:szCs w:val="28"/>
                <w:lang w:eastAsia="x-none"/>
              </w:rPr>
            </w:pPr>
            <w:r>
              <w:rPr>
                <w:sz w:val="28"/>
                <w:szCs w:val="28"/>
                <w:lang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Производство работ в закрытых сооружениях (помещениях) находящихся ниже 3 м от поверхности земли</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rPr>
                <w:sz w:val="28"/>
                <w:szCs w:val="28"/>
                <w:lang w:eastAsia="x-none"/>
              </w:rPr>
            </w:pPr>
            <w:r>
              <w:rPr>
                <w:sz w:val="28"/>
                <w:szCs w:val="28"/>
                <w:lang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Производство работ на высоте</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rPr>
                <w:sz w:val="28"/>
                <w:szCs w:val="28"/>
                <w:lang w:val="en-US" w:eastAsia="x-none"/>
              </w:rPr>
            </w:pPr>
            <w:r>
              <w:rPr>
                <w:sz w:val="28"/>
                <w:szCs w:val="28"/>
                <w:lang w:val="en-US"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Производство работ, требующих применение СИЗ при работе на высоте</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rPr>
                <w:sz w:val="28"/>
                <w:szCs w:val="28"/>
                <w:lang w:eastAsia="x-none"/>
              </w:rPr>
            </w:pPr>
            <w:r>
              <w:rPr>
                <w:sz w:val="28"/>
                <w:szCs w:val="28"/>
                <w:lang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С применением лебедок и талей</w:t>
            </w:r>
          </w:p>
        </w:tc>
      </w:tr>
      <w:tr>
        <w:trPr/>
        <w:tc>
          <w:tcPr>
            <w:tcW w:w="81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1"/>
                <w:numId w:val="7"/>
              </w:numPr>
              <w:rPr>
                <w:sz w:val="28"/>
                <w:szCs w:val="28"/>
                <w:lang w:eastAsia="x-none"/>
              </w:rPr>
            </w:pPr>
            <w:r>
              <w:rPr>
                <w:sz w:val="28"/>
                <w:szCs w:val="28"/>
                <w:lang w:eastAsia="x-none"/>
              </w:rPr>
            </w:r>
          </w:p>
        </w:tc>
        <w:tc>
          <w:tcPr>
            <w:tcW w:w="7937" w:type="dxa"/>
            <w:tcBorders>
              <w:top w:val="single" w:sz="4" w:space="0" w:color="000000"/>
              <w:left w:val="single" w:sz="4" w:space="0" w:color="000000"/>
              <w:bottom w:val="single" w:sz="4" w:space="0" w:color="000000"/>
              <w:right w:val="single" w:sz="4" w:space="0" w:color="000000"/>
            </w:tcBorders>
          </w:tcPr>
          <w:p>
            <w:pPr>
              <w:pStyle w:val="ListParagraph"/>
              <w:widowControl w:val="false"/>
              <w:ind w:left="0"/>
              <w:rPr>
                <w:sz w:val="28"/>
                <w:szCs w:val="28"/>
              </w:rPr>
            </w:pPr>
            <w:r>
              <w:rPr>
                <w:sz w:val="28"/>
                <w:szCs w:val="28"/>
              </w:rPr>
              <w:t>Производство водолазных работ</w:t>
            </w:r>
          </w:p>
        </w:tc>
      </w:tr>
    </w:tbl>
    <w:p>
      <w:pPr>
        <w:pStyle w:val="ListParagraph"/>
        <w:ind w:left="0"/>
        <w:jc w:val="both"/>
        <w:rPr>
          <w:sz w:val="28"/>
          <w:szCs w:val="28"/>
        </w:rPr>
      </w:pPr>
      <w:r>
        <w:rPr>
          <w:sz w:val="28"/>
          <w:szCs w:val="28"/>
        </w:rPr>
      </w:r>
    </w:p>
    <w:p>
      <w:pPr>
        <w:pStyle w:val="Heading4"/>
        <w:numPr>
          <w:ilvl w:val="1"/>
          <w:numId w:val="9"/>
        </w:numPr>
        <w:ind w:hanging="0" w:left="0"/>
        <w:jc w:val="both"/>
        <w:rPr>
          <w:sz w:val="28"/>
          <w:szCs w:val="28"/>
        </w:rPr>
      </w:pPr>
      <w:bookmarkStart w:id="13" w:name="_Hlk48209761"/>
      <w:bookmarkEnd w:id="13"/>
      <w:r>
        <w:rPr>
          <w:sz w:val="28"/>
          <w:szCs w:val="28"/>
        </w:rPr>
        <w:t>Иные требования и сведения общего характера</w:t>
      </w:r>
    </w:p>
    <w:p>
      <w:pPr>
        <w:pStyle w:val="ListParagraph"/>
        <w:numPr>
          <w:ilvl w:val="2"/>
          <w:numId w:val="10"/>
        </w:numPr>
        <w:ind w:hanging="0" w:left="0"/>
        <w:jc w:val="both"/>
        <w:rPr>
          <w:sz w:val="28"/>
          <w:szCs w:val="28"/>
        </w:rPr>
      </w:pPr>
      <w:r>
        <w:rPr>
          <w:sz w:val="28"/>
          <w:szCs w:val="28"/>
        </w:rPr>
        <w:t>Подрядчик производит необходимые закупки и/или заключает субподрядные и другие необходимые договоры, монтирует, осуществляет наладку, участвует в пусках, проводит испытания, устраняет дефекты (в случае возникновения), сдает оборудование в эксплуатацию.</w:t>
      </w:r>
    </w:p>
    <w:p>
      <w:pPr>
        <w:pStyle w:val="ListParagraph"/>
        <w:numPr>
          <w:ilvl w:val="2"/>
          <w:numId w:val="10"/>
        </w:numPr>
        <w:ind w:hanging="0" w:left="0"/>
        <w:jc w:val="both"/>
        <w:rPr>
          <w:sz w:val="28"/>
          <w:szCs w:val="28"/>
        </w:rPr>
      </w:pPr>
      <w:r>
        <w:rPr>
          <w:sz w:val="28"/>
          <w:szCs w:val="28"/>
        </w:rPr>
        <w:t>Подрядчик за счет собственных средств должен получить все разрешения, утверждения и/или лицензии от всех органов власти или государственных учреждений, получение которых на имя Подрядчика требуют вышеуказанные органы власти или учреждения и которые необходимы для выполнения работ, включая не только визы для персонала подрядчика и субподрядчика, а также разрешения на все ввозимое оборудование, оплату пошлин и сборов.</w:t>
      </w:r>
    </w:p>
    <w:p>
      <w:pPr>
        <w:pStyle w:val="ListParagraph"/>
        <w:numPr>
          <w:ilvl w:val="3"/>
          <w:numId w:val="10"/>
        </w:numPr>
        <w:ind w:hanging="0" w:left="0"/>
        <w:jc w:val="both"/>
        <w:rPr>
          <w:sz w:val="28"/>
          <w:szCs w:val="28"/>
        </w:rPr>
      </w:pPr>
      <w:r>
        <w:rPr>
          <w:sz w:val="28"/>
          <w:szCs w:val="28"/>
          <w:lang w:eastAsia="x-none"/>
        </w:rPr>
        <w:t>Подрядчик учитывает все затраты в стоимости оборудования: затраты для размещения своего персонала на время производства работ, на транспортные и командировочные расходы, погрузочно-разгрузочные работы, складирование и транспортировку материалов и оборудования. Условия хранения (на открытом воздухе под навесом, в помещениях – с кондиционированием воздуха и без) должны быть определены и обеспечены Подрядчиком самостоятельно. При необходимости Подрядчик обеспечивает аренду складских помещений самостоятельно вне территории Нижегородской ГЭС.</w:t>
      </w:r>
    </w:p>
    <w:p>
      <w:pPr>
        <w:pStyle w:val="ListParagraph"/>
        <w:numPr>
          <w:ilvl w:val="2"/>
          <w:numId w:val="10"/>
        </w:numPr>
        <w:ind w:hanging="0" w:left="0"/>
        <w:jc w:val="both"/>
        <w:rPr>
          <w:sz w:val="28"/>
          <w:szCs w:val="28"/>
        </w:rPr>
      </w:pPr>
      <w:r>
        <w:rPr>
          <w:sz w:val="28"/>
          <w:szCs w:val="28"/>
          <w:lang w:eastAsia="x-none"/>
        </w:rPr>
        <w:t xml:space="preserve">Инструкции, руководства, конструкторская и иная техническая документация должны быть переданы в бумажном виде Заказчику не позднее чем за 60 дней до начала отгрузки первой партии оборудования. Рабочая документация должна быть разработана и утверждена в порядке согласно данного ТТ не позднее, чем за 60 дней до начала СМР. </w:t>
      </w:r>
    </w:p>
    <w:p>
      <w:pPr>
        <w:pStyle w:val="ListParagraph"/>
        <w:numPr>
          <w:ilvl w:val="2"/>
          <w:numId w:val="10"/>
        </w:numPr>
        <w:ind w:hanging="0" w:left="0"/>
        <w:jc w:val="both"/>
        <w:rPr>
          <w:sz w:val="28"/>
          <w:szCs w:val="28"/>
        </w:rPr>
      </w:pPr>
      <w:r>
        <w:rPr>
          <w:sz w:val="28"/>
          <w:szCs w:val="28"/>
        </w:rPr>
        <w:t>Оформление отчётной документации по монтажным и наладочным работам, скрытым работам, испытаниям и опробованиям работы оборудования, акта приемки оборудования в промышленную эксплуатацию должно производиться в соответствии с требованиями НТД (приложение №11 к настоящим ТТ).</w:t>
      </w:r>
    </w:p>
    <w:p>
      <w:pPr>
        <w:pStyle w:val="ListParagraph"/>
        <w:numPr>
          <w:ilvl w:val="2"/>
          <w:numId w:val="10"/>
        </w:numPr>
        <w:ind w:hanging="0" w:left="0"/>
        <w:jc w:val="both"/>
        <w:rPr>
          <w:sz w:val="28"/>
          <w:szCs w:val="28"/>
        </w:rPr>
      </w:pPr>
      <w:r>
        <w:rPr>
          <w:sz w:val="28"/>
          <w:szCs w:val="28"/>
          <w:lang w:eastAsia="x-none"/>
        </w:rPr>
        <w:t>Подрядчиком разрабатываются и согласовываются с Заказчиком графики разработки КД и РД.</w:t>
      </w:r>
    </w:p>
    <w:p>
      <w:pPr>
        <w:pStyle w:val="ListParagraph"/>
        <w:numPr>
          <w:ilvl w:val="2"/>
          <w:numId w:val="10"/>
        </w:numPr>
        <w:ind w:hanging="0" w:left="0"/>
        <w:jc w:val="both"/>
        <w:rPr>
          <w:sz w:val="28"/>
          <w:szCs w:val="28"/>
        </w:rPr>
      </w:pPr>
      <w:r>
        <w:rPr>
          <w:sz w:val="28"/>
          <w:szCs w:val="28"/>
          <w:lang w:eastAsia="x-none"/>
        </w:rPr>
        <w:t>Противоречия, возникающие в ходе применения настоящего ТТ, разрешаются путем предоставления письменного разъяснения Заказчика.</w:t>
      </w:r>
    </w:p>
    <w:p>
      <w:pPr>
        <w:pStyle w:val="ListParagraph"/>
        <w:numPr>
          <w:ilvl w:val="2"/>
          <w:numId w:val="10"/>
        </w:numPr>
        <w:ind w:hanging="0" w:left="0"/>
        <w:jc w:val="both"/>
        <w:rPr>
          <w:sz w:val="28"/>
          <w:szCs w:val="28"/>
        </w:rPr>
      </w:pPr>
      <w:bookmarkStart w:id="14" w:name="_Hlk199231229"/>
      <w:r>
        <w:rPr>
          <w:sz w:val="28"/>
          <w:szCs w:val="28"/>
          <w:lang w:eastAsia="x-none"/>
        </w:rPr>
        <w:t>В ходе достижения цели настоящих работ, при выявлении недостатков ТТ и ТЗ, разрабатываемых Подрядчиком, в рамках реализации договора, разработанных КД и РД, поставляемого оборудования и материалов, объема СМР и ПНР, Подрядчик собственными силами и за счет собственных средств обеспечивает устранение указанных недостатков в согласованном с Заказчиком объеме.</w:t>
      </w:r>
      <w:bookmarkEnd w:id="14"/>
    </w:p>
    <w:p>
      <w:pPr>
        <w:pStyle w:val="Normal"/>
        <w:rPr>
          <w:lang w:eastAsia="x-none"/>
        </w:rPr>
      </w:pPr>
      <w:r>
        <w:rPr>
          <w:lang w:eastAsia="x-none"/>
        </w:rPr>
      </w:r>
    </w:p>
    <w:p>
      <w:pPr>
        <w:pStyle w:val="Heading1"/>
        <w:numPr>
          <w:ilvl w:val="0"/>
          <w:numId w:val="13"/>
        </w:numPr>
        <w:jc w:val="both"/>
        <w:rPr>
          <w:caps/>
          <w:lang w:val="ru-RU"/>
        </w:rPr>
      </w:pPr>
      <w:bookmarkStart w:id="15" w:name="_Toc51339693"/>
      <w:r>
        <w:rPr/>
        <w:t>Требования к продукции</w:t>
      </w:r>
      <w:bookmarkEnd w:id="15"/>
    </w:p>
    <w:p>
      <w:pPr>
        <w:pStyle w:val="ListParagraph"/>
        <w:keepNext w:val="true"/>
        <w:numPr>
          <w:ilvl w:val="0"/>
          <w:numId w:val="11"/>
        </w:numPr>
        <w:spacing w:before="120" w:after="60"/>
        <w:contextualSpacing w:val="false"/>
        <w:outlineLvl w:val="2"/>
        <w:rPr>
          <w:b/>
          <w:vanish/>
          <w:lang w:val="x-none" w:eastAsia="x-none"/>
        </w:rPr>
      </w:pPr>
      <w:r>
        <w:rPr>
          <w:b/>
          <w:vanish/>
          <w:lang w:val="x-none" w:eastAsia="x-none"/>
        </w:rPr>
      </w:r>
    </w:p>
    <w:p>
      <w:pPr>
        <w:pStyle w:val="Heading3"/>
        <w:numPr>
          <w:ilvl w:val="1"/>
          <w:numId w:val="23"/>
        </w:numPr>
        <w:rPr/>
      </w:pPr>
      <w:r>
        <w:rPr/>
        <w:t xml:space="preserve">Требования </w:t>
      </w:r>
      <w:r>
        <w:rPr>
          <w:lang w:val="ru-RU"/>
        </w:rPr>
        <w:t>по</w:t>
      </w:r>
      <w:r>
        <w:rPr/>
        <w:t xml:space="preserve"> объемам и срокам</w:t>
      </w:r>
    </w:p>
    <w:p>
      <w:pPr>
        <w:pStyle w:val="Normal"/>
        <w:tabs>
          <w:tab w:val="clear" w:pos="708"/>
          <w:tab w:val="left" w:pos="426" w:leader="none"/>
        </w:tabs>
        <w:spacing w:before="120" w:after="120"/>
        <w:ind w:firstLine="142"/>
        <w:jc w:val="both"/>
        <w:rPr>
          <w:bCs/>
          <w:i/>
          <w:i/>
          <w:sz w:val="24"/>
          <w:szCs w:val="24"/>
          <w:shd w:fill="FFFF99" w:val="clear"/>
        </w:rPr>
      </w:pPr>
      <w:r>
        <w:rPr>
          <w:b/>
        </w:rPr>
        <w:t>Таблица 2. Требования к видам и объемам поставок МТР, работ, услуг</w:t>
      </w:r>
    </w:p>
    <w:tbl>
      <w:tblPr>
        <w:tblW w:w="981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826"/>
        <w:gridCol w:w="5435"/>
        <w:gridCol w:w="1535"/>
        <w:gridCol w:w="2013"/>
      </w:tblGrid>
      <w:tr>
        <w:trPr/>
        <w:tc>
          <w:tcPr>
            <w:tcW w:w="82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w:t>
            </w:r>
          </w:p>
          <w:p>
            <w:pPr>
              <w:pStyle w:val="Normal"/>
              <w:keepNext w:val="true"/>
              <w:widowControl w:val="false"/>
              <w:jc w:val="both"/>
              <w:rPr>
                <w:sz w:val="24"/>
                <w:szCs w:val="24"/>
              </w:rPr>
            </w:pPr>
            <w:r>
              <w:rPr>
                <w:sz w:val="24"/>
                <w:szCs w:val="24"/>
              </w:rPr>
              <w:t>п/п</w:t>
            </w:r>
          </w:p>
        </w:tc>
        <w:tc>
          <w:tcPr>
            <w:tcW w:w="543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Наименование работ (услуг) / этапа работ (услуг)</w:t>
            </w:r>
          </w:p>
        </w:tc>
        <w:tc>
          <w:tcPr>
            <w:tcW w:w="153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Единица измерения</w:t>
            </w:r>
          </w:p>
        </w:tc>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Количество</w:t>
            </w:r>
          </w:p>
        </w:tc>
      </w:tr>
      <w:tr>
        <w:trPr/>
        <w:tc>
          <w:tcPr>
            <w:tcW w:w="8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5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0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Проведение обследования для сбора информации по объему работ для разработки РД и КД</w:t>
            </w:r>
          </w:p>
        </w:tc>
        <w:tc>
          <w:tcPr>
            <w:tcW w:w="15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Объект ГА ст.№5</w:t>
            </w:r>
          </w:p>
        </w:tc>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1</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Разработка ТЗ на разработку рабочей документации и ТЗ на создание оборудования, собираемого на месте эксплуатации и согласование с Заказчиком</w:t>
            </w:r>
          </w:p>
        </w:tc>
        <w:tc>
          <w:tcPr>
            <w:tcW w:w="354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В соответствии с настоящими ТТ и требованиями приложений №1, 2, 3, 4, 5, 6 настоящих ТТ.</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Разработка РД, КД</w:t>
            </w:r>
          </w:p>
        </w:tc>
        <w:tc>
          <w:tcPr>
            <w:tcW w:w="354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В соответствии с настоящими ТТ и требованиями приложений №1, 2, 3, 4, 5, 6 настоящих ТТ.</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Изготовление и доставка по адресу поставки (Нижегородская область, Городецкий район, г. Заволжье. Филиал ПАО «РусГидро» - «Нижегородская ГЭС», ул. Привокзальная, д.14. Гидротехническое сооружение - Здание ГЭС) оборудования с конструкторской и эксплуатационной документацией</w:t>
            </w:r>
          </w:p>
        </w:tc>
        <w:tc>
          <w:tcPr>
            <w:tcW w:w="354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В соответствии с настоящими ТТ и требованиями приложений №1, 2, 3 настоящих ТТ.</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Выполнение строительно-монтажных и пусконаладочных работ</w:t>
            </w:r>
          </w:p>
        </w:tc>
        <w:tc>
          <w:tcPr>
            <w:tcW w:w="354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В соответствии с настоящими ТТ и требованиями приложений №7, 8, 9, 10, 16, 19 настоящих ТТ.</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Проведение обследования после демонтажных работ и уточнение РД и объемов работ</w:t>
            </w:r>
          </w:p>
        </w:tc>
        <w:tc>
          <w:tcPr>
            <w:tcW w:w="15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Объекты ГА ст.№5</w:t>
            </w:r>
          </w:p>
        </w:tc>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1</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Осуществление шеф-монтажных шеф-наладочных работ</w:t>
            </w:r>
          </w:p>
        </w:tc>
        <w:tc>
          <w:tcPr>
            <w:tcW w:w="15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Объекты ГА ст.№5</w:t>
            </w:r>
          </w:p>
        </w:tc>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1</w:t>
            </w:r>
          </w:p>
        </w:tc>
      </w:tr>
      <w:tr>
        <w:trPr/>
        <w:tc>
          <w:tcPr>
            <w:tcW w:w="8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jc w:val="both"/>
              <w:rPr>
                <w:sz w:val="28"/>
                <w:szCs w:val="28"/>
              </w:rPr>
            </w:pPr>
            <w:r>
              <w:rPr>
                <w:sz w:val="28"/>
                <w:szCs w:val="28"/>
              </w:rPr>
            </w:r>
          </w:p>
        </w:tc>
        <w:tc>
          <w:tcPr>
            <w:tcW w:w="543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Осуществление авторского надзора</w:t>
            </w:r>
          </w:p>
        </w:tc>
        <w:tc>
          <w:tcPr>
            <w:tcW w:w="15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Объекты ГА ст.№5</w:t>
            </w:r>
          </w:p>
        </w:tc>
        <w:tc>
          <w:tcPr>
            <w:tcW w:w="20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1</w:t>
            </w:r>
          </w:p>
        </w:tc>
      </w:tr>
    </w:tbl>
    <w:p>
      <w:pPr>
        <w:pStyle w:val="Normal"/>
        <w:rPr>
          <w:lang w:val="x-none" w:eastAsia="x-none"/>
        </w:rPr>
      </w:pPr>
      <w:r>
        <w:rPr>
          <w:lang w:eastAsia="x-none"/>
        </w:rPr>
        <w:t>Объем закупаемых МТР и оборудования определяется в согласованных с Заказчиком КД и РД.</w:t>
      </w:r>
    </w:p>
    <w:p>
      <w:pPr>
        <w:pStyle w:val="Normal"/>
        <w:tabs>
          <w:tab w:val="clear" w:pos="708"/>
          <w:tab w:val="left" w:pos="426" w:leader="none"/>
        </w:tabs>
        <w:spacing w:before="120" w:after="120"/>
        <w:ind w:firstLine="142"/>
        <w:jc w:val="both"/>
        <w:rPr>
          <w:bCs/>
          <w:i/>
          <w:i/>
          <w:sz w:val="24"/>
          <w:szCs w:val="24"/>
          <w:shd w:fill="FFFF99" w:val="clear"/>
        </w:rPr>
      </w:pPr>
      <w:r>
        <w:rPr>
          <w:b/>
        </w:rPr>
        <w:t>Таблица 3. Требования к срокам поставки МТР, выполнения работ / оказания услуг.</w:t>
      </w:r>
    </w:p>
    <w:tbl>
      <w:tblPr>
        <w:tblW w:w="1120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53"/>
        <w:gridCol w:w="5550"/>
        <w:gridCol w:w="1972"/>
        <w:gridCol w:w="2835"/>
        <w:gridCol w:w="295"/>
      </w:tblGrid>
      <w:tr>
        <w:trPr/>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w:t>
            </w:r>
          </w:p>
          <w:p>
            <w:pPr>
              <w:pStyle w:val="Normal"/>
              <w:keepNext w:val="true"/>
              <w:widowControl w:val="false"/>
              <w:jc w:val="both"/>
              <w:rPr>
                <w:sz w:val="24"/>
                <w:szCs w:val="24"/>
              </w:rPr>
            </w:pPr>
            <w:r>
              <w:rPr>
                <w:sz w:val="24"/>
                <w:szCs w:val="24"/>
              </w:rPr>
              <w:t>п/п</w:t>
            </w:r>
          </w:p>
        </w:tc>
        <w:tc>
          <w:tcPr>
            <w:tcW w:w="5550"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Наименование работ / услуг (вид / этап (работ/ услуг)</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Требования к началу срока выполнения работ / оказания услуг (этапа работ / услуг)</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both"/>
              <w:rPr>
                <w:sz w:val="24"/>
                <w:szCs w:val="24"/>
              </w:rPr>
            </w:pPr>
            <w:r>
              <w:rPr>
                <w:sz w:val="24"/>
                <w:szCs w:val="24"/>
              </w:rPr>
              <w:t>Требования к окончанию срока выполнения работ / оказания услуг (этапа работ / услуг)</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1</w:t>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2</w:t>
            </w:r>
          </w:p>
        </w:tc>
        <w:tc>
          <w:tcPr>
            <w:tcW w:w="197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3</w:t>
            </w:r>
          </w:p>
        </w:tc>
        <w:tc>
          <w:tcPr>
            <w:tcW w:w="283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rPr>
            </w:pPr>
            <w:r>
              <w:rPr>
                <w:b/>
                <w:sz w:val="24"/>
                <w:szCs w:val="24"/>
              </w:rPr>
              <w:t>4</w:t>
            </w:r>
          </w:p>
        </w:tc>
        <w:tc>
          <w:tcPr>
            <w:tcW w:w="295" w:type="dxa"/>
            <w:tcBorders/>
          </w:tcPr>
          <w:p>
            <w:pPr>
              <w:pStyle w:val="Normal"/>
              <w:widowControl w:val="false"/>
              <w:rPr/>
            </w:pPr>
            <w:r>
              <w:rPr/>
            </w:r>
          </w:p>
        </w:tc>
      </w:tr>
      <w:tr>
        <w:trPr/>
        <w:tc>
          <w:tcPr>
            <w:tcW w:w="10910" w:type="dxa"/>
            <w:gridSpan w:val="4"/>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4"/>
                <w:szCs w:val="24"/>
                <w:lang w:val="en-US"/>
              </w:rPr>
            </w:pPr>
            <w:r>
              <w:rPr>
                <w:b/>
                <w:sz w:val="24"/>
                <w:szCs w:val="24"/>
                <w:lang w:val="en-US"/>
              </w:rPr>
              <w:t>Объект ГА ст.№5</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lang w:val="en-US"/>
              </w:rPr>
            </w:pPr>
            <w:r>
              <w:rPr>
                <w:sz w:val="28"/>
                <w:szCs w:val="28"/>
                <w:lang w:val="en-US"/>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Проведение обследования для сбора информации по объему работ для разработки РД и КД</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С даты, следующей за датой заключения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30.08.2027</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Разработка ТЗ на разработку рабочей документации и ТЗ на создание оборудования, собираемого на месте эксплуатации и согласование с Заказчиком.</w:t>
            </w:r>
          </w:p>
          <w:p>
            <w:pPr>
              <w:pStyle w:val="Normal"/>
              <w:widowControl w:val="false"/>
              <w:tabs>
                <w:tab w:val="clear" w:pos="708"/>
                <w:tab w:val="left" w:pos="33" w:leader="none"/>
              </w:tabs>
              <w:jc w:val="both"/>
              <w:rPr/>
            </w:pPr>
            <w:r>
              <w:rPr/>
              <w:t>ТЗ на САУ ГА разрабатывается отдельно, однократно, в части САУ гидротурбины согласовывается с АО «СО ЕЭС», применяется при создании САУ ГА ст. № 5</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t>С даты, следующей за датой заключения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30.09.2027</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3" w:leader="none"/>
              </w:tabs>
              <w:jc w:val="both"/>
              <w:rPr/>
            </w:pPr>
            <w:r>
              <w:rPr/>
              <w:t>Разработка и передача РД, КД</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С даты, следующей за датой заключения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30.04.2028</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Изготовление и поставка по адресу доставки, указанному в таблице 2 п. 4 настоящих ТТ, оборудования с конструкторской и эксплуатационной документацией</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С даты, следующей за датой заключения договора</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27.10.2028</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Выполнение строительно-монтажных и пусконаладочных работ.</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30.08.2028</w:t>
            </w:r>
          </w:p>
          <w:p>
            <w:pPr>
              <w:pStyle w:val="Normal"/>
              <w:widowControl w:val="false"/>
              <w:jc w:val="center"/>
              <w:rPr/>
            </w:pPr>
            <w:r>
              <w:rPr/>
              <w:t>(плановая дата вывода ГА из эксплуатации)</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Calibri"/>
                <w:lang w:eastAsia="en-US"/>
              </w:rPr>
            </w:pPr>
            <w:r>
              <w:rPr/>
              <w:t>27.09.2029 (ввод ГА в работу в срок не позднее 393 календарных дней с даты вывода ГА.</w:t>
            </w:r>
          </w:p>
          <w:p>
            <w:pPr>
              <w:pStyle w:val="Normal"/>
              <w:widowControl w:val="false"/>
              <w:jc w:val="center"/>
              <w:rPr/>
            </w:pPr>
            <w:r>
              <w:rPr>
                <w:rFonts w:eastAsia="Calibri"/>
                <w:lang w:eastAsia="en-US"/>
              </w:rPr>
              <w:t>Не более двух месяцев сверх указанного периода на работы, не связанные с выводом гидроагрегата 26.11.2029</w:t>
            </w:r>
            <w:r>
              <w:rPr/>
              <w:t>)</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Проведение обследования после демонтажных работ и уточнение РД и объемов работ</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01.12.2028</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20.01.2029</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Осуществление шеф-монтажных шеф-наладочных работ</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01.01.2029</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27.09.2029</w:t>
            </w:r>
          </w:p>
        </w:tc>
        <w:tc>
          <w:tcPr>
            <w:tcW w:w="295" w:type="dxa"/>
            <w:tcBorders/>
          </w:tcPr>
          <w:p>
            <w:pPr>
              <w:pStyle w:val="Normal"/>
              <w:widowControl w:val="false"/>
              <w:rPr/>
            </w:pPr>
            <w:r>
              <w:rPr/>
            </w:r>
          </w:p>
        </w:tc>
      </w:tr>
      <w:tr>
        <w:trPr/>
        <w:tc>
          <w:tcPr>
            <w:tcW w:w="553"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7"/>
              </w:numPr>
              <w:jc w:val="both"/>
              <w:rPr>
                <w:sz w:val="28"/>
                <w:szCs w:val="28"/>
              </w:rPr>
            </w:pPr>
            <w:r>
              <w:rPr>
                <w:sz w:val="28"/>
                <w:szCs w:val="28"/>
              </w:rPr>
            </w:r>
          </w:p>
        </w:tc>
        <w:tc>
          <w:tcPr>
            <w:tcW w:w="555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Осуществление авторского надзора</w:t>
            </w:r>
          </w:p>
        </w:tc>
        <w:tc>
          <w:tcPr>
            <w:tcW w:w="197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lang w:val="en-US"/>
              </w:rPr>
              <w:t>01.01.2029</w:t>
            </w:r>
          </w:p>
        </w:tc>
        <w:tc>
          <w:tcPr>
            <w:tcW w:w="28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26.11.2029</w:t>
            </w:r>
          </w:p>
        </w:tc>
        <w:tc>
          <w:tcPr>
            <w:tcW w:w="295" w:type="dxa"/>
            <w:tcBorders/>
          </w:tcPr>
          <w:p>
            <w:pPr>
              <w:pStyle w:val="Normal"/>
              <w:widowControl w:val="false"/>
              <w:rPr/>
            </w:pPr>
            <w:r>
              <w:rPr/>
            </w:r>
          </w:p>
        </w:tc>
      </w:tr>
    </w:tbl>
    <w:p>
      <w:pPr>
        <w:sectPr>
          <w:headerReference w:type="default" r:id="rId2"/>
          <w:headerReference w:type="first" r:id="rId3"/>
          <w:type w:val="nextPage"/>
          <w:pgSz w:w="11906" w:h="16838"/>
          <w:pgMar w:left="1134" w:right="1133" w:gutter="0" w:header="680" w:top="994" w:footer="0" w:bottom="567"/>
          <w:pgNumType w:fmt="decimal"/>
          <w:formProt w:val="false"/>
          <w:titlePg/>
          <w:textDirection w:val="lrTb"/>
          <w:docGrid w:type="default" w:linePitch="360" w:charSpace="0"/>
        </w:sectPr>
        <w:pStyle w:val="Normal"/>
        <w:jc w:val="both"/>
        <w:rPr/>
      </w:pPr>
      <w:r>
        <w:rPr/>
        <w:t>Даты начала и окончания работ в таблице 3 установлены в соответствии с диспетчерским графиком вывода из эксплуатации оборудования для его замены.</w:t>
      </w:r>
    </w:p>
    <w:p>
      <w:pPr>
        <w:pStyle w:val="Heading2"/>
        <w:numPr>
          <w:ilvl w:val="1"/>
          <w:numId w:val="23"/>
        </w:numPr>
        <w:rPr/>
      </w:pPr>
      <w:bookmarkStart w:id="16" w:name="_Toc51339698"/>
      <w:r>
        <w:rPr/>
        <w:t>Требования к качеству продукции</w:t>
      </w:r>
    </w:p>
    <w:p>
      <w:pPr>
        <w:pStyle w:val="Heading1"/>
        <w:jc w:val="both"/>
        <w:rPr>
          <w:sz w:val="24"/>
          <w:szCs w:val="24"/>
          <w:lang w:val="ru-RU"/>
        </w:rPr>
      </w:pPr>
      <w:r>
        <w:rPr>
          <w:sz w:val="24"/>
          <w:szCs w:val="24"/>
        </w:rPr>
        <w:t>Таблица </w:t>
      </w:r>
      <w:r>
        <w:rPr>
          <w:sz w:val="24"/>
          <w:szCs w:val="24"/>
          <w:lang w:val="ru-RU"/>
        </w:rPr>
        <w:t>4</w:t>
      </w:r>
      <w:r>
        <w:rPr>
          <w:sz w:val="24"/>
          <w:szCs w:val="24"/>
        </w:rPr>
        <w:t xml:space="preserve">. Требования к </w:t>
      </w:r>
      <w:bookmarkEnd w:id="16"/>
      <w:r>
        <w:rPr>
          <w:sz w:val="24"/>
          <w:szCs w:val="24"/>
          <w:lang w:val="ru-RU"/>
        </w:rPr>
        <w:t>качеству закупаемой продукции</w:t>
      </w:r>
      <w:r>
        <w:rPr>
          <w:sz w:val="24"/>
          <w:szCs w:val="24"/>
        </w:rPr>
        <w:t xml:space="preserve"> </w:t>
      </w:r>
      <w:r>
        <w:rPr>
          <w:sz w:val="24"/>
          <w:szCs w:val="24"/>
          <w:lang w:val="ru-RU"/>
        </w:rPr>
        <w:t>и работам/услугам.</w:t>
      </w:r>
    </w:p>
    <w:tbl>
      <w:tblPr>
        <w:tblW w:w="11057" w:type="dxa"/>
        <w:jc w:val="left"/>
        <w:tblInd w:w="-572" w:type="dxa"/>
        <w:tblLayout w:type="fixed"/>
        <w:tblCellMar>
          <w:top w:w="0" w:type="dxa"/>
          <w:left w:w="108" w:type="dxa"/>
          <w:bottom w:w="0" w:type="dxa"/>
          <w:right w:w="108" w:type="dxa"/>
        </w:tblCellMar>
        <w:tblLook w:val="04a0" w:noHBand="0" w:noVBand="1" w:firstColumn="1" w:lastRow="0" w:lastColumn="0" w:firstRow="1"/>
      </w:tblPr>
      <w:tblGrid>
        <w:gridCol w:w="1134"/>
        <w:gridCol w:w="1985"/>
        <w:gridCol w:w="7370"/>
        <w:gridCol w:w="567"/>
      </w:tblGrid>
      <w:tr>
        <w:trPr/>
        <w:tc>
          <w:tcPr>
            <w:tcW w:w="113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sz w:val="24"/>
                <w:szCs w:val="24"/>
              </w:rPr>
            </w:pPr>
            <w:r>
              <w:rPr>
                <w:b/>
                <w:bCs/>
                <w:sz w:val="24"/>
                <w:szCs w:val="24"/>
              </w:rPr>
              <w:t xml:space="preserve">№ </w:t>
            </w:r>
            <w:r>
              <w:rPr>
                <w:b/>
                <w:bCs/>
                <w:sz w:val="24"/>
                <w:szCs w:val="24"/>
              </w:rPr>
              <w:t>п/п</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sz w:val="24"/>
                <w:szCs w:val="24"/>
              </w:rPr>
            </w:pPr>
            <w:r>
              <w:rPr>
                <w:b/>
                <w:bCs/>
                <w:sz w:val="24"/>
                <w:szCs w:val="24"/>
              </w:rPr>
              <w:t>Наименование параметра</w:t>
            </w:r>
          </w:p>
        </w:tc>
        <w:tc>
          <w:tcPr>
            <w:tcW w:w="73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sz w:val="24"/>
                <w:szCs w:val="24"/>
              </w:rPr>
            </w:pPr>
            <w:r>
              <w:rPr>
                <w:b/>
                <w:bCs/>
                <w:sz w:val="24"/>
                <w:szCs w:val="24"/>
              </w:rPr>
              <w:t>Требование Заказчика</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sz w:val="24"/>
                <w:szCs w:val="24"/>
              </w:rPr>
            </w:pPr>
            <w:r>
              <w:rPr>
                <w:b/>
                <w:bCs/>
                <w:sz w:val="24"/>
                <w:szCs w:val="24"/>
              </w:rPr>
            </w:r>
          </w:p>
        </w:tc>
      </w:tr>
      <w:tr>
        <w:trPr/>
        <w:tc>
          <w:tcPr>
            <w:tcW w:w="113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73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sz w:val="24"/>
                <w:szCs w:val="24"/>
              </w:rPr>
            </w:pPr>
            <w:r>
              <w:rPr>
                <w:b/>
                <w:bCs/>
                <w:sz w:val="24"/>
                <w:szCs w:val="24"/>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rPr>
            </w:pPr>
            <w:r>
              <w:rPr>
                <w:b/>
              </w:rPr>
              <w:t>1</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rPr>
            </w:pPr>
            <w:r>
              <w:rPr>
                <w:b/>
              </w:rPr>
              <w:t>2</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rPr>
            </w:pPr>
            <w:r>
              <w:rPr>
                <w:b/>
              </w:rPr>
              <w:t>3</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rPr>
            </w:pPr>
            <w:r>
              <w:rPr>
                <w:b/>
                <w:bCs/>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6"/>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rPr>
            </w:pPr>
            <w:r>
              <w:rPr>
                <w:b/>
              </w:rPr>
              <w:t>Требования к выполнению работ и оказанию услуг</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firstLine="142" w:left="-117"/>
              <w:contextualSpacing/>
              <w:jc w:val="both"/>
              <w:rPr>
                <w:b/>
                <w:bCs/>
                <w:sz w:val="28"/>
                <w:szCs w:val="28"/>
              </w:rPr>
            </w:pPr>
            <w:r>
              <w:rPr>
                <w:b/>
                <w:bCs/>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i/>
                <w:i/>
                <w:iCs/>
                <w:shd w:fill="FFFF99" w:val="clear"/>
              </w:rPr>
            </w:pPr>
            <w:r>
              <w:rPr>
                <w:b/>
              </w:rPr>
              <w:t xml:space="preserve">Требования к способам и технологиям выполнения работ и оказания услуг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6"/>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t>Требования к проведению обследовани</w:t>
            </w:r>
            <w:r>
              <w:rPr>
                <w:lang w:val="en-US"/>
              </w:rPr>
              <w:t>й</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6"/>
              </w:numPr>
              <w:tabs>
                <w:tab w:val="clear" w:pos="708"/>
                <w:tab w:val="left" w:pos="239" w:leader="none"/>
              </w:tabs>
              <w:ind w:hanging="0" w:left="-45"/>
              <w:jc w:val="both"/>
              <w:rPr>
                <w:sz w:val="28"/>
                <w:szCs w:val="28"/>
              </w:rPr>
            </w:pPr>
            <w:r>
              <w:rPr>
                <w:sz w:val="28"/>
                <w:szCs w:val="28"/>
              </w:rPr>
              <w:t>Подрядчик должен разработать программу обследования и согласовать ее с Заказчиком.</w:t>
            </w:r>
          </w:p>
          <w:p>
            <w:pPr>
              <w:pStyle w:val="ListParagraph"/>
              <w:widowControl w:val="false"/>
              <w:numPr>
                <w:ilvl w:val="3"/>
                <w:numId w:val="6"/>
              </w:numPr>
              <w:tabs>
                <w:tab w:val="clear" w:pos="708"/>
                <w:tab w:val="left" w:pos="239" w:leader="none"/>
              </w:tabs>
              <w:ind w:hanging="0" w:left="-45"/>
              <w:jc w:val="both"/>
              <w:rPr>
                <w:sz w:val="28"/>
                <w:szCs w:val="28"/>
              </w:rPr>
            </w:pPr>
            <w:r>
              <w:rPr>
                <w:sz w:val="28"/>
                <w:szCs w:val="28"/>
              </w:rPr>
              <w:t>Подрядчик должен предоставить результаты модельных испытаний и иных предусмотренных изготовителями контрольных, сборочных и иных операций при сборке и изготовлении оборудования.</w:t>
            </w:r>
          </w:p>
          <w:p>
            <w:pPr>
              <w:pStyle w:val="ListParagraph"/>
              <w:widowControl w:val="false"/>
              <w:numPr>
                <w:ilvl w:val="3"/>
                <w:numId w:val="6"/>
              </w:numPr>
              <w:tabs>
                <w:tab w:val="clear" w:pos="708"/>
                <w:tab w:val="left" w:pos="239" w:leader="none"/>
              </w:tabs>
              <w:ind w:hanging="0" w:left="-45"/>
              <w:jc w:val="both"/>
              <w:rPr>
                <w:sz w:val="28"/>
                <w:szCs w:val="28"/>
              </w:rPr>
            </w:pPr>
            <w:r>
              <w:rPr>
                <w:sz w:val="28"/>
                <w:szCs w:val="28"/>
              </w:rPr>
              <w:t>Подрядчик должен провести обследование оборудования и сооружений для подготовки ТЗ на создание оборудования и ТЗ на разработку рабочей документации. В рамках обследования должна быть произведена оценка остающихся закладных частей ГА.</w:t>
            </w:r>
          </w:p>
          <w:p>
            <w:pPr>
              <w:pStyle w:val="ListParagraph"/>
              <w:widowControl w:val="false"/>
              <w:numPr>
                <w:ilvl w:val="3"/>
                <w:numId w:val="6"/>
              </w:numPr>
              <w:tabs>
                <w:tab w:val="clear" w:pos="708"/>
                <w:tab w:val="left" w:pos="239" w:leader="none"/>
              </w:tabs>
              <w:ind w:hanging="0" w:left="-45"/>
              <w:jc w:val="both"/>
              <w:rPr>
                <w:sz w:val="28"/>
                <w:szCs w:val="28"/>
              </w:rPr>
            </w:pPr>
            <w:r>
              <w:rPr>
                <w:sz w:val="28"/>
                <w:szCs w:val="28"/>
              </w:rPr>
              <w:t>Обследование должно включать в себя оценку общего состояния существующего оборудования, сооружений, возможности использования имеющихся помещений, конструкций, сооружений, кабельной канализации, систем электропитания. Обследование должно определять объем монтажных и демонтажных работ. Обследования Объекта ГА ст.№5 выполняются раздельно по следующим группам:</w:t>
            </w:r>
          </w:p>
          <w:p>
            <w:pPr>
              <w:pStyle w:val="ListParagraph"/>
              <w:widowControl w:val="false"/>
              <w:tabs>
                <w:tab w:val="clear" w:pos="708"/>
                <w:tab w:val="left" w:pos="239" w:leader="none"/>
              </w:tabs>
              <w:ind w:left="-45"/>
              <w:jc w:val="both"/>
              <w:rPr>
                <w:sz w:val="28"/>
                <w:szCs w:val="28"/>
              </w:rPr>
            </w:pPr>
            <w:r>
              <w:rPr>
                <w:sz w:val="28"/>
                <w:szCs w:val="28"/>
              </w:rPr>
              <w:t>- механическое оборудование;</w:t>
            </w:r>
          </w:p>
          <w:p>
            <w:pPr>
              <w:pStyle w:val="ListParagraph"/>
              <w:widowControl w:val="false"/>
              <w:tabs>
                <w:tab w:val="clear" w:pos="708"/>
                <w:tab w:val="left" w:pos="239" w:leader="none"/>
              </w:tabs>
              <w:ind w:left="-45"/>
              <w:jc w:val="both"/>
              <w:rPr>
                <w:sz w:val="28"/>
                <w:szCs w:val="28"/>
              </w:rPr>
            </w:pPr>
            <w:r>
              <w:rPr>
                <w:sz w:val="28"/>
                <w:szCs w:val="28"/>
              </w:rPr>
              <w:t>- электротехническое оборудование;</w:t>
            </w:r>
          </w:p>
          <w:p>
            <w:pPr>
              <w:pStyle w:val="ListParagraph"/>
              <w:widowControl w:val="false"/>
              <w:tabs>
                <w:tab w:val="clear" w:pos="708"/>
                <w:tab w:val="left" w:pos="239" w:leader="none"/>
              </w:tabs>
              <w:ind w:left="-45"/>
              <w:jc w:val="both"/>
              <w:rPr>
                <w:sz w:val="28"/>
                <w:szCs w:val="28"/>
              </w:rPr>
            </w:pPr>
            <w:r>
              <w:rPr>
                <w:sz w:val="28"/>
                <w:szCs w:val="28"/>
              </w:rPr>
              <w:t>- объекты автоматизации;</w:t>
            </w:r>
          </w:p>
          <w:p>
            <w:pPr>
              <w:pStyle w:val="ListParagraph"/>
              <w:widowControl w:val="false"/>
              <w:tabs>
                <w:tab w:val="clear" w:pos="708"/>
                <w:tab w:val="left" w:pos="239" w:leader="none"/>
              </w:tabs>
              <w:ind w:left="-45"/>
              <w:jc w:val="both"/>
              <w:rPr>
                <w:sz w:val="28"/>
                <w:szCs w:val="28"/>
              </w:rPr>
            </w:pPr>
            <w:r>
              <w:rPr>
                <w:sz w:val="28"/>
                <w:szCs w:val="28"/>
              </w:rPr>
              <w:t>- строительные конструкции (бетонные части, несущие и ограждающие конструкции, закладные);</w:t>
            </w:r>
          </w:p>
          <w:p>
            <w:pPr>
              <w:pStyle w:val="ListParagraph"/>
              <w:widowControl w:val="false"/>
              <w:tabs>
                <w:tab w:val="clear" w:pos="708"/>
                <w:tab w:val="left" w:pos="239" w:leader="none"/>
              </w:tabs>
              <w:ind w:left="-45"/>
              <w:jc w:val="both"/>
              <w:rPr>
                <w:sz w:val="28"/>
                <w:szCs w:val="28"/>
              </w:rPr>
            </w:pPr>
            <w:r>
              <w:rPr>
                <w:sz w:val="28"/>
                <w:szCs w:val="28"/>
              </w:rPr>
              <w:t>- архитектурные решения (отделочные работы помещений).</w:t>
            </w:r>
          </w:p>
          <w:p>
            <w:pPr>
              <w:pStyle w:val="ListParagraph"/>
              <w:widowControl w:val="false"/>
              <w:tabs>
                <w:tab w:val="clear" w:pos="708"/>
                <w:tab w:val="left" w:pos="239" w:leader="none"/>
              </w:tabs>
              <w:ind w:left="-45"/>
              <w:jc w:val="both"/>
              <w:rPr>
                <w:sz w:val="28"/>
                <w:szCs w:val="28"/>
              </w:rPr>
            </w:pPr>
            <w:r>
              <w:rPr>
                <w:sz w:val="28"/>
                <w:szCs w:val="28"/>
              </w:rPr>
              <w:t>По результатам обследования Подрядчиком составляется отчет, определяются границы проектирования и разрабатывается ТЗ на разработку рабочей документации и ТЗ на создание оборудования, собираемого на месте эксплуатации. Все указанные документы согласовываются с Заказчиком.</w:t>
            </w:r>
          </w:p>
          <w:p>
            <w:pPr>
              <w:pStyle w:val="Normal"/>
              <w:widowControl w:val="false"/>
              <w:jc w:val="both"/>
              <w:rPr/>
            </w:pPr>
            <w:r>
              <w:rPr/>
              <w:t>Подрядчиком выполняется обследование электромагнитной совместимости проектируемого нового оборудования в существующих условиях Нижегородской ГЭС в соответствии с действующими НПА и НТД. Обследование должно включать в себя разработку программы, обследование заземляющего устройства, молниезащиты и электромагнитной обстановки, оценку применяемых проектных решений в рамках разработки рабочей документации, предоставление отчета с выводами и рекомендациями. По результатам обследования при необходимости вносятся изменения в рабочую документацию, разрабатываемую в рамках настоящих ТТ.</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6"/>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Fonts w:eastAsia="Calibri"/>
              </w:rPr>
              <w:t>Требования к разработке ТЗ.</w:t>
            </w:r>
          </w:p>
        </w:tc>
        <w:tc>
          <w:tcPr>
            <w:tcW w:w="7370" w:type="dxa"/>
            <w:tcBorders>
              <w:top w:val="single" w:sz="4" w:space="0" w:color="000000"/>
              <w:left w:val="single" w:sz="4" w:space="0" w:color="000000"/>
              <w:bottom w:val="single" w:sz="4" w:space="0" w:color="000000"/>
              <w:right w:val="single" w:sz="4" w:space="0" w:color="000000"/>
            </w:tcBorders>
          </w:tcPr>
          <w:p>
            <w:pPr>
              <w:pStyle w:val="112"/>
              <w:widowControl w:val="false"/>
              <w:numPr>
                <w:ilvl w:val="3"/>
                <w:numId w:val="6"/>
              </w:numPr>
              <w:shd w:val="clear" w:color="auto" w:fill="auto"/>
              <w:spacing w:lineRule="auto" w:line="240" w:before="0" w:after="0"/>
              <w:ind w:hanging="0" w:left="0"/>
              <w:jc w:val="both"/>
              <w:outlineLvl w:val="9"/>
              <w:rPr>
                <w:b w:val="false"/>
              </w:rPr>
            </w:pPr>
            <w:r>
              <w:rPr>
                <w:b w:val="false"/>
              </w:rPr>
              <w:t>Технические задания разрабатываются Подрядчиком и согласовываются Заказчиком.</w:t>
            </w:r>
          </w:p>
          <w:p>
            <w:pPr>
              <w:pStyle w:val="112"/>
              <w:widowControl w:val="false"/>
              <w:numPr>
                <w:ilvl w:val="3"/>
                <w:numId w:val="6"/>
              </w:numPr>
              <w:shd w:val="clear" w:color="auto" w:fill="auto"/>
              <w:spacing w:lineRule="auto" w:line="240" w:before="0" w:after="0"/>
              <w:ind w:hanging="0" w:left="0"/>
              <w:jc w:val="both"/>
              <w:outlineLvl w:val="9"/>
              <w:rPr>
                <w:b w:val="false"/>
              </w:rPr>
            </w:pPr>
            <w:r>
              <w:rPr>
                <w:b w:val="false"/>
              </w:rPr>
              <w:t>Технические задания должны являться исходными документами, признанными Заказчиком и Подрядчиком, содержащими необходимые и достаточные требования для изготовления оборудования и разработки РД, поставки, монтажа, испытаний и приёмки, в том числе с участием специализированных организаций, привлекаемых к работам согласно данных ТТ.</w:t>
            </w:r>
          </w:p>
          <w:p>
            <w:pPr>
              <w:pStyle w:val="112"/>
              <w:widowControl w:val="false"/>
              <w:numPr>
                <w:ilvl w:val="3"/>
                <w:numId w:val="6"/>
              </w:numPr>
              <w:shd w:val="clear" w:color="auto" w:fill="auto"/>
              <w:spacing w:lineRule="auto" w:line="240" w:before="0" w:after="0"/>
              <w:ind w:hanging="0" w:left="0"/>
              <w:jc w:val="both"/>
              <w:outlineLvl w:val="9"/>
              <w:rPr>
                <w:b w:val="false"/>
              </w:rPr>
            </w:pPr>
            <w:r>
              <w:rPr>
                <w:b w:val="false"/>
              </w:rPr>
              <w:t>В ТЗ должны быть установлены технические и экономические требования к оборудованию и материалам, в том числе уровню заводской готовности и монтажной технологичности, требования к разработке, изготовлению и приемочному контролю, включая объем заводской контрольной сборки и испытаний, требования к комплектности поставки, а также требования к готовности строительной части, наладке, испытаниям на объекте, приемке, техническому обслуживанию и ремонту.</w:t>
            </w:r>
          </w:p>
          <w:p>
            <w:pPr>
              <w:pStyle w:val="112"/>
              <w:widowControl w:val="false"/>
              <w:numPr>
                <w:ilvl w:val="3"/>
                <w:numId w:val="6"/>
              </w:numPr>
              <w:shd w:val="clear" w:color="auto" w:fill="auto"/>
              <w:spacing w:lineRule="auto" w:line="240" w:before="0" w:after="0"/>
              <w:ind w:hanging="0" w:left="0"/>
              <w:jc w:val="both"/>
              <w:outlineLvl w:val="9"/>
              <w:rPr>
                <w:b w:val="false"/>
              </w:rPr>
            </w:pPr>
            <w:r>
              <w:rPr>
                <w:b w:val="false"/>
              </w:rPr>
              <w:t>В ТЗ должны быть включены требования по обоснованию способов организации строительства и технологий производства работ с учетом компоновочных и конструктивных решений по гидротехническим сооружениям и оборудованию ГЭС с привязкой к другим подсистемам включая требования по внесению изменений в существующие подсистемы (в том числе СВ, электроснабжения, СК, СОПТ, ГРАМ, ГРНРМ, РЗА ГГ и силовых трансформаторов, ПА, ССПИ, АИИС КУЭ, АСУЭ, воздухоснабжения, маслоснабжения, ТВС пожаротушения и других подсистем и вспомогательного оборудования) с учетом условий монтажа и доставки к месту монтажа.</w:t>
            </w:r>
          </w:p>
          <w:p>
            <w:pPr>
              <w:pStyle w:val="112"/>
              <w:widowControl w:val="false"/>
              <w:numPr>
                <w:ilvl w:val="3"/>
                <w:numId w:val="6"/>
              </w:numPr>
              <w:shd w:val="clear" w:color="auto" w:fill="auto"/>
              <w:spacing w:lineRule="auto" w:line="240" w:before="0" w:after="0"/>
              <w:ind w:hanging="0" w:left="0"/>
              <w:jc w:val="both"/>
              <w:outlineLvl w:val="9"/>
              <w:rPr>
                <w:b w:val="false"/>
              </w:rPr>
            </w:pPr>
            <w:r>
              <w:rPr>
                <w:b w:val="false"/>
              </w:rPr>
              <w:t>Не допускается включать в ТЗ требования, которые противоречат требованиям стандартов и нормативных документов органов, осуществляющих надзор за безопасностью, охраной здоровья и природы.</w:t>
            </w:r>
          </w:p>
          <w:p>
            <w:pPr>
              <w:pStyle w:val="112"/>
              <w:widowControl w:val="false"/>
              <w:numPr>
                <w:ilvl w:val="3"/>
                <w:numId w:val="6"/>
              </w:numPr>
              <w:shd w:val="clear" w:color="auto" w:fill="auto"/>
              <w:spacing w:lineRule="auto" w:line="240" w:before="0" w:after="0"/>
              <w:ind w:hanging="0" w:left="0"/>
              <w:jc w:val="both"/>
              <w:outlineLvl w:val="9"/>
              <w:rPr>
                <w:b w:val="false"/>
              </w:rPr>
            </w:pPr>
            <w:r>
              <w:rPr>
                <w:b w:val="false"/>
              </w:rPr>
              <w:t>Разработка ТЗ с учетом приложений №4, 5, 6 к настоящим ТТ должна быть предусмотрена в следующем минимальном составе:</w:t>
            </w:r>
          </w:p>
          <w:p>
            <w:pPr>
              <w:pStyle w:val="112"/>
              <w:widowControl w:val="false"/>
              <w:shd w:val="clear" w:color="auto" w:fill="auto"/>
              <w:spacing w:lineRule="auto" w:line="240" w:before="0" w:after="0"/>
              <w:ind w:hanging="0"/>
              <w:jc w:val="both"/>
              <w:outlineLvl w:val="9"/>
              <w:rPr>
                <w:b w:val="false"/>
              </w:rPr>
            </w:pPr>
            <w:r>
              <w:rPr>
                <w:b w:val="false"/>
              </w:rPr>
              <w:t>- Разработка РД по замене (техническому перевооружению) гидротурбинной установки, включая технологию выполнения демонтажных работ с учетом имеющихся и поставляемых приспособлений (оснастки) в соответствии с приложениями №1, 17;</w:t>
            </w:r>
          </w:p>
          <w:p>
            <w:pPr>
              <w:pStyle w:val="112"/>
              <w:widowControl w:val="false"/>
              <w:shd w:val="clear" w:color="auto" w:fill="auto"/>
              <w:spacing w:lineRule="auto" w:line="240" w:before="0" w:after="0"/>
              <w:ind w:hanging="0"/>
              <w:jc w:val="both"/>
              <w:outlineLvl w:val="9"/>
              <w:rPr>
                <w:b w:val="false"/>
              </w:rPr>
            </w:pPr>
            <w:r>
              <w:rPr>
                <w:b w:val="false"/>
              </w:rPr>
              <w:t>- Разработка РД по замене (техническому перевооружению) гидрогенераторной установки (включая СВ, АСПТ), включая технологию выполнения демонтажных работ с учетом имеющихся и поставляемых приспособлений (оснастки) в соответствии с приложениями №2, 17;</w:t>
            </w:r>
          </w:p>
          <w:p>
            <w:pPr>
              <w:pStyle w:val="112"/>
              <w:widowControl w:val="false"/>
              <w:shd w:val="clear" w:color="auto" w:fill="auto"/>
              <w:spacing w:lineRule="auto" w:line="240" w:before="0" w:after="0"/>
              <w:ind w:hanging="0"/>
              <w:jc w:val="both"/>
              <w:outlineLvl w:val="9"/>
              <w:rPr>
                <w:b w:val="false"/>
              </w:rPr>
            </w:pPr>
            <w:r>
              <w:rPr>
                <w:b w:val="false"/>
              </w:rPr>
              <w:t>- на систему автоматизированного управления гидроагрегатом (САУ ГА);</w:t>
            </w:r>
          </w:p>
          <w:p>
            <w:pPr>
              <w:pStyle w:val="112"/>
              <w:widowControl w:val="false"/>
              <w:shd w:val="clear" w:color="auto" w:fill="auto"/>
              <w:spacing w:lineRule="auto" w:line="240" w:before="0" w:after="0"/>
              <w:ind w:hanging="0"/>
              <w:jc w:val="both"/>
              <w:outlineLvl w:val="9"/>
              <w:rPr>
                <w:b w:val="false"/>
              </w:rPr>
            </w:pPr>
            <w:r>
              <w:rPr>
                <w:b w:val="false"/>
              </w:rPr>
              <w:t>- ТЗ на проектирование РЗА ГА:</w:t>
            </w:r>
          </w:p>
          <w:p>
            <w:pPr>
              <w:pStyle w:val="112"/>
              <w:widowControl w:val="false"/>
              <w:shd w:val="clear" w:color="auto" w:fill="auto"/>
              <w:spacing w:lineRule="auto" w:line="240" w:before="0" w:after="0"/>
              <w:ind w:hanging="0"/>
              <w:jc w:val="both"/>
              <w:outlineLvl w:val="9"/>
              <w:rPr>
                <w:b w:val="false"/>
              </w:rPr>
            </w:pPr>
            <w:r>
              <w:rPr>
                <w:b w:val="false"/>
              </w:rPr>
              <w:t>-трансформаторов блока генератор-трансформатор, включая технологию выполнения демонтажных работ с учетом имеющихся и поставляемых приспособлений (оснастки) в соответствии с приложениями №3, 17;</w:t>
            </w:r>
          </w:p>
          <w:p>
            <w:pPr>
              <w:pStyle w:val="112"/>
              <w:widowControl w:val="false"/>
              <w:shd w:val="clear" w:color="auto" w:fill="auto"/>
              <w:spacing w:lineRule="auto" w:line="240" w:before="0" w:after="0"/>
              <w:ind w:hanging="0"/>
              <w:jc w:val="both"/>
              <w:outlineLvl w:val="9"/>
              <w:rPr>
                <w:b w:val="false"/>
              </w:rPr>
            </w:pPr>
            <w:r>
              <w:rPr>
                <w:b w:val="false"/>
              </w:rPr>
              <w:t>- Разработка РД по замене токопровода 13,8 кВ с оборудованием, включая технологию выполнения демонтажных работ с учетом имеющихся и поставляемых приспособлений (оснастки) в соответствии с приложениями №2, 17;</w:t>
            </w:r>
          </w:p>
          <w:p>
            <w:pPr>
              <w:pStyle w:val="112"/>
              <w:widowControl w:val="false"/>
              <w:shd w:val="clear" w:color="auto" w:fill="auto"/>
              <w:spacing w:lineRule="auto" w:line="240" w:before="0" w:after="0"/>
              <w:ind w:hanging="0"/>
              <w:jc w:val="both"/>
              <w:outlineLvl w:val="9"/>
              <w:rPr>
                <w:b w:val="false"/>
              </w:rPr>
            </w:pPr>
            <w:r>
              <w:rPr>
                <w:b w:val="false"/>
              </w:rPr>
              <w:t>- Разработка РД по замене и монтажу вспомогательного оборудования, включая технологию выполнения демонтажных работ с учетом поставляемых приспособлений (оснастки) и имеющихся в приложении № 17;</w:t>
            </w:r>
          </w:p>
          <w:p>
            <w:pPr>
              <w:pStyle w:val="Normal"/>
              <w:widowControl w:val="false"/>
              <w:jc w:val="both"/>
              <w:rPr/>
            </w:pPr>
            <w:r>
              <w:rPr/>
              <w:t>- Разработка РД по строительным решениям, включая технологию выполнения демонтажных работ с учетом поставляемых приспособлений (оснастки) и имеющихся в приложении № 17 и границ проектирования по строительной части: </w:t>
            </w:r>
          </w:p>
          <w:p>
            <w:pPr>
              <w:pStyle w:val="Normal"/>
              <w:widowControl w:val="false"/>
              <w:rPr/>
            </w:pPr>
            <w:r>
              <w:rPr/>
              <w:t>В вертикальных плоскостях:</w:t>
            </w:r>
          </w:p>
          <w:p>
            <w:pPr>
              <w:pStyle w:val="Normal"/>
              <w:widowControl w:val="false"/>
              <w:rPr/>
            </w:pPr>
            <w:r>
              <w:rPr/>
              <w:t>- ГА5: по границе деформационного шва между секциями №2 и №3 здания ГЭС со стороны секции №3 (включая сам деформационный шов) и оси, проходящей между смежными колоннами 500-тонного крана со стороны левого берега между ГА5 и ГА6 (включая МНУ ГА5) - в поперечном направлении. А также в осях пазов ремонтных затворов со стороны нижнего и верхнего бьефа соответственно - в продольном направлении.</w:t>
            </w:r>
          </w:p>
          <w:p>
            <w:pPr>
              <w:pStyle w:val="Normal"/>
              <w:widowControl w:val="false"/>
              <w:jc w:val="both"/>
              <w:rPr/>
            </w:pPr>
            <w:r>
              <w:rPr/>
              <w:t>Границы проектирования уточняются по месту в рамках предпроектного обследования.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6"/>
              </w:numPr>
              <w:spacing w:before="60" w:after="60"/>
              <w:ind w:hanging="504" w:left="462"/>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Требования к разработке КД и РД</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6"/>
              </w:numPr>
              <w:tabs>
                <w:tab w:val="clear" w:pos="708"/>
                <w:tab w:val="left" w:pos="237" w:leader="none"/>
              </w:tabs>
              <w:ind w:hanging="0" w:left="99"/>
              <w:jc w:val="both"/>
              <w:rPr>
                <w:sz w:val="28"/>
                <w:szCs w:val="28"/>
              </w:rPr>
            </w:pPr>
            <w:r>
              <w:rPr>
                <w:sz w:val="28"/>
                <w:szCs w:val="28"/>
              </w:rPr>
              <w:t>Требования к разработке РД указаны в приложениях №5, 6, 7 к настоящим ТТ</w:t>
            </w:r>
          </w:p>
          <w:p>
            <w:pPr>
              <w:pStyle w:val="ListParagraph"/>
              <w:widowControl w:val="false"/>
              <w:numPr>
                <w:ilvl w:val="3"/>
                <w:numId w:val="6"/>
              </w:numPr>
              <w:tabs>
                <w:tab w:val="clear" w:pos="708"/>
                <w:tab w:val="left" w:pos="237" w:leader="none"/>
              </w:tabs>
              <w:ind w:hanging="0" w:left="99"/>
              <w:jc w:val="both"/>
              <w:rPr>
                <w:sz w:val="28"/>
                <w:szCs w:val="28"/>
              </w:rPr>
            </w:pPr>
            <w:r>
              <w:rPr>
                <w:sz w:val="28"/>
                <w:szCs w:val="28"/>
              </w:rPr>
              <w:t>Задания заводам-изготовителям в части оборудования, поставляемого в рамках Приложений №1, №2, №3 к настоящим ТТ формируются на основании КД и РД, разрабатываемой согласно настоящих ТТ.</w:t>
            </w:r>
          </w:p>
          <w:p>
            <w:pPr>
              <w:pStyle w:val="ListParagraph"/>
              <w:widowControl w:val="false"/>
              <w:numPr>
                <w:ilvl w:val="3"/>
                <w:numId w:val="6"/>
              </w:numPr>
              <w:ind w:hanging="0" w:left="99"/>
              <w:jc w:val="both"/>
              <w:rPr>
                <w:sz w:val="28"/>
                <w:szCs w:val="28"/>
              </w:rPr>
            </w:pPr>
            <w:bookmarkStart w:id="17" w:name="_Hlk197963744"/>
            <w:r>
              <w:rPr>
                <w:sz w:val="28"/>
                <w:szCs w:val="28"/>
              </w:rPr>
              <w:t>В рамках разработки конструкторской и рабочей документации, поставки оборудования, а также проведения СМР и ПНР ГА ст.№5 должны применяться унифицированные технические решения, примененные на новых гидроагрегатах ст.№1, 2, 4, 7 производства АО «Силовые машины». Однотипное вспомогательное оборудование, узлы и элементы основного оборудования одинакового наименования и назначения должны быть полностью взаимозаменяемы и иметь возможность применения на каждом из пяти замененных гидроагрегатов Нижегородской ГЭС. Допускается применение иных технических решений, улучшающих процесс эксплуатации оборудования по согласованию с Заказчиком в процессе исполнения договора по настоящим ТТ.</w:t>
            </w:r>
            <w:bookmarkEnd w:id="17"/>
          </w:p>
          <w:p>
            <w:pPr>
              <w:pStyle w:val="ListParagraph"/>
              <w:widowControl w:val="false"/>
              <w:numPr>
                <w:ilvl w:val="3"/>
                <w:numId w:val="6"/>
              </w:numPr>
              <w:tabs>
                <w:tab w:val="clear" w:pos="708"/>
                <w:tab w:val="left" w:pos="237" w:leader="none"/>
              </w:tabs>
              <w:ind w:hanging="0" w:left="99"/>
              <w:jc w:val="both"/>
              <w:rPr>
                <w:sz w:val="28"/>
                <w:szCs w:val="28"/>
                <w:lang w:val="en-US"/>
              </w:rPr>
            </w:pPr>
            <w:r>
              <w:rPr>
                <w:sz w:val="28"/>
                <w:szCs w:val="28"/>
              </w:rPr>
              <w:t xml:space="preserve">Технические решения, разрабатываемые и применяемые в рамках реализации настоящих ТТ, в том числе при разработке конструкторской и рабочей документации, не должны приводить к корректировке проектной документации и прохождению </w:t>
            </w:r>
            <w:r>
              <w:rPr>
                <w:sz w:val="28"/>
                <w:szCs w:val="28"/>
                <w:lang w:val="en-US"/>
              </w:rPr>
              <w:t>«Главгосэкспертизы России».</w:t>
            </w:r>
          </w:p>
          <w:p>
            <w:pPr>
              <w:pStyle w:val="ListParagraph"/>
              <w:widowControl w:val="false"/>
              <w:numPr>
                <w:ilvl w:val="3"/>
                <w:numId w:val="6"/>
              </w:numPr>
              <w:tabs>
                <w:tab w:val="clear" w:pos="708"/>
                <w:tab w:val="left" w:pos="237" w:leader="none"/>
              </w:tabs>
              <w:ind w:hanging="0" w:left="99"/>
              <w:jc w:val="both"/>
              <w:rPr>
                <w:sz w:val="28"/>
                <w:szCs w:val="28"/>
              </w:rPr>
            </w:pPr>
            <w:r>
              <w:rPr>
                <w:sz w:val="28"/>
                <w:szCs w:val="28"/>
              </w:rPr>
              <w:t>В рамках разработки рабочей документации, за 60 календарных дней до начала поставки, предоставить Заказчику сводную заказную спецификацию всего поставляемого на основании рабочей документации оборудования и материалов по каждой поставочной позиции.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6"/>
              </w:numPr>
              <w:spacing w:before="60" w:after="60"/>
              <w:ind w:hanging="504" w:left="462"/>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Общие требования к созданию рабочей и конструкторской документации</w:t>
            </w:r>
          </w:p>
        </w:tc>
        <w:tc>
          <w:tcPr>
            <w:tcW w:w="737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8"/>
              <w:jc w:val="both"/>
              <w:rPr/>
            </w:pPr>
            <w:r>
              <w:rPr>
                <w:rFonts w:eastAsia="Calibri"/>
              </w:rPr>
              <w:t>Разработка КД на замену объекта ГА ст.№5</w:t>
            </w:r>
            <w:r>
              <w:rPr>
                <w:rFonts w:eastAsia="Calibri"/>
                <w:lang w:val="en-US"/>
              </w:rPr>
              <w:t> </w:t>
            </w:r>
            <w:r>
              <w:rPr>
                <w:rFonts w:eastAsia="Calibri"/>
              </w:rPr>
              <w:t>в объеме требований</w:t>
            </w:r>
            <w:r>
              <w:rPr>
                <w:rFonts w:eastAsia="Calibri"/>
                <w:lang w:val="en-US"/>
              </w:rPr>
              <w:t> </w:t>
            </w:r>
            <w:r>
              <w:rPr>
                <w:rFonts w:eastAsia="Calibri"/>
              </w:rPr>
              <w:t>приложений</w:t>
            </w:r>
            <w:r>
              <w:rPr>
                <w:rFonts w:eastAsia="Calibri"/>
                <w:lang w:val="en-US"/>
              </w:rPr>
              <w:t> </w:t>
            </w:r>
            <w:r>
              <w:rPr>
                <w:rFonts w:eastAsia="Calibri"/>
              </w:rPr>
              <w:t>№1,</w:t>
            </w:r>
            <w:r>
              <w:rPr>
                <w:rFonts w:eastAsia="Calibri"/>
                <w:lang w:val="en-US"/>
              </w:rPr>
              <w:t> </w:t>
            </w:r>
            <w:r>
              <w:rPr>
                <w:rFonts w:eastAsia="Calibri"/>
              </w:rPr>
              <w:t>2,</w:t>
            </w:r>
            <w:r>
              <w:rPr>
                <w:rFonts w:eastAsia="Calibri"/>
                <w:lang w:val="en-US"/>
              </w:rPr>
              <w:t> </w:t>
            </w:r>
            <w:r>
              <w:rPr>
                <w:rFonts w:eastAsia="Calibri"/>
              </w:rPr>
              <w:t>3</w:t>
            </w:r>
            <w:r>
              <w:rPr>
                <w:rFonts w:eastAsia="Calibri"/>
                <w:lang w:val="en-US"/>
              </w:rPr>
              <w:t> </w:t>
            </w:r>
            <w:r>
              <w:rPr>
                <w:rFonts w:eastAsia="Calibri"/>
              </w:rPr>
              <w:t>11</w:t>
            </w:r>
            <w:r>
              <w:rPr>
                <w:rFonts w:eastAsia="Calibri"/>
                <w:lang w:val="en-US"/>
              </w:rPr>
              <w:t> </w:t>
            </w:r>
            <w:r>
              <w:rPr>
                <w:rFonts w:eastAsia="Calibri"/>
              </w:rPr>
              <w:t>к настоящему</w:t>
            </w:r>
            <w:r>
              <w:rPr>
                <w:rFonts w:eastAsia="Calibri"/>
                <w:lang w:val="en-US"/>
              </w:rPr>
              <w:t> </w:t>
            </w:r>
            <w:r>
              <w:rPr>
                <w:rFonts w:eastAsia="Calibri"/>
              </w:rPr>
              <w:t>ТТ.</w:t>
            </w:r>
          </w:p>
          <w:p>
            <w:pPr>
              <w:pStyle w:val="Normal"/>
              <w:widowControl w:val="false"/>
              <w:jc w:val="both"/>
              <w:rPr/>
            </w:pPr>
            <w:r>
              <w:rPr>
                <w:rFonts w:eastAsia="Calibri"/>
              </w:rPr>
              <w:t>Комплект конструкторских</w:t>
            </w:r>
            <w:r>
              <w:rPr>
                <w:rFonts w:eastAsia="Calibri"/>
                <w:lang w:val="en-US"/>
              </w:rPr>
              <w:t> </w:t>
            </w:r>
            <w:r>
              <w:rPr>
                <w:rFonts w:eastAsia="Calibri"/>
              </w:rPr>
              <w:t>документов</w:t>
            </w:r>
            <w:r>
              <w:rPr>
                <w:rFonts w:eastAsia="Calibri"/>
                <w:lang w:val="en-US"/>
              </w:rPr>
              <w:t> </w:t>
            </w:r>
            <w:r>
              <w:rPr>
                <w:rFonts w:eastAsia="Calibri"/>
              </w:rPr>
              <w:t>в</w:t>
            </w:r>
            <w:r>
              <w:rPr>
                <w:rFonts w:eastAsia="Calibri"/>
                <w:lang w:val="en-US"/>
              </w:rPr>
              <w:t> </w:t>
            </w:r>
            <w:r>
              <w:rPr>
                <w:rFonts w:eastAsia="Calibri"/>
              </w:rPr>
              <w:t>терминологии ГОСТ</w:t>
            </w:r>
            <w:r>
              <w:rPr>
                <w:rFonts w:eastAsia="Calibri"/>
                <w:lang w:val="en-US"/>
              </w:rPr>
              <w:t>    </w:t>
            </w:r>
            <w:r>
              <w:rPr>
                <w:rFonts w:eastAsia="Calibri"/>
              </w:rPr>
              <w:t xml:space="preserve"> 2.102-2023</w:t>
            </w:r>
            <w:r>
              <w:rPr>
                <w:rFonts w:eastAsia="Calibri"/>
                <w:lang w:val="en-US"/>
              </w:rPr>
              <w:t> </w:t>
            </w:r>
            <w:r>
              <w:rPr>
                <w:rFonts w:eastAsia="Calibri"/>
              </w:rPr>
              <w:t>ЕСКД,</w:t>
            </w:r>
            <w:r>
              <w:rPr>
                <w:rFonts w:eastAsia="Calibri"/>
                <w:lang w:val="en-US"/>
              </w:rPr>
              <w:t> </w:t>
            </w:r>
            <w:r>
              <w:rPr>
                <w:rFonts w:eastAsia="Calibri"/>
              </w:rPr>
              <w:t>разрабатываемый заводами</w:t>
            </w:r>
            <w:r>
              <w:rPr>
                <w:rFonts w:eastAsia="Calibri"/>
                <w:lang w:val="en-US"/>
              </w:rPr>
              <w:t> </w:t>
            </w:r>
            <w:r>
              <w:rPr>
                <w:rFonts w:eastAsia="Calibri"/>
              </w:rPr>
              <w:t>изготовителями САУ ГА, гидротурбины и гидрогенератора</w:t>
            </w:r>
            <w:r>
              <w:rPr>
                <w:rFonts w:eastAsia="Calibri"/>
                <w:lang w:val="en-US"/>
              </w:rPr>
              <w:t> </w:t>
            </w:r>
            <w:r>
              <w:rPr>
                <w:rFonts w:eastAsia="Calibri"/>
              </w:rPr>
              <w:t>на</w:t>
            </w:r>
            <w:r>
              <w:rPr>
                <w:rFonts w:eastAsia="Calibri"/>
                <w:lang w:val="en-US"/>
              </w:rPr>
              <w:t> </w:t>
            </w:r>
            <w:r>
              <w:rPr>
                <w:rFonts w:eastAsia="Calibri"/>
              </w:rPr>
              <w:t>каждый</w:t>
            </w:r>
            <w:r>
              <w:rPr>
                <w:rFonts w:eastAsia="Calibri"/>
                <w:lang w:val="en-US"/>
              </w:rPr>
              <w:t> </w:t>
            </w:r>
            <w:r>
              <w:rPr>
                <w:rFonts w:eastAsia="Calibri"/>
              </w:rPr>
              <w:t>Объект, является</w:t>
            </w:r>
            <w:r>
              <w:rPr>
                <w:rFonts w:eastAsia="Calibri"/>
                <w:lang w:val="en-US"/>
              </w:rPr>
              <w:t> </w:t>
            </w:r>
            <w:r>
              <w:rPr>
                <w:rFonts w:eastAsia="Calibri"/>
              </w:rPr>
              <w:t>собственностью</w:t>
            </w:r>
            <w:r>
              <w:rPr>
                <w:rFonts w:eastAsia="Calibri"/>
                <w:lang w:val="en-US"/>
              </w:rPr>
              <w:t> </w:t>
            </w:r>
            <w:r>
              <w:rPr>
                <w:rFonts w:eastAsia="Calibri"/>
              </w:rPr>
              <w:t>Заказчика</w:t>
            </w:r>
            <w:r>
              <w:rPr>
                <w:rFonts w:eastAsia="Calibri"/>
                <w:lang w:val="en-US"/>
              </w:rPr>
              <w:t> </w:t>
            </w:r>
            <w:r>
              <w:rPr>
                <w:rFonts w:eastAsia="Calibri"/>
              </w:rPr>
              <w:t>(ПАО</w:t>
            </w:r>
            <w:r>
              <w:rPr>
                <w:rFonts w:eastAsia="Calibri"/>
                <w:lang w:val="en-US"/>
              </w:rPr>
              <w:t> </w:t>
            </w:r>
            <w:r>
              <w:rPr>
                <w:rFonts w:eastAsia="Calibri"/>
              </w:rPr>
              <w:t>«РусГидро»)</w:t>
            </w:r>
            <w:r>
              <w:rPr>
                <w:rFonts w:eastAsia="Calibri"/>
                <w:lang w:val="en-US"/>
              </w:rPr>
              <w:t> </w:t>
            </w:r>
            <w:r>
              <w:rPr>
                <w:rFonts w:eastAsia="Calibri"/>
              </w:rPr>
              <w:t xml:space="preserve"> с правом</w:t>
            </w:r>
            <w:r>
              <w:rPr>
                <w:rFonts w:eastAsia="Calibri"/>
                <w:lang w:val="en-US"/>
              </w:rPr>
              <w:t>  </w:t>
            </w:r>
            <w:r>
              <w:rPr>
                <w:rFonts w:eastAsia="Calibri"/>
              </w:rPr>
              <w:t xml:space="preserve"> передачи</w:t>
            </w:r>
            <w:r>
              <w:rPr>
                <w:rFonts w:eastAsia="Calibri"/>
                <w:lang w:val="en-US"/>
              </w:rPr>
              <w:t>  </w:t>
            </w:r>
            <w:r>
              <w:rPr>
                <w:rFonts w:eastAsia="Calibri"/>
              </w:rPr>
              <w:t xml:space="preserve"> третьим</w:t>
            </w:r>
            <w:r>
              <w:rPr>
                <w:rFonts w:eastAsia="Calibri"/>
                <w:lang w:val="en-US"/>
              </w:rPr>
              <w:t> </w:t>
            </w:r>
            <w:r>
              <w:rPr>
                <w:rFonts w:eastAsia="Calibri"/>
              </w:rPr>
              <w:t xml:space="preserve"> лицам без ограничений.</w:t>
            </w:r>
          </w:p>
          <w:p>
            <w:pPr>
              <w:pStyle w:val="Normal"/>
              <w:widowControl w:val="false"/>
              <w:ind w:firstLine="708"/>
              <w:jc w:val="both"/>
              <w:rPr/>
            </w:pPr>
            <w:r>
              <w:rPr>
                <w:rFonts w:eastAsia="Calibri"/>
              </w:rPr>
              <w:t>Комплект КД должен быть достаточен для выполнения строительно-монтажных и пуско-наладочных работ по замене гидроагрегатов, для эксплуатации гидроагрегатов в течении всего срока службы. КД передается до начала поставки соответствующего оборудования, на которое она разработана. КД передается с оформлением отдельных актов приема-передачи и не в составе грузовых мест с оборудованием. Отсутствие КД или ее несоответствие условиям Договора является основанием для отказа в приемке партии (этапа) оборудования.</w:t>
            </w:r>
          </w:p>
          <w:p>
            <w:pPr>
              <w:pStyle w:val="Normal"/>
              <w:widowControl w:val="false"/>
              <w:ind w:firstLine="708"/>
              <w:jc w:val="both"/>
              <w:rPr>
                <w:rFonts w:eastAsia="Calibri"/>
              </w:rPr>
            </w:pPr>
            <w:r>
              <w:rPr>
                <w:rFonts w:eastAsia="Calibri"/>
              </w:rPr>
              <w:t>Перечень предоставляемой КД определяет Поставщик и согласовывает его с Заказчиком до начала отгрузки оборудования и передачи КД. КД и РД на основное оборудование (гидротурбина, ги</w:t>
            </w:r>
            <w:bookmarkStart w:id="18" w:name="_GoBack"/>
            <w:bookmarkEnd w:id="18"/>
            <w:r>
              <w:rPr>
                <w:rFonts w:eastAsia="Calibri"/>
              </w:rPr>
              <w:t>дрогенератор) и их вспомогательные системы (система регулирования, система технического водоснабжения, система пожаротушения, система подвода и слива масла, система виброконтроля и термоконтроля), а также должна передаваться в виде 3D моделей в редактируемом формате.</w:t>
            </w:r>
          </w:p>
          <w:p>
            <w:pPr>
              <w:pStyle w:val="Normal"/>
              <w:widowControl w:val="false"/>
              <w:ind w:firstLine="708"/>
              <w:jc w:val="both"/>
              <w:rPr>
                <w:rFonts w:eastAsia="Calibri"/>
              </w:rPr>
            </w:pPr>
            <w:r>
              <w:rPr>
                <w:rFonts w:eastAsia="Calibri"/>
              </w:rPr>
              <w:t>Перечень документации необходимой для эксплуатации должен включать в себя документацию на все материалы и быстро изнашиваемые изделия, включая детальные чертежи для их изготовления (уплотнения, прокладки, заглушки и прочие изделия которые подлежат замене в регламентные сроки согласно Руководств по эксплуатации оборудования при проведении технического обслуживания, текущих и капитальных ремонтов). Недостатки по составу и содержанию переданной КД выявленные в период СМР, ПНР и гарантийной эксплуатации подлежат устранению Поставщиком не позднее 10 рабочих дней по письменному требованию Заказчика.</w:t>
            </w:r>
          </w:p>
          <w:p>
            <w:pPr>
              <w:pStyle w:val="Normal"/>
              <w:widowControl w:val="false"/>
              <w:ind w:firstLine="708"/>
              <w:jc w:val="both"/>
              <w:rPr/>
            </w:pPr>
            <w:r>
              <w:rPr>
                <w:rFonts w:eastAsia="Calibri"/>
              </w:rPr>
              <w:t>Изготовитель и/или поставщик оборудования не имеет права ограничивать каким-либо образом право Заказчика в полной мере и на своё усмотрение распоряжаться предоставленной КД. Документация (КД, РД) и содержащиеся в ней сведения не должны обладать статусом, накладывающим на Заказчика ограничения по передаче ее третьим лицам (секрет производства, ноу-хау, конфиденциальность.).</w:t>
            </w:r>
          </w:p>
          <w:p>
            <w:pPr>
              <w:pStyle w:val="Normal"/>
              <w:widowControl w:val="false"/>
              <w:ind w:firstLine="708"/>
              <w:jc w:val="both"/>
              <w:rPr/>
            </w:pPr>
            <w:r>
              <w:rPr>
                <w:rFonts w:eastAsia="Calibri"/>
              </w:rPr>
              <w:t>Поставщик обязуется снять ограничения в использовании Заказчиком КД при их наличии до передачи КД Заказчику. Наличие неснятых ограничений по распоряжению документацией и содержащимися в ней сведениями является основанием для отказа в приемке Заказчиком партии (этапа) оборудования и оплате партии (этапа) оборудования в соответствии с условиями Договора.</w:t>
            </w:r>
          </w:p>
          <w:p>
            <w:pPr>
              <w:pStyle w:val="ListParagraph"/>
              <w:widowControl w:val="false"/>
              <w:tabs>
                <w:tab w:val="clear" w:pos="708"/>
                <w:tab w:val="left" w:pos="237" w:leader="none"/>
              </w:tabs>
              <w:ind w:left="99"/>
              <w:jc w:val="both"/>
              <w:rPr>
                <w:sz w:val="28"/>
                <w:szCs w:val="28"/>
              </w:rPr>
            </w:pPr>
            <w:r>
              <w:rPr>
                <w:sz w:val="28"/>
                <w:szCs w:val="28"/>
              </w:rPr>
              <w:t>Рабочая документация, разрабатываемая согласно настоящих ТТ, передается Подрядчиком исполнителям работ по монтажу, наладке в производство и Заказчику в архив по акту приема-передачи после её разработки и согласования, утверждения в соответствии с требования настоящих ТТ.</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6"/>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Требования к организации работ / услуг</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6"/>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t>Требования к строительно-монтажным работам</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Требования к строительно-монтажным работам изложены в приложениях №7, 8, 9, 10, 11 к настоящим ТТ.</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СМР включает в себя комплекс взаимосвязанных между собой работ (под ключ) по замене Объекта ГА ст.№5. По итогу СМР Объекты должны соответствовать требуемым характеристикам быть готовы к эксплуатации и не должны требовать от Заказчика каких-либо дополнительных затрат.</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Комплекс работ по замене ГА-5 должен выполняться в соответствии с проектом организации работ (далее – ПОР) разрабатываемым в составе РД.</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Скрытые объемы работ учесть в ВОР (РД) и сметной документации по объемам работ на аналогичных гидроагрегатах с учетом среднего количества необходимых к использованию МТР, данные объемы работ подлежат уточнению по результатам вскрытия и дефектации (к примеру ремонт ВКНА и закладных частей).</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До начала работ необходимо разработать и согласовать с Заказчиком ППР на отдельные виды работ, в том числе на подготовительные, демонтажные и монтажные работы.</w:t>
            </w:r>
          </w:p>
          <w:p>
            <w:pPr>
              <w:pStyle w:val="ListParagraph"/>
              <w:widowControl w:val="false"/>
              <w:numPr>
                <w:ilvl w:val="3"/>
                <w:numId w:val="6"/>
              </w:numPr>
              <w:tabs>
                <w:tab w:val="clear" w:pos="708"/>
                <w:tab w:val="left" w:pos="35" w:leader="none"/>
                <w:tab w:val="left" w:pos="170" w:leader="none"/>
              </w:tabs>
              <w:ind w:hanging="0" w:left="35"/>
              <w:jc w:val="both"/>
              <w:rPr>
                <w:sz w:val="28"/>
                <w:szCs w:val="28"/>
              </w:rPr>
            </w:pPr>
            <w:r>
              <w:rPr>
                <w:sz w:val="28"/>
                <w:szCs w:val="28"/>
              </w:rPr>
              <w:t>Подрядчик принимает по акту приема передачи места производства работ, и в течение всего срока работ обеспечивает в месте производства работ порядок и чистоту (ежесменно), накапливает строительный и бытовой мусор в предназначенных для этого местах, не допускает переполнения мест его накопления, регулярный вывоз отходов, а также вывозит мусор до даты подписания Сторонами Акта приемки законченного строительством объекта (форма КС-11). В течение срока действия договора проводит ежесменную влажную уборку рабочих площадок и ремонтных зон, переданных по акту-допуску, а также смежных зон, помещений, оборудования, действующих гидроагрегатов в случае распространения пыли.</w:t>
            </w:r>
          </w:p>
          <w:p>
            <w:pPr>
              <w:pStyle w:val="ListParagraph"/>
              <w:widowControl w:val="false"/>
              <w:numPr>
                <w:ilvl w:val="3"/>
                <w:numId w:val="6"/>
              </w:numPr>
              <w:tabs>
                <w:tab w:val="clear" w:pos="708"/>
                <w:tab w:val="left" w:pos="35" w:leader="none"/>
                <w:tab w:val="left" w:pos="170" w:leader="none"/>
              </w:tabs>
              <w:ind w:hanging="0" w:left="35"/>
              <w:jc w:val="both"/>
              <w:rPr>
                <w:sz w:val="28"/>
                <w:szCs w:val="28"/>
              </w:rPr>
            </w:pPr>
            <w:r>
              <w:rPr>
                <w:sz w:val="28"/>
                <w:szCs w:val="28"/>
              </w:rPr>
              <w:t>Принять у Заказчика помещения и оформить Акт сдачи-приемки помещения. По окончании работ возвратить их Заказчику в первоначальном состоянии с учетом выполненных работ СМР в данных помещениях.</w:t>
            </w:r>
          </w:p>
          <w:p>
            <w:pPr>
              <w:pStyle w:val="ListParagraph"/>
              <w:widowControl w:val="false"/>
              <w:numPr>
                <w:ilvl w:val="3"/>
                <w:numId w:val="6"/>
              </w:numPr>
              <w:tabs>
                <w:tab w:val="clear" w:pos="708"/>
                <w:tab w:val="left" w:pos="35" w:leader="none"/>
                <w:tab w:val="left" w:pos="170" w:leader="none"/>
              </w:tabs>
              <w:ind w:hanging="0" w:left="35"/>
              <w:jc w:val="both"/>
              <w:rPr>
                <w:sz w:val="28"/>
                <w:szCs w:val="28"/>
              </w:rPr>
            </w:pPr>
            <w:r>
              <w:rPr>
                <w:sz w:val="28"/>
                <w:szCs w:val="28"/>
              </w:rPr>
              <w:t>Принять у Заказчика по Акту сдачи-приемки техническую и иную документацию, а также возвратить ее Заказчику в первоначальном состоянии с учетом естественного износа.</w:t>
            </w:r>
          </w:p>
          <w:p>
            <w:pPr>
              <w:pStyle w:val="ListParagraph"/>
              <w:widowControl w:val="false"/>
              <w:numPr>
                <w:ilvl w:val="3"/>
                <w:numId w:val="6"/>
              </w:numPr>
              <w:tabs>
                <w:tab w:val="clear" w:pos="708"/>
                <w:tab w:val="left" w:pos="35" w:leader="none"/>
                <w:tab w:val="left" w:pos="170" w:leader="none"/>
              </w:tabs>
              <w:ind w:hanging="0" w:left="35"/>
              <w:jc w:val="both"/>
              <w:rPr>
                <w:sz w:val="28"/>
                <w:szCs w:val="28"/>
              </w:rPr>
            </w:pPr>
            <w:r>
              <w:rPr>
                <w:sz w:val="28"/>
                <w:szCs w:val="28"/>
              </w:rPr>
              <w:t>При демонтаже старого оборудования необходимо обеспечить резку, взвешивание, сортировку металла, вывоз на площадку складирования в пределах 1км.</w:t>
            </w:r>
          </w:p>
          <w:p>
            <w:pPr>
              <w:pStyle w:val="ListParagraph"/>
              <w:widowControl w:val="false"/>
              <w:numPr>
                <w:ilvl w:val="3"/>
                <w:numId w:val="6"/>
              </w:numPr>
              <w:tabs>
                <w:tab w:val="clear" w:pos="708"/>
                <w:tab w:val="left" w:pos="35" w:leader="none"/>
                <w:tab w:val="left" w:pos="170" w:leader="none"/>
              </w:tabs>
              <w:ind w:hanging="0" w:left="35"/>
              <w:jc w:val="both"/>
              <w:rPr>
                <w:sz w:val="28"/>
                <w:szCs w:val="28"/>
              </w:rPr>
            </w:pPr>
            <w:bookmarkStart w:id="19" w:name="_Hlk199232368"/>
            <w:r>
              <w:rPr>
                <w:sz w:val="28"/>
                <w:szCs w:val="28"/>
              </w:rPr>
              <w:t>Выполнить с участием Заказчика оценку каждого элемента Объекта, чтобы полностью проверить технические данные (как поставляемого оборудования, так и остающегося оборудования, и конструкций сооружений, требующихся для эксплуатации оборудования) с целью выполнения работ в полном объеме с надлежащим качеством.</w:t>
            </w:r>
            <w:bookmarkEnd w:id="19"/>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В ходе выполнения работ Подрядчик должен следить за тем, чтобы на строительной площадке не находились посторонние предметы, не связанные с выполнением работ, складировать или убирать ненужные материалы, вывозить демонтированное оборудование и строительный мусор, временные строительные конструкции и монтажные приспособления, которые больше не требуется для выполнения работ.</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После Завершения всех работ на Объекте Подрядчик должен очистить территорию производства работ, переданную по акту допуску, от строительного и другого мусора, пыли, посторонних предметов, временных ограждений, восстановить демонтированные или поврежденные стационарцые ограждения, настилы, лестничные марши.</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Оборудование и материалы должны незамедлительно доставляться к месту монтажа (накопления). Запрещается длительное (более 3-х рабочих дней) складирование на монтажной площадке или в машинном зале ГЭС приобретенного (демонтированного) оборудования без письменного согласования с Заказчиком.</w:t>
            </w:r>
          </w:p>
          <w:p>
            <w:pPr>
              <w:pStyle w:val="ListParagraph"/>
              <w:widowControl w:val="false"/>
              <w:numPr>
                <w:ilvl w:val="3"/>
                <w:numId w:val="6"/>
              </w:numPr>
              <w:tabs>
                <w:tab w:val="clear" w:pos="708"/>
                <w:tab w:val="left" w:pos="170" w:leader="none"/>
              </w:tabs>
              <w:ind w:hanging="0" w:left="35"/>
              <w:jc w:val="both"/>
              <w:rPr>
                <w:sz w:val="28"/>
                <w:szCs w:val="28"/>
              </w:rPr>
            </w:pPr>
            <w:bookmarkStart w:id="20" w:name="_Hlk199232531"/>
            <w:r>
              <w:rPr>
                <w:sz w:val="28"/>
                <w:szCs w:val="28"/>
              </w:rPr>
              <w:t>Подрядчик обеспечивает проведение комиссионных освидетельствований с участием Заказчика, необходимых для обеспечения условий монтажа основного и вспомогательного оборудования (котел МНУ, остающиеся трубопроводы и прочее оборудование).</w:t>
            </w:r>
            <w:bookmarkEnd w:id="20"/>
          </w:p>
          <w:p>
            <w:pPr>
              <w:pStyle w:val="ListParagraph"/>
              <w:widowControl w:val="false"/>
              <w:numPr>
                <w:ilvl w:val="3"/>
                <w:numId w:val="6"/>
              </w:numPr>
              <w:tabs>
                <w:tab w:val="clear" w:pos="708"/>
                <w:tab w:val="left" w:pos="170" w:leader="none"/>
              </w:tabs>
              <w:ind w:hanging="0" w:left="35"/>
              <w:jc w:val="both"/>
              <w:rPr>
                <w:sz w:val="28"/>
                <w:szCs w:val="28"/>
              </w:rPr>
            </w:pPr>
            <w:r>
              <w:rPr>
                <w:sz w:val="28"/>
                <w:szCs w:val="28"/>
                <w:lang w:eastAsia="x-none"/>
              </w:rPr>
              <w:t>Подрядчик обеспечивает разработку и оформление технической документации для СМР.</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Выполнение СМР под контролем шеф-персонала заводов-изготовителей, представителей авторского надзора.</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Монтаж нового оборудования производится в соответствии с проектом, заводскими инструкциями и руководством по монтажу оборудования. Подрядчик обеспечивает организацию и выполнение шеф-монтажа и пуско-наладочных работ оборудования в соответствии с перечнем испытаний, обследований, измерений и контроля (приложение 19 к настоящим ТТ, но не ограничиваясь указанным объемом)</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Организация обеспечения кадровыми, материальными, финансовыми, инструментальными и техническими ресурсами, привлекаемыми для реализации проекта, в т.ч. с выполнением СМР на критически важных и срочных работах в 2-3 смены.</w:t>
            </w:r>
          </w:p>
          <w:p>
            <w:pPr>
              <w:pStyle w:val="ListParagraph"/>
              <w:widowControl w:val="false"/>
              <w:numPr>
                <w:ilvl w:val="3"/>
                <w:numId w:val="6"/>
              </w:numPr>
              <w:tabs>
                <w:tab w:val="clear" w:pos="708"/>
                <w:tab w:val="left" w:pos="170" w:leader="none"/>
              </w:tabs>
              <w:ind w:hanging="0" w:left="35"/>
              <w:jc w:val="both"/>
              <w:rPr>
                <w:sz w:val="28"/>
                <w:szCs w:val="28"/>
              </w:rPr>
            </w:pPr>
            <w:r>
              <w:rPr>
                <w:sz w:val="28"/>
                <w:szCs w:val="28"/>
              </w:rPr>
              <w:t>Демонтажные работы, выполняемые Подрядчиком, но не ограничиваясь указанным объемом:</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Осушение проточной части гидроагрегата со сборкой и установкой ремонтных затворов с обоих бьефов, с водолазным обеспечением посадки затворов на порог с устранением имеющихся протечек в проточную часть агрегата в том числе через бетонные конструкции.</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Демонтаж гидрогенератора и гидротурбины, включая направляющий аппарат, камеру рабочего колеса, МНУ ГА, АРЗ и МНУ ГП №3, удаление штрабного бетона в камере РК.</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Демонтаж вспомогательного оборудования ГА.</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Демонтаж оборудования РУ 13,8 кВ.</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Демонтаж, оборудования систем управления, защит, регулирования, КИП, кабельных связей гидроагрегата.</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Обеспечить неразрушающий демонтаж существующего оборудования, подлежащего повторному применению или переводу в ЗИП (в том числе: ПТК, комплекта полевого оборудования и исполнительных устройств, кабельных связей, трансформаторов напряжения, системы возбуждения, гасительных сопротивлений). Передача на хранение Заказчику демонтированного оборудования, подлежащего повторному применению или переводу в ЗИП в соответствии с Приложением №1.4 Приложения №7 к ТТ;</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Разборка, резка и сортировка демонтированного оборудования по видам и маркам металла, перевозка на место, указанное Заказчиком (на расстояние до 1 км). Взвешивание лома черного и цветного металлов согласно предоставленного Заказчиком порядка учета с отражением номенклатуры сдаваемого оборудования и массы Приложение №16 с отражением номенклатуры сдаваемого оборудования и массы. В части цветного лома необходимо провести работы для определения засоренности лома. Определение засоренности лома цветных металлов производить путем взвешивания образцов (не менее 3-х) с наличием покрытия (вес брутто) и без него (вес нетто). Процент засора определяет Заказчик. Не допускается сдача в лом агрегатов и машин в неразобранном виде.</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Демонтированное оборудование подготавливается к транспортировке и вывозится на место, указанное Заказчиком в соответствии с «Инструкцией по обращению с отходами производства и потребления филиала ПАО «РусГидро» - «Нижегородская ГЭС» (Приложение №15 к настоящим ТТ);</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Под подготовкой к вывозу понимается разборка демонтированного оборудования. В процессе демонтажа лом принимается на склад по наименованию, виду, группе в соответствии с ГОСТ 2787-75 (металлы черные вторичные) и/или ГОСТ Р 54564-2011 (лом и отходы цветных металлов и сплавов) с обязательным взвешиванием каждой партии и подписанием акта приема-передачи Лома. Взвешивание лома производится крановыми весами Подрядчика.</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Погрузку – разгрузку, транспортировку в места взвешивания и на площадку накопления лома, осуществляет Подрядчик.</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Для взвешивания Подрядчик обеспечивает наличие весов, с требуемым пределом измерения. Весы должны быть поверены и исправны. Демонтированные части взвешиваются весами в присутствии членов комиссии Заказчика. Металлолом должен быть взвешен Подрядчиком самостоятельно на автомобильных весах в г. Заволжье или собственными поверенными весами в присутствии членов комиссии Заказчика. Размещение металлолома на площадке накопления лома Заказчика и передача Заказчику лома без взвешивания не допускается.</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Необходимо проводить комиссионное взвешивание лома для дальнейшего его оприходования на баланс Заказчика. Заявку на передачу лома необходимо подавать не менее чем за один рабочий день для обеспечения присутствия членов комиссии.</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Вся необходимая тара для сбора и сортировки лома и отходов, транспортировки и накопления обеспечивается Подрядчиком.</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Для размещения металлолома на площадке накопления Подрядчиком разрабатываются отдельные ТК/ППР с учетом местных условий и расположения воздушных линий электропередач 110 кВ.</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Необходимо производить резку демонтированного оборудования до габаритов, позволяющих перевозить лом автотранспортом (при необходимости производить подготовку замасленного металлолома к проведению огневых работ). Требования к разделению демонтированных частей оборудования представлены в приложении 1</w:t>
            </w:r>
            <w:r>
              <w:rPr>
                <w:sz w:val="28"/>
                <w:szCs w:val="28"/>
                <w:lang w:val="en-US"/>
              </w:rPr>
              <w:t>6</w:t>
            </w:r>
            <w:r>
              <w:rPr>
                <w:sz w:val="28"/>
                <w:szCs w:val="28"/>
              </w:rPr>
              <w:t>.</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Сосуды всех типов и размеров должны быть очищены от содержимого и доступны для осмотра внутренней поверхности; баллоны должны быть открыты, а на их корпусе должно быть прорезано второе отверстие; днища бочек и других емкостей должны быть вскрыты.</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 xml:space="preserve">Емкости узлов должны быть освобождены от остатков горючих и смазочных веществ (в т.ч. для проведения огневых работ). </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Все необходимые специальные работы (включая необходимое оборудование и технику, материалы, аппаратуру): испытания оборудования повышенным напряжением и специальные измерения, верхолазные работы, работы с применением грузоподъёмных механизмов, работы по неразрушающему контролю металла организуются и выполняются Подрядчиком.</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Подрядчик отвечает за выполнение геодезических работ и правильную установку Объекта по отношению к реперным отметкам, ориентирам и линиям, указанным в разработанной рабочей документации. Выполнение геодезических работ осуществляется в присутствии представителя Заказчика. Геодезические работы оформляются в рамках исполнительной документации и передаются Заказчику.</w:t>
            </w:r>
          </w:p>
          <w:p>
            <w:pPr>
              <w:pStyle w:val="ListParagraph"/>
              <w:widowControl w:val="false"/>
              <w:numPr>
                <w:ilvl w:val="4"/>
                <w:numId w:val="6"/>
              </w:numPr>
              <w:tabs>
                <w:tab w:val="clear" w:pos="708"/>
                <w:tab w:val="left" w:pos="170" w:leader="none"/>
              </w:tabs>
              <w:ind w:hanging="0" w:left="35"/>
              <w:jc w:val="both"/>
              <w:rPr>
                <w:sz w:val="28"/>
                <w:szCs w:val="28"/>
              </w:rPr>
            </w:pPr>
            <w:r>
              <w:rPr>
                <w:sz w:val="28"/>
                <w:szCs w:val="28"/>
              </w:rPr>
              <w:t>Окончательная окраска гидротурбинного оборудования производится до приемки в эксплуатацию по программе, разработанной Подрядчиком и согласованной с Заказчиком. Окраска производится силами Подрядчика.</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7"/>
              </w:numPr>
              <w:spacing w:before="60" w:after="60"/>
              <w:contextualSpacing/>
              <w:rPr>
                <w:vanish/>
                <w:sz w:val="28"/>
                <w:szCs w:val="28"/>
              </w:rPr>
            </w:pPr>
            <w:r>
              <w:rPr>
                <w:vanish/>
                <w:sz w:val="28"/>
                <w:szCs w:val="28"/>
              </w:rPr>
            </w:r>
          </w:p>
          <w:p>
            <w:pPr>
              <w:pStyle w:val="ListParagraph"/>
              <w:widowControl w:val="false"/>
              <w:numPr>
                <w:ilvl w:val="1"/>
                <w:numId w:val="17"/>
              </w:numPr>
              <w:spacing w:before="60" w:after="60"/>
              <w:contextualSpacing/>
              <w:rPr>
                <w:vanish/>
                <w:sz w:val="28"/>
                <w:szCs w:val="28"/>
              </w:rPr>
            </w:pPr>
            <w:r>
              <w:rPr>
                <w:vanish/>
                <w:sz w:val="28"/>
                <w:szCs w:val="28"/>
              </w:rPr>
            </w:r>
          </w:p>
          <w:p>
            <w:pPr>
              <w:pStyle w:val="ListParagraph"/>
              <w:widowControl w:val="false"/>
              <w:numPr>
                <w:ilvl w:val="1"/>
                <w:numId w:val="17"/>
              </w:numPr>
              <w:spacing w:before="60" w:after="60"/>
              <w:contextualSpacing/>
              <w:rPr>
                <w:vanish/>
                <w:sz w:val="28"/>
                <w:szCs w:val="28"/>
              </w:rPr>
            </w:pPr>
            <w:r>
              <w:rPr>
                <w:vanish/>
                <w:sz w:val="28"/>
                <w:szCs w:val="28"/>
              </w:rPr>
            </w:r>
          </w:p>
          <w:p>
            <w:pPr>
              <w:pStyle w:val="ListParagraph"/>
              <w:widowControl w:val="false"/>
              <w:numPr>
                <w:ilvl w:val="2"/>
                <w:numId w:val="17"/>
              </w:numPr>
              <w:spacing w:before="60" w:after="60"/>
              <w:contextualSpacing/>
              <w:rPr>
                <w:vanish/>
                <w:sz w:val="28"/>
                <w:szCs w:val="28"/>
              </w:rPr>
            </w:pPr>
            <w:r>
              <w:rPr>
                <w:vanish/>
                <w:sz w:val="28"/>
                <w:szCs w:val="28"/>
              </w:rPr>
            </w:r>
          </w:p>
          <w:p>
            <w:pPr>
              <w:pStyle w:val="ListParagraph"/>
              <w:widowControl w:val="false"/>
              <w:numPr>
                <w:ilvl w:val="2"/>
                <w:numId w:val="17"/>
              </w:numPr>
              <w:spacing w:before="60" w:after="60"/>
              <w:contextualSpacing/>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t>Требования к ПНР</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7"/>
              </w:numPr>
              <w:ind w:hanging="0" w:left="31"/>
              <w:jc w:val="both"/>
              <w:rPr>
                <w:sz w:val="28"/>
                <w:szCs w:val="28"/>
              </w:rPr>
            </w:pPr>
            <w:r>
              <w:rPr>
                <w:sz w:val="28"/>
                <w:szCs w:val="28"/>
              </w:rPr>
              <w:t>ПНР и комплексные испытания выполняются Подрядчиком с участием представителей Заказчика и Подрядчика, в соответствии с Приложением №19.</w:t>
            </w:r>
          </w:p>
          <w:p>
            <w:pPr>
              <w:pStyle w:val="ListParagraph"/>
              <w:widowControl w:val="false"/>
              <w:numPr>
                <w:ilvl w:val="3"/>
                <w:numId w:val="17"/>
              </w:numPr>
              <w:ind w:hanging="0" w:left="31"/>
              <w:jc w:val="both"/>
              <w:rPr>
                <w:sz w:val="28"/>
                <w:szCs w:val="28"/>
              </w:rPr>
            </w:pPr>
            <w:r>
              <w:rPr>
                <w:sz w:val="28"/>
                <w:szCs w:val="28"/>
              </w:rPr>
              <w:t>Указанные работы должны предусматривать проведение Подрядчиком всех необходимых организационно-технических мероприятий (включая разработку и согласование программ ПНР, программ индивидуальных и функциональных испытаний), а также закупки необходимой оснастки, материалов, оборудования и кабельной продукции, позволяющие Заказчику ввести вновь смонтированное оборудование в промышленную эксплуатацию без дополнительных затрат.</w:t>
            </w:r>
          </w:p>
          <w:p>
            <w:pPr>
              <w:pStyle w:val="ListParagraph"/>
              <w:widowControl w:val="false"/>
              <w:numPr>
                <w:ilvl w:val="3"/>
                <w:numId w:val="17"/>
              </w:numPr>
              <w:ind w:hanging="0" w:left="0"/>
              <w:jc w:val="both"/>
              <w:rPr>
                <w:sz w:val="28"/>
                <w:szCs w:val="28"/>
              </w:rPr>
            </w:pPr>
            <w:r>
              <w:rPr>
                <w:sz w:val="28"/>
                <w:szCs w:val="28"/>
              </w:rPr>
              <w:t>Объем ПНР определяется в соответствии с перечнем обследований, испытаний, измерений и контроля (приложение 19), но не ограничиваясь.</w:t>
            </w:r>
          </w:p>
          <w:p>
            <w:pPr>
              <w:pStyle w:val="ListParagraph"/>
              <w:widowControl w:val="false"/>
              <w:numPr>
                <w:ilvl w:val="3"/>
                <w:numId w:val="17"/>
              </w:numPr>
              <w:ind w:hanging="0" w:left="0"/>
              <w:jc w:val="both"/>
              <w:rPr>
                <w:sz w:val="28"/>
                <w:szCs w:val="28"/>
              </w:rPr>
            </w:pPr>
            <w:r>
              <w:rPr>
                <w:sz w:val="28"/>
                <w:szCs w:val="28"/>
              </w:rPr>
              <w:t>Разработка программ пуско-наладочных работ (ПНР), согласование с Заказчиком. Производство пуско-наладочных работ в соответствии с утвержденными программами ПНР.</w:t>
            </w:r>
          </w:p>
          <w:p>
            <w:pPr>
              <w:pStyle w:val="ListParagraph"/>
              <w:widowControl w:val="false"/>
              <w:numPr>
                <w:ilvl w:val="3"/>
                <w:numId w:val="17"/>
              </w:numPr>
              <w:ind w:hanging="0" w:left="31"/>
              <w:jc w:val="both"/>
              <w:rPr>
                <w:sz w:val="28"/>
                <w:szCs w:val="28"/>
              </w:rPr>
            </w:pPr>
            <w:r>
              <w:rPr>
                <w:sz w:val="28"/>
                <w:szCs w:val="28"/>
              </w:rPr>
              <w:t>Разработка программ испытаний, ПНР и проведение испытаний выполняется Подрядчиком с привлечением специалистов Заказчика и Изготовителя оборудования на всём комплексе смонтированного оборудования.</w:t>
            </w:r>
          </w:p>
          <w:p>
            <w:pPr>
              <w:pStyle w:val="ListParagraph"/>
              <w:widowControl w:val="false"/>
              <w:numPr>
                <w:ilvl w:val="3"/>
                <w:numId w:val="17"/>
              </w:numPr>
              <w:ind w:hanging="0" w:left="31"/>
              <w:jc w:val="both"/>
              <w:rPr>
                <w:sz w:val="28"/>
                <w:szCs w:val="28"/>
              </w:rPr>
            </w:pPr>
            <w:r>
              <w:rPr>
                <w:sz w:val="28"/>
                <w:szCs w:val="28"/>
              </w:rPr>
              <w:t>ПНР считается завершенными после прохождения приёмосдаточных испытаний, комплексного опробования в соответствии с требованиями НПА действующими на момент их проведения, включая непрерывную работу оборудования в течение 72 часов, проверку гарантируемых характеристик турбин (натурные испытания абсолютным методом), тепловые, энергетические и вибрационные испытания с подтверждением диаграмм и характеристик, представленным заводом-изготовителем.</w:t>
            </w:r>
          </w:p>
          <w:p>
            <w:pPr>
              <w:pStyle w:val="ListParagraph"/>
              <w:widowControl w:val="false"/>
              <w:numPr>
                <w:ilvl w:val="3"/>
                <w:numId w:val="17"/>
              </w:numPr>
              <w:ind w:hanging="0" w:left="31"/>
              <w:jc w:val="both"/>
              <w:rPr>
                <w:sz w:val="28"/>
                <w:szCs w:val="28"/>
              </w:rPr>
            </w:pPr>
            <w:r>
              <w:rPr>
                <w:sz w:val="28"/>
                <w:szCs w:val="28"/>
              </w:rPr>
              <w:t xml:space="preserve"> </w:t>
            </w:r>
            <w:r>
              <w:rPr>
                <w:sz w:val="28"/>
                <w:szCs w:val="28"/>
              </w:rPr>
              <w:t>В объем ПНР включается:</w:t>
            </w:r>
          </w:p>
          <w:p>
            <w:pPr>
              <w:pStyle w:val="ListParagraph"/>
              <w:widowControl w:val="false"/>
              <w:numPr>
                <w:ilvl w:val="3"/>
                <w:numId w:val="17"/>
              </w:numPr>
              <w:ind w:hanging="0" w:left="31"/>
              <w:jc w:val="both"/>
              <w:rPr>
                <w:sz w:val="28"/>
                <w:szCs w:val="28"/>
              </w:rPr>
            </w:pPr>
            <w:r>
              <w:rPr>
                <w:sz w:val="28"/>
                <w:szCs w:val="28"/>
              </w:rPr>
              <w:t>Организация и проведение пуско-наладочных работ для сдачи оборудования Заказчику и дальнейшему вводу в эксплуатацию с участием представителей авторского надзора, технического контроля, шеф-инженеров заводов-изготовителей  (в том числе, подготовка программы и ее согласование с АО «СО ЕЭС» (направление осуществляет Заказчик), корректировка программных алгоритмов управления ПТК для обеспечения согласованной работы поставляемого турбинного и генераторного оборудования в рамках модернизируемой САУ ГА и существующей СВ (предусмотреть ПНР СВ с привлечением сертифицированных инженеров-наладчиков Basler Electric).</w:t>
            </w:r>
          </w:p>
          <w:p>
            <w:pPr>
              <w:pStyle w:val="ListParagraph"/>
              <w:widowControl w:val="false"/>
              <w:numPr>
                <w:ilvl w:val="3"/>
                <w:numId w:val="17"/>
              </w:numPr>
              <w:ind w:hanging="0" w:left="31"/>
              <w:jc w:val="both"/>
              <w:rPr>
                <w:sz w:val="28"/>
                <w:szCs w:val="28"/>
              </w:rPr>
            </w:pPr>
            <w:r>
              <w:rPr>
                <w:sz w:val="28"/>
                <w:szCs w:val="28"/>
              </w:rPr>
              <w:t>Предусмотреть привлечение разработчиков системы ЕВУ САУ ГА/ВУ АСУТП (оборудование находится на гарантии) при проведение пуско-наладочных работ по интеграции в ЕВУ САУ ГА/ВУ АСУТП генератора ГА ст.№5.</w:t>
            </w:r>
          </w:p>
          <w:p>
            <w:pPr>
              <w:pStyle w:val="ListParagraph"/>
              <w:widowControl w:val="false"/>
              <w:numPr>
                <w:ilvl w:val="3"/>
                <w:numId w:val="17"/>
              </w:numPr>
              <w:ind w:hanging="0" w:left="31"/>
              <w:jc w:val="both"/>
              <w:rPr>
                <w:sz w:val="28"/>
                <w:szCs w:val="28"/>
              </w:rPr>
            </w:pPr>
            <w:r>
              <w:rPr>
                <w:sz w:val="28"/>
                <w:szCs w:val="28"/>
              </w:rPr>
              <w:t>Проверка качества и правильности монтажа по принципиальным и монтажным схемам.</w:t>
            </w:r>
          </w:p>
          <w:p>
            <w:pPr>
              <w:pStyle w:val="ListParagraph"/>
              <w:widowControl w:val="false"/>
              <w:numPr>
                <w:ilvl w:val="3"/>
                <w:numId w:val="17"/>
              </w:numPr>
              <w:ind w:hanging="0" w:left="31"/>
              <w:jc w:val="both"/>
              <w:rPr>
                <w:sz w:val="28"/>
                <w:szCs w:val="28"/>
              </w:rPr>
            </w:pPr>
            <w:r>
              <w:rPr>
                <w:sz w:val="28"/>
                <w:szCs w:val="28"/>
              </w:rPr>
              <w:t>Настройка и регулировка приборов, аппаратов и устройств по заданным параметрам и диапазонам работы в соответствии с требованиями завода изготовителя с оформлением протоколов.</w:t>
            </w:r>
          </w:p>
          <w:p>
            <w:pPr>
              <w:pStyle w:val="ListParagraph"/>
              <w:widowControl w:val="false"/>
              <w:numPr>
                <w:ilvl w:val="3"/>
                <w:numId w:val="17"/>
              </w:numPr>
              <w:ind w:hanging="0" w:left="31"/>
              <w:jc w:val="both"/>
              <w:rPr>
                <w:sz w:val="28"/>
                <w:szCs w:val="28"/>
              </w:rPr>
            </w:pPr>
            <w:r>
              <w:rPr>
                <w:sz w:val="28"/>
                <w:szCs w:val="28"/>
              </w:rPr>
              <w:t>Проведение замеров сопротивления изоляции всех цепей с предоставлением протокола замеров.</w:t>
            </w:r>
          </w:p>
          <w:p>
            <w:pPr>
              <w:pStyle w:val="ListParagraph"/>
              <w:widowControl w:val="false"/>
              <w:numPr>
                <w:ilvl w:val="3"/>
                <w:numId w:val="17"/>
              </w:numPr>
              <w:ind w:hanging="0" w:left="31"/>
              <w:jc w:val="both"/>
              <w:rPr>
                <w:sz w:val="28"/>
                <w:szCs w:val="28"/>
              </w:rPr>
            </w:pPr>
            <w:r>
              <w:rPr>
                <w:sz w:val="28"/>
                <w:szCs w:val="28"/>
              </w:rPr>
              <w:t xml:space="preserve">Проведение полного объема испытаний всего смонтированного оборудования согласно СТО 34.01-23.1-001-2017 «Объёмы и нормы испытаний электрооборудования». </w:t>
            </w:r>
          </w:p>
          <w:p>
            <w:pPr>
              <w:pStyle w:val="ListParagraph"/>
              <w:widowControl w:val="false"/>
              <w:numPr>
                <w:ilvl w:val="3"/>
                <w:numId w:val="17"/>
              </w:numPr>
              <w:ind w:hanging="0" w:left="31"/>
              <w:jc w:val="both"/>
              <w:rPr>
                <w:sz w:val="28"/>
                <w:szCs w:val="28"/>
              </w:rPr>
            </w:pPr>
            <w:r>
              <w:rPr>
                <w:sz w:val="28"/>
                <w:szCs w:val="28"/>
              </w:rPr>
              <w:t>Проведение индивидуальных испытаний оборудования и функциональных испытаний отдельных систем, завершающиеся пробным пуском оборудования.</w:t>
            </w:r>
          </w:p>
          <w:p>
            <w:pPr>
              <w:pStyle w:val="ListParagraph"/>
              <w:widowControl w:val="false"/>
              <w:numPr>
                <w:ilvl w:val="3"/>
                <w:numId w:val="17"/>
              </w:numPr>
              <w:ind w:hanging="0" w:left="31"/>
              <w:jc w:val="both"/>
              <w:rPr>
                <w:sz w:val="28"/>
                <w:szCs w:val="28"/>
              </w:rPr>
            </w:pPr>
            <w:r>
              <w:rPr>
                <w:sz w:val="28"/>
                <w:szCs w:val="28"/>
              </w:rPr>
              <w:t>Проведение испытаний смонтированного и модернизированного оборудования по заранее разработанным Подрядчиком программам и методикам испытаний (ПМИ).</w:t>
            </w:r>
          </w:p>
          <w:p>
            <w:pPr>
              <w:pStyle w:val="ListParagraph"/>
              <w:widowControl w:val="false"/>
              <w:numPr>
                <w:ilvl w:val="3"/>
                <w:numId w:val="17"/>
              </w:numPr>
              <w:ind w:hanging="0" w:left="31"/>
              <w:jc w:val="both"/>
              <w:rPr>
                <w:sz w:val="28"/>
                <w:szCs w:val="28"/>
              </w:rPr>
            </w:pPr>
            <w:r>
              <w:rPr>
                <w:sz w:val="28"/>
                <w:szCs w:val="28"/>
              </w:rPr>
              <w:t>Организация и проведение тепловых, энергетических и вибрационных испытаний с уточнением диаграмм и характеристик оборудования.</w:t>
            </w:r>
          </w:p>
          <w:p>
            <w:pPr>
              <w:pStyle w:val="ListParagraph"/>
              <w:widowControl w:val="false"/>
              <w:numPr>
                <w:ilvl w:val="3"/>
                <w:numId w:val="17"/>
              </w:numPr>
              <w:ind w:hanging="0" w:left="31"/>
              <w:jc w:val="both"/>
              <w:rPr>
                <w:sz w:val="28"/>
                <w:szCs w:val="28"/>
              </w:rPr>
            </w:pPr>
            <w:r>
              <w:rPr>
                <w:sz w:val="28"/>
                <w:szCs w:val="28"/>
              </w:rPr>
              <w:t>В части поставляемого оборудования и материалов Подрядчиком: выдача комплекта технической документации (акты, сертификаты, протоколы, комплекты исполнительных принципиальных и монтажных схем, технические паспорта, технические описания, настроечные данные, инструкции по проведению регламентных работ, руководства по эксплуатации).</w:t>
            </w:r>
          </w:p>
          <w:p>
            <w:pPr>
              <w:pStyle w:val="ListParagraph"/>
              <w:widowControl w:val="false"/>
              <w:numPr>
                <w:ilvl w:val="3"/>
                <w:numId w:val="17"/>
              </w:numPr>
              <w:ind w:hanging="0" w:left="31"/>
              <w:jc w:val="both"/>
              <w:rPr>
                <w:sz w:val="28"/>
                <w:szCs w:val="28"/>
              </w:rPr>
            </w:pPr>
            <w:r>
              <w:rPr>
                <w:sz w:val="28"/>
                <w:szCs w:val="28"/>
              </w:rPr>
              <w:t>В части выполняемых работ Подрядчиком: выдача комплекта технической документации (акты, протоколы, комплекты исполнительных и монтажных схем, настроечные данные);</w:t>
            </w:r>
          </w:p>
          <w:p>
            <w:pPr>
              <w:pStyle w:val="ListParagraph"/>
              <w:widowControl w:val="false"/>
              <w:numPr>
                <w:ilvl w:val="3"/>
                <w:numId w:val="17"/>
              </w:numPr>
              <w:ind w:hanging="0" w:left="31"/>
              <w:jc w:val="both"/>
              <w:rPr>
                <w:sz w:val="28"/>
                <w:szCs w:val="28"/>
              </w:rPr>
            </w:pPr>
            <w:r>
              <w:rPr>
                <w:sz w:val="28"/>
                <w:szCs w:val="28"/>
              </w:rPr>
              <w:t>Разработка программ комплексных испытаний и комплексного опробования.</w:t>
            </w:r>
          </w:p>
          <w:p>
            <w:pPr>
              <w:pStyle w:val="ListParagraph"/>
              <w:widowControl w:val="false"/>
              <w:numPr>
                <w:ilvl w:val="3"/>
                <w:numId w:val="17"/>
              </w:numPr>
              <w:ind w:hanging="0" w:left="31"/>
              <w:jc w:val="both"/>
              <w:rPr>
                <w:sz w:val="28"/>
                <w:szCs w:val="28"/>
              </w:rPr>
            </w:pPr>
            <w:r>
              <w:rPr>
                <w:sz w:val="28"/>
                <w:szCs w:val="28"/>
              </w:rPr>
              <w:t>Регулировка и настройка оборудования в холостую и под нагрузкой.</w:t>
            </w:r>
          </w:p>
          <w:p>
            <w:pPr>
              <w:pStyle w:val="ListParagraph"/>
              <w:widowControl w:val="false"/>
              <w:numPr>
                <w:ilvl w:val="3"/>
                <w:numId w:val="17"/>
              </w:numPr>
              <w:ind w:hanging="0" w:left="31"/>
              <w:jc w:val="both"/>
              <w:rPr>
                <w:sz w:val="28"/>
                <w:szCs w:val="28"/>
              </w:rPr>
            </w:pPr>
            <w:r>
              <w:rPr>
                <w:sz w:val="28"/>
                <w:szCs w:val="28"/>
              </w:rPr>
              <w:t>Проведение необходимых испытаний, предусмотренных требованиями регламентирующих документов (в т.ч. снятие векторных диаграмм и вольтамперных характеристик трансформаторов тока и ТН блока генератор -трансформатор).</w:t>
            </w:r>
          </w:p>
          <w:p>
            <w:pPr>
              <w:pStyle w:val="ListParagraph"/>
              <w:widowControl w:val="false"/>
              <w:numPr>
                <w:ilvl w:val="3"/>
                <w:numId w:val="17"/>
              </w:numPr>
              <w:ind w:hanging="0" w:left="31"/>
              <w:jc w:val="both"/>
              <w:rPr>
                <w:sz w:val="28"/>
                <w:szCs w:val="28"/>
              </w:rPr>
            </w:pPr>
            <w:r>
              <w:rPr>
                <w:sz w:val="28"/>
                <w:szCs w:val="28"/>
              </w:rPr>
              <w:t>Организация консультирования эксплуатационного персонала Заказчика по эксплуатации, техническому обслуживанию, ремонту оборудования, поставляемого Подрядчиком до окончания гарантийного срока по договору.</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7"/>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t>Требования к шеф-монтажу, шеф-наладке и авторскому надзору</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7"/>
              </w:numPr>
              <w:tabs>
                <w:tab w:val="clear" w:pos="708"/>
                <w:tab w:val="left" w:pos="171" w:leader="none"/>
              </w:tabs>
              <w:ind w:hanging="0" w:left="0"/>
              <w:jc w:val="both"/>
              <w:rPr>
                <w:sz w:val="28"/>
                <w:szCs w:val="28"/>
              </w:rPr>
            </w:pPr>
            <w:r>
              <w:rPr>
                <w:sz w:val="28"/>
                <w:szCs w:val="28"/>
              </w:rPr>
              <w:t>Организация совместной работы с представителями шеф-монтажа, шеф-наладки и авторского надзора. Исполнение требований и рекомендаций представителей шеф-монтажа, шеф-наладки и авторского надзора.</w:t>
            </w:r>
          </w:p>
          <w:p>
            <w:pPr>
              <w:pStyle w:val="ListParagraph"/>
              <w:widowControl w:val="false"/>
              <w:numPr>
                <w:ilvl w:val="3"/>
                <w:numId w:val="17"/>
              </w:numPr>
              <w:tabs>
                <w:tab w:val="clear" w:pos="708"/>
                <w:tab w:val="left" w:pos="171" w:leader="none"/>
              </w:tabs>
              <w:ind w:hanging="0" w:left="0"/>
              <w:jc w:val="both"/>
              <w:rPr>
                <w:sz w:val="28"/>
                <w:szCs w:val="28"/>
              </w:rPr>
            </w:pPr>
            <w:r>
              <w:rPr>
                <w:sz w:val="28"/>
                <w:szCs w:val="28"/>
              </w:rPr>
              <w:t>Монтаж, наладка и ввод гидротурбинного оборудования, оборудования системы сжатого воздуха (в т.ч. подключение к существующей системе сжатого воздуха), гидрогенераторного оборудования, электротехнического оборудования, САУ, РЗА, генераторный выключатель блока генератор-трансформатор, систему тиристорного самовозбуждения в эксплуатацию должен осуществляться Подрядчиком с привлечением шеф-инженера завода-изготовителя оборудования силами специализированной монтажной, наладочной организаций и согласованной Заказчиком, в соответствии с ППР, «Инструкцией по монтажу» и «Программой и методикой пусконаладочных испытаний».</w:t>
            </w:r>
          </w:p>
          <w:p>
            <w:pPr>
              <w:pStyle w:val="ListParagraph"/>
              <w:widowControl w:val="false"/>
              <w:numPr>
                <w:ilvl w:val="3"/>
                <w:numId w:val="17"/>
              </w:numPr>
              <w:tabs>
                <w:tab w:val="clear" w:pos="708"/>
                <w:tab w:val="left" w:pos="171" w:leader="none"/>
              </w:tabs>
              <w:ind w:hanging="0" w:left="0"/>
              <w:jc w:val="both"/>
              <w:rPr>
                <w:sz w:val="28"/>
                <w:szCs w:val="28"/>
              </w:rPr>
            </w:pPr>
            <w:r>
              <w:rPr>
                <w:sz w:val="28"/>
                <w:szCs w:val="28"/>
              </w:rPr>
              <w:t>Участие в комплексных, приемо-сдаточных испытаниях. Подготовка и передача Заказчику комплекта технической документации в части выполненных работ ПНР и СМР (акты, сертификаты, протоколы, комплекты исполнительных принципиальных и монтажных схем, технические паспорта, технические описания, настроечные данные, инструкции по проведению регламентных работ, инструкции по эксплуатации.</w:t>
            </w:r>
          </w:p>
          <w:p>
            <w:pPr>
              <w:pStyle w:val="ListParagraph"/>
              <w:widowControl w:val="false"/>
              <w:numPr>
                <w:ilvl w:val="3"/>
                <w:numId w:val="17"/>
              </w:numPr>
              <w:tabs>
                <w:tab w:val="clear" w:pos="708"/>
                <w:tab w:val="left" w:pos="171" w:leader="none"/>
              </w:tabs>
              <w:ind w:hanging="0" w:left="0"/>
              <w:jc w:val="both"/>
              <w:rPr>
                <w:sz w:val="28"/>
                <w:szCs w:val="28"/>
              </w:rPr>
            </w:pPr>
            <w:r>
              <w:rPr>
                <w:sz w:val="28"/>
                <w:szCs w:val="28"/>
              </w:rPr>
              <w:t>Подрядчик обеспечивает:</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Техническое руководство (консультирование, координацию работ привлекаемых им монтажных организаций, надзор за их выполнением) при выполнении монтажных работ по всему комплексу оборудования перечисленного в п. 3.2., включая управление АРЗ, МНУ, РЗА ГГ и САУ ГА, систем тиристорного самовозбуждения.</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Присутствие шеф-персонала при производстве строительно-монтажных работ в соответствии с предоставленным графиком и самостоятельно определяет время и сроки потребности конкретных специалистов на основании сведений полученных от своего представителя на Нижегородской ГЭС.</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 xml:space="preserve">Комплекс работ авторского надзора включает в себя: </w:t>
            </w:r>
          </w:p>
          <w:p>
            <w:pPr>
              <w:pStyle w:val="ListParagraph"/>
              <w:widowControl w:val="false"/>
              <w:numPr>
                <w:ilvl w:val="5"/>
                <w:numId w:val="17"/>
              </w:numPr>
              <w:tabs>
                <w:tab w:val="clear" w:pos="708"/>
                <w:tab w:val="left" w:pos="171" w:leader="none"/>
              </w:tabs>
              <w:ind w:hanging="0" w:left="0"/>
              <w:jc w:val="both"/>
              <w:rPr>
                <w:sz w:val="28"/>
                <w:szCs w:val="28"/>
              </w:rPr>
            </w:pPr>
            <w:r>
              <w:rPr>
                <w:sz w:val="28"/>
                <w:szCs w:val="28"/>
              </w:rPr>
              <w:t>присутствие специалистов проектной организации и осуществление авторского надзора в соответствии с СП 246.1325800.2023;</w:t>
            </w:r>
          </w:p>
          <w:p>
            <w:pPr>
              <w:pStyle w:val="ListParagraph"/>
              <w:widowControl w:val="false"/>
              <w:numPr>
                <w:ilvl w:val="5"/>
                <w:numId w:val="17"/>
              </w:numPr>
              <w:tabs>
                <w:tab w:val="clear" w:pos="708"/>
                <w:tab w:val="left" w:pos="171" w:leader="none"/>
              </w:tabs>
              <w:ind w:hanging="0" w:left="0"/>
              <w:jc w:val="both"/>
              <w:rPr>
                <w:sz w:val="28"/>
                <w:szCs w:val="28"/>
              </w:rPr>
            </w:pPr>
            <w:r>
              <w:rPr>
                <w:sz w:val="28"/>
                <w:szCs w:val="28"/>
              </w:rPr>
              <w:t>передача Заказчику и привлекаемым Подрядчиком строительно-монтажным организациям подробных инструкций по проведению строительно-монтажных работ и контроля их качества;</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осуществление общетехнического и технологического контроля за ходом строительно-монтажных работ;</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 xml:space="preserve">технические консультации и сопровождение (надзор) работ, выполняемых специалистами монтажных (подрядных) организаций, привлекаемых Подрядчиком; </w:t>
            </w:r>
          </w:p>
          <w:p>
            <w:pPr>
              <w:pStyle w:val="ListParagraph"/>
              <w:widowControl w:val="false"/>
              <w:numPr>
                <w:ilvl w:val="4"/>
                <w:numId w:val="17"/>
              </w:numPr>
              <w:ind w:hanging="0" w:left="0"/>
              <w:jc w:val="both"/>
              <w:rPr>
                <w:sz w:val="28"/>
                <w:szCs w:val="28"/>
              </w:rPr>
            </w:pPr>
            <w:r>
              <w:rPr>
                <w:sz w:val="28"/>
                <w:szCs w:val="28"/>
              </w:rPr>
              <w:t>контроль качества выполненных строительно-монтажных работ, проверку в процессе монтажа и пуско-наладки соответствия выполненных работ требованиям ТЗ, рабочей документации, технической документации заводов – изготовителей;</w:t>
            </w:r>
          </w:p>
          <w:p>
            <w:pPr>
              <w:pStyle w:val="ListParagraph"/>
              <w:widowControl w:val="false"/>
              <w:numPr>
                <w:ilvl w:val="4"/>
                <w:numId w:val="17"/>
              </w:numPr>
              <w:ind w:hanging="0" w:left="0"/>
              <w:jc w:val="both"/>
              <w:rPr>
                <w:sz w:val="28"/>
                <w:szCs w:val="28"/>
              </w:rPr>
            </w:pPr>
            <w:r>
              <w:rPr>
                <w:sz w:val="28"/>
                <w:szCs w:val="28"/>
              </w:rPr>
              <w:t>объем предоставляемых услуг должен соответствовать ТТ и учитывать требования СО 34.31.302.2001 «(РД 153-34.2-31.302-2001) Методические указания по проведению натурных испытаний гидротурбинных агрегатов при вводе их в эксплуатацию на ГЭС», СО 34.31.401-2002 «Типовые технические требования к гидротурбинному оборудованию, поставляемому заводами-изготовителями на ГЭС» и ОСТ 108.002.128-80 «Шефмонтаж и шефналадка энергетического тепло и гидромеханического оборудования. Основные положения и типовые договоры»;</w:t>
            </w:r>
          </w:p>
          <w:p>
            <w:pPr>
              <w:pStyle w:val="ListParagraph"/>
              <w:widowControl w:val="false"/>
              <w:numPr>
                <w:ilvl w:val="4"/>
                <w:numId w:val="17"/>
              </w:numPr>
              <w:ind w:hanging="0" w:left="0"/>
              <w:jc w:val="both"/>
              <w:rPr>
                <w:sz w:val="28"/>
                <w:szCs w:val="28"/>
              </w:rPr>
            </w:pPr>
            <w:r>
              <w:rPr>
                <w:sz w:val="28"/>
                <w:szCs w:val="28"/>
              </w:rPr>
              <w:t>своевременную разработку и внесение изменений в конструкторскую и рабочую документацию в соответствии с решениями, принятыми в процессе авторского надзора, шеф-монтажа, шеф-наладки;</w:t>
            </w:r>
          </w:p>
          <w:p>
            <w:pPr>
              <w:pStyle w:val="ListParagraph"/>
              <w:widowControl w:val="false"/>
              <w:numPr>
                <w:ilvl w:val="4"/>
                <w:numId w:val="17"/>
              </w:numPr>
              <w:ind w:hanging="0" w:left="0"/>
              <w:jc w:val="both"/>
              <w:rPr>
                <w:sz w:val="28"/>
                <w:szCs w:val="28"/>
              </w:rPr>
            </w:pPr>
            <w:r>
              <w:rPr>
                <w:sz w:val="28"/>
                <w:szCs w:val="28"/>
              </w:rPr>
              <w:t>ведение журнала авторского надзора, журнала шеф-монтажа, шеф-наладки, контроль за своевременным и качественным исполнением указаний, внесенных в журналы.</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проверку соответствия выполненных работ проекту, соблюдения технологии, качества производства работ и работ по монтажу технологического и других видов оборудования, соблюдения правил пожаро- и взрывобезопасности</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Подрядчик разрабатывает график авторского надзора на основании графика проведения монтажных работ.</w:t>
            </w:r>
          </w:p>
          <w:p>
            <w:pPr>
              <w:pStyle w:val="ListParagraph"/>
              <w:widowControl w:val="false"/>
              <w:numPr>
                <w:ilvl w:val="4"/>
                <w:numId w:val="17"/>
              </w:numPr>
              <w:tabs>
                <w:tab w:val="clear" w:pos="708"/>
                <w:tab w:val="left" w:pos="171" w:leader="none"/>
              </w:tabs>
              <w:ind w:hanging="0" w:left="0"/>
              <w:jc w:val="both"/>
              <w:rPr>
                <w:sz w:val="28"/>
                <w:szCs w:val="28"/>
              </w:rPr>
            </w:pPr>
            <w:r>
              <w:rPr>
                <w:sz w:val="28"/>
                <w:szCs w:val="28"/>
              </w:rPr>
              <w:t>Обеспечивает принятие своевременных решений, возникающих в процессе работ, вопросов между Подрядчиком и субподрядчиками.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4"/>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Требования к применяемым при выполнении работ / оказании услуг оборудованию и материалам, технологиям, программно-аппаратным средствам</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rHeight w:val="314" w:hRule="atLeast"/>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4"/>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lang w:val="en-US"/>
              </w:rPr>
            </w:pPr>
            <w:r>
              <w:rPr>
                <w:lang w:val="en-US"/>
              </w:rPr>
              <w:t>Требования к поставке</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Требования изложены в приложениях №1, 2, 3</w:t>
            </w:r>
            <w:r>
              <w:rPr>
                <w:sz w:val="28"/>
                <w:szCs w:val="28"/>
                <w:lang w:val="en-US"/>
              </w:rPr>
              <w:t xml:space="preserve">, </w:t>
            </w:r>
            <w:r>
              <w:rPr>
                <w:sz w:val="28"/>
                <w:szCs w:val="28"/>
              </w:rPr>
              <w:t>1</w:t>
            </w:r>
            <w:r>
              <w:rPr>
                <w:sz w:val="28"/>
                <w:szCs w:val="28"/>
                <w:lang w:val="en-US"/>
              </w:rPr>
              <w:t>1</w:t>
            </w:r>
            <w:r>
              <w:rPr>
                <w:sz w:val="28"/>
                <w:szCs w:val="28"/>
              </w:rPr>
              <w:t>.</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Выполнить закупку и поставку необходимого оборудования, материалов в соответствии с требованиями Приложений № 1, 2, 3, 4, 5, 6, 7, 8, 9, 10 к настоящим ТТ.</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Поставляемое оборудование должно обеспечивать подключение и интеграцию с оборудованием и общестанционными системами Объекта ГА ст.№5.</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Организация приемки и контроля качества изготовления оборудования, поставляемого в рамках реализации проекта, в соответствии с техническими требованиями Заказчика.</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Качество и комплектность поставляемого Оборудования должны соответствовать требованиям Заказчика, государственным стандартам (техническим регламентам), техническим условиям и другой нормативно - технической документации, в том числе, указанной в Приложении №11 к настоящим ТТ, применительно к каждой позиции Оборудования.</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Обеспечение исполнения требований к хранению оборудования, поставляемого в рамках договора на складах, открытых площадках Заказчика.</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Состав и объем изделий, оборудования, материалов должен соответствовать КД и РД в полном объеме. Перечень давальческих приспособлений представлен в приложении №1</w:t>
            </w:r>
            <w:r>
              <w:rPr>
                <w:sz w:val="28"/>
                <w:szCs w:val="28"/>
                <w:lang w:val="en-US"/>
              </w:rPr>
              <w:t>7</w:t>
            </w:r>
            <w:r>
              <w:rPr>
                <w:sz w:val="28"/>
                <w:szCs w:val="28"/>
              </w:rPr>
              <w:t xml:space="preserve"> к данному ТЗ</w:t>
            </w:r>
            <w:r>
              <w:rPr>
                <w:sz w:val="28"/>
                <w:szCs w:val="28"/>
                <w:lang w:val="en-US"/>
              </w:rPr>
              <w:t>.</w:t>
            </w:r>
          </w:p>
          <w:p>
            <w:pPr>
              <w:pStyle w:val="ListParagraph"/>
              <w:widowControl w:val="false"/>
              <w:numPr>
                <w:ilvl w:val="3"/>
                <w:numId w:val="14"/>
              </w:numPr>
              <w:tabs>
                <w:tab w:val="clear" w:pos="708"/>
                <w:tab w:val="left" w:pos="177" w:leader="none"/>
              </w:tabs>
              <w:ind w:hanging="0" w:left="31"/>
              <w:jc w:val="both"/>
              <w:rPr>
                <w:sz w:val="28"/>
                <w:szCs w:val="28"/>
              </w:rPr>
            </w:pPr>
            <w:r>
              <w:rPr>
                <w:sz w:val="28"/>
                <w:szCs w:val="28"/>
              </w:rPr>
              <w:t xml:space="preserve">Требования </w:t>
              <w:tab/>
              <w:t>к изделиям, материалам, оборудованию:</w:t>
            </w:r>
          </w:p>
          <w:p>
            <w:pPr>
              <w:pStyle w:val="ListParagraph"/>
              <w:widowControl w:val="false"/>
              <w:numPr>
                <w:ilvl w:val="4"/>
                <w:numId w:val="14"/>
              </w:numPr>
              <w:tabs>
                <w:tab w:val="clear" w:pos="708"/>
                <w:tab w:val="left" w:pos="177" w:leader="none"/>
              </w:tabs>
              <w:ind w:hanging="0" w:left="34"/>
              <w:jc w:val="both"/>
              <w:rPr>
                <w:sz w:val="28"/>
                <w:szCs w:val="28"/>
              </w:rPr>
            </w:pPr>
            <w:r>
              <w:rPr>
                <w:sz w:val="28"/>
                <w:szCs w:val="28"/>
              </w:rPr>
              <w:t>Материалы, изделия и оборудование, необходимые для выполнения работ должны поставляться согласно заказным спецификациям на изделия, оборудование, материалы.</w:t>
            </w:r>
          </w:p>
          <w:p>
            <w:pPr>
              <w:pStyle w:val="ListParagraph"/>
              <w:widowControl w:val="false"/>
              <w:numPr>
                <w:ilvl w:val="4"/>
                <w:numId w:val="21"/>
              </w:numPr>
              <w:tabs>
                <w:tab w:val="clear" w:pos="708"/>
                <w:tab w:val="left" w:pos="177" w:leader="none"/>
              </w:tabs>
              <w:ind w:hanging="0" w:left="40"/>
              <w:jc w:val="both"/>
              <w:rPr>
                <w:sz w:val="28"/>
                <w:szCs w:val="28"/>
              </w:rPr>
            </w:pPr>
            <w:r>
              <w:rPr>
                <w:sz w:val="28"/>
                <w:szCs w:val="28"/>
              </w:rPr>
              <w:t>Заводские паспорта и сертификаты качества на закупаемые материалы и оборудование, техническая документация на бумажном носителе на русском языке, DDP (delivered duty paid) в терминологии Инкотермс. Оборудование доставляется Заказчику в место назначения в соответствие п. 4 таблицы 3 настоящего ТТ, очищенный от всех таможенных пошлин и рисков. Погрузка, разгрузка и перемещение в места, указанные заказчиком поставляемого оборудования в месте назначения, выполняется Подрядчиком.</w:t>
            </w:r>
          </w:p>
          <w:p>
            <w:pPr>
              <w:pStyle w:val="ListParagraph"/>
              <w:widowControl w:val="false"/>
              <w:numPr>
                <w:ilvl w:val="4"/>
                <w:numId w:val="21"/>
              </w:numPr>
              <w:tabs>
                <w:tab w:val="clear" w:pos="708"/>
                <w:tab w:val="left" w:pos="177" w:leader="none"/>
              </w:tabs>
              <w:ind w:hanging="0" w:left="40"/>
              <w:jc w:val="both"/>
              <w:rPr>
                <w:sz w:val="28"/>
                <w:szCs w:val="28"/>
              </w:rPr>
            </w:pPr>
            <w:r>
              <w:rPr>
                <w:sz w:val="28"/>
                <w:szCs w:val="28"/>
              </w:rPr>
              <w:t>Запасные части, требуемые для эксплуатации Объекта ГА ст.№5, включая техническое обслуживание, на период 7 (семь) лет с момента ввода объекта в промышленную эксплуатацию, вместе с поставкой оборудования.</w:t>
            </w:r>
          </w:p>
          <w:p>
            <w:pPr>
              <w:pStyle w:val="ListParagraph"/>
              <w:widowControl w:val="false"/>
              <w:numPr>
                <w:ilvl w:val="4"/>
                <w:numId w:val="21"/>
              </w:numPr>
              <w:tabs>
                <w:tab w:val="clear" w:pos="708"/>
                <w:tab w:val="left" w:pos="177" w:leader="none"/>
              </w:tabs>
              <w:ind w:hanging="0" w:left="40"/>
              <w:jc w:val="both"/>
              <w:rPr>
                <w:sz w:val="28"/>
                <w:szCs w:val="28"/>
              </w:rPr>
            </w:pPr>
            <w:r>
              <w:rPr>
                <w:sz w:val="28"/>
                <w:szCs w:val="28"/>
              </w:rPr>
              <w:t>Полный перечень запасных частей определяется конструкторской и рабочей документацией и согласовывается с Заказчиком. Все поставляемые запасные части должны быть взаимозаменяемыми для соответствующих частей оборудования, поставляемого по спецификациям договора по настоящим ТТ, и должны быть изготовлены из такого же материала и с таким же качеством.</w:t>
            </w:r>
          </w:p>
          <w:p>
            <w:pPr>
              <w:pStyle w:val="ListParagraph"/>
              <w:widowControl w:val="false"/>
              <w:numPr>
                <w:ilvl w:val="4"/>
                <w:numId w:val="21"/>
              </w:numPr>
              <w:tabs>
                <w:tab w:val="clear" w:pos="708"/>
                <w:tab w:val="left" w:pos="177" w:leader="none"/>
              </w:tabs>
              <w:ind w:hanging="0" w:left="40"/>
              <w:jc w:val="both"/>
              <w:rPr>
                <w:sz w:val="28"/>
                <w:szCs w:val="28"/>
              </w:rPr>
            </w:pPr>
            <w:r>
              <w:rPr>
                <w:sz w:val="28"/>
                <w:szCs w:val="28"/>
              </w:rPr>
              <w:t>Все запчасти должны пройти консервацию и быть промаркированы согласно Системе маркирования деталей.</w:t>
            </w:r>
          </w:p>
          <w:p>
            <w:pPr>
              <w:pStyle w:val="ListParagraph"/>
              <w:widowControl w:val="false"/>
              <w:numPr>
                <w:ilvl w:val="4"/>
                <w:numId w:val="21"/>
              </w:numPr>
              <w:tabs>
                <w:tab w:val="clear" w:pos="708"/>
                <w:tab w:val="left" w:pos="177" w:leader="none"/>
              </w:tabs>
              <w:ind w:hanging="0" w:left="40"/>
              <w:jc w:val="both"/>
              <w:rPr>
                <w:sz w:val="28"/>
                <w:szCs w:val="28"/>
              </w:rPr>
            </w:pPr>
            <w:r>
              <w:rPr>
                <w:sz w:val="28"/>
                <w:szCs w:val="28"/>
              </w:rPr>
              <w:t>Все запчасти, приспособления и материалы должны быть доставлены в промаркированных ящиках, способных выдержать длительное хранение.</w:t>
            </w:r>
          </w:p>
          <w:p>
            <w:pPr>
              <w:pStyle w:val="ListParagraph"/>
              <w:widowControl w:val="false"/>
              <w:numPr>
                <w:ilvl w:val="4"/>
                <w:numId w:val="21"/>
              </w:numPr>
              <w:tabs>
                <w:tab w:val="clear" w:pos="708"/>
                <w:tab w:val="left" w:pos="177" w:leader="none"/>
              </w:tabs>
              <w:ind w:hanging="0" w:left="40"/>
              <w:jc w:val="both"/>
              <w:rPr>
                <w:sz w:val="28"/>
                <w:szCs w:val="28"/>
              </w:rPr>
            </w:pPr>
            <w:r>
              <w:rPr>
                <w:sz w:val="28"/>
                <w:szCs w:val="28"/>
              </w:rPr>
              <w:t>Товаросопроводительные документы должны быть оформлены на Заказчика. В случае отсутствия необходимых документов Заказчик уведомляет об этом Подрядчика. Подрядчик обязан в течение 10 (десяти) рабочих дней с даты направления данного уведомления представить недостающие документы Заказчику, что не освобождает Подрядчика от ответственности, предусмотренной условиями Договора за нарушение срока поставки.</w:t>
            </w:r>
          </w:p>
          <w:p>
            <w:pPr>
              <w:pStyle w:val="ListParagraph"/>
              <w:widowControl w:val="false"/>
              <w:numPr>
                <w:ilvl w:val="4"/>
                <w:numId w:val="21"/>
              </w:numPr>
              <w:tabs>
                <w:tab w:val="clear" w:pos="708"/>
                <w:tab w:val="left" w:pos="177" w:leader="none"/>
              </w:tabs>
              <w:ind w:hanging="0" w:left="40"/>
              <w:jc w:val="both"/>
              <w:rPr/>
            </w:pPr>
            <w:r>
              <w:rPr>
                <w:sz w:val="28"/>
                <w:szCs w:val="28"/>
              </w:rPr>
              <w:t>В случае, когда принадлежности или документы, относящиеся к поставляемому оборудованию, не предоставлены с ним или не переданы Подрядчиком в срок, Заказчик вправе отказаться от Оборудования, а Подрядчик обязан не позднее 10 (десяти) рабочих дней с даты уведомления его Заказчиком об отказе от Оборудования возместить понесенные убытки, в том числе расходы, связанные с хранением Оборудования.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20"/>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b/>
              </w:rPr>
            </w:pPr>
            <w:r>
              <w:rPr>
                <w:b/>
              </w:rPr>
              <w:t>Требования к контролю качества работ / услуг и материалов</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20"/>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20"/>
              </w:numPr>
              <w:spacing w:before="0" w:after="60"/>
              <w:ind w:hanging="0" w:left="28"/>
              <w:contextualSpacing/>
              <w:jc w:val="both"/>
              <w:rPr>
                <w:bCs/>
                <w:sz w:val="28"/>
                <w:szCs w:val="28"/>
              </w:rPr>
            </w:pPr>
            <w:r>
              <w:rPr>
                <w:sz w:val="28"/>
                <w:szCs w:val="28"/>
              </w:rPr>
              <w:t>Подрядчик должен организовать приемку и контроль качества поставляемых материалов и оборудования в рамках выполнения работ осуществления входного контроля</w:t>
            </w:r>
          </w:p>
          <w:p>
            <w:pPr>
              <w:pStyle w:val="ListParagraph"/>
              <w:widowControl w:val="false"/>
              <w:numPr>
                <w:ilvl w:val="3"/>
                <w:numId w:val="20"/>
              </w:numPr>
              <w:spacing w:before="0" w:after="60"/>
              <w:ind w:hanging="0" w:left="28"/>
              <w:contextualSpacing/>
              <w:jc w:val="both"/>
              <w:rPr>
                <w:b/>
                <w:bCs/>
                <w:sz w:val="28"/>
                <w:szCs w:val="28"/>
              </w:rPr>
            </w:pPr>
            <w:r>
              <w:rPr>
                <w:bCs/>
                <w:sz w:val="28"/>
                <w:szCs w:val="28"/>
              </w:rPr>
              <w:t>Осуществление строительного контроля. Контроль качества на соответствие выполненных монтажных и строительных работ проекту, строительным нормам и правилам, техническим условиям на производство и приемку строительно-монтажных работ.</w:t>
            </w:r>
          </w:p>
          <w:p>
            <w:pPr>
              <w:pStyle w:val="ListParagraph"/>
              <w:widowControl w:val="false"/>
              <w:numPr>
                <w:ilvl w:val="3"/>
                <w:numId w:val="20"/>
              </w:numPr>
              <w:spacing w:before="0" w:after="60"/>
              <w:ind w:hanging="0" w:left="28"/>
              <w:contextualSpacing/>
              <w:jc w:val="both"/>
              <w:rPr>
                <w:bCs/>
                <w:sz w:val="28"/>
                <w:szCs w:val="28"/>
              </w:rPr>
            </w:pPr>
            <w:r>
              <w:rPr>
                <w:bCs/>
                <w:sz w:val="28"/>
                <w:szCs w:val="28"/>
              </w:rPr>
              <w:t>Подрядчик обязан осуществить виды и объемы контроля своих работ в соответствии с положениями НТД, законов, актов и других нормативных требований, действующих в Российской Федерации, а в части оборудования, передаваемого Заказчиком – с указанием шеф-инженеров и производителей оборудования.</w:t>
            </w:r>
          </w:p>
          <w:p>
            <w:pPr>
              <w:pStyle w:val="ListParagraph"/>
              <w:widowControl w:val="false"/>
              <w:numPr>
                <w:ilvl w:val="3"/>
                <w:numId w:val="20"/>
              </w:numPr>
              <w:spacing w:before="0" w:after="60"/>
              <w:ind w:hanging="0" w:left="28"/>
              <w:contextualSpacing/>
              <w:jc w:val="both"/>
              <w:rPr>
                <w:bCs/>
                <w:sz w:val="28"/>
                <w:szCs w:val="28"/>
              </w:rPr>
            </w:pPr>
            <w:r>
              <w:rPr>
                <w:sz w:val="28"/>
                <w:szCs w:val="28"/>
              </w:rPr>
              <w:t>Риск случайной гибели или повреждения Объекта, включая материально-технические ресурсы, поставляемые Подрядчиком, переходит к Заказчику с момента подписания Акта приемки законченного строительством объекта (по форме КС-11). До подписания Сторонами указанного Акта риск случайной гибели или повреждения Объекта, оборудования и материально-технических ресурсов несет Подрядчик.</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20"/>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t>Требования к персоналу подрядчика / исполнителя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20"/>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lang w:val="en-US"/>
              </w:rPr>
            </w:pPr>
            <w:r>
              <w:rPr>
                <w:lang w:val="en-US"/>
              </w:rPr>
              <w:t>Требования к квалификации персонала</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20"/>
              </w:numPr>
              <w:tabs>
                <w:tab w:val="clear" w:pos="708"/>
                <w:tab w:val="left" w:pos="177" w:leader="none"/>
                <w:tab w:val="left" w:pos="426" w:leader="none"/>
              </w:tabs>
              <w:spacing w:before="60" w:after="0"/>
              <w:ind w:hanging="0" w:left="0"/>
              <w:contextualSpacing/>
              <w:jc w:val="both"/>
              <w:rPr>
                <w:sz w:val="28"/>
                <w:szCs w:val="28"/>
              </w:rPr>
            </w:pPr>
            <w:r>
              <w:rPr>
                <w:sz w:val="28"/>
                <w:szCs w:val="28"/>
              </w:rPr>
              <w:t>Представить перед началом проведения работ копии всех документов, подтверждающих квалификацию персонала, наличие допусков, лицензий и разрешений, необходимых для проведения работ, а также получить соответствующие допуски, разрешения, согласования или лицензии в срок, обеспечивающий надлежащее исполнение Подрядчиком условий Договора.</w:t>
            </w:r>
          </w:p>
          <w:p>
            <w:pPr>
              <w:pStyle w:val="ListParagraph"/>
              <w:widowControl w:val="false"/>
              <w:numPr>
                <w:ilvl w:val="3"/>
                <w:numId w:val="20"/>
              </w:numPr>
              <w:tabs>
                <w:tab w:val="clear" w:pos="708"/>
                <w:tab w:val="left" w:pos="177" w:leader="none"/>
                <w:tab w:val="left" w:pos="426" w:leader="none"/>
              </w:tabs>
              <w:spacing w:before="60" w:after="0"/>
              <w:ind w:hanging="0" w:left="0"/>
              <w:contextualSpacing/>
              <w:jc w:val="both"/>
              <w:rPr>
                <w:sz w:val="28"/>
                <w:szCs w:val="28"/>
              </w:rPr>
            </w:pPr>
            <w:r>
              <w:rPr>
                <w:sz w:val="28"/>
                <w:szCs w:val="28"/>
              </w:rPr>
              <w:t>Представить за 20 дней до даты начала производства СМР для согласования Заказчиком пофамильные списки персонала, задействованного при производстве Работ, в соответствие с правилами пропускного и внутри объектового режимов, действующих на ГЭС.</w:t>
            </w:r>
          </w:p>
          <w:p>
            <w:pPr>
              <w:pStyle w:val="ListParagraph"/>
              <w:widowControl w:val="false"/>
              <w:numPr>
                <w:ilvl w:val="3"/>
                <w:numId w:val="20"/>
              </w:numPr>
              <w:tabs>
                <w:tab w:val="clear" w:pos="708"/>
                <w:tab w:val="left" w:pos="177" w:leader="none"/>
                <w:tab w:val="left" w:pos="426" w:leader="none"/>
              </w:tabs>
              <w:spacing w:before="60" w:after="0"/>
              <w:ind w:hanging="0" w:left="0"/>
              <w:contextualSpacing/>
              <w:jc w:val="both"/>
              <w:rPr>
                <w:sz w:val="28"/>
                <w:szCs w:val="28"/>
              </w:rPr>
            </w:pPr>
            <w:r>
              <w:rPr>
                <w:sz w:val="28"/>
                <w:szCs w:val="28"/>
              </w:rPr>
              <w:t>Подрядчик обеспечивает требуемое в соответствии с законодательством Российской Федерации согласие физических лиц, персональные данные которых должны быть переданы Заказчику, с такой передачей, а также с осуществляемой Заказчиком обработкой, анализом, проверкой и хранением таких персональных данных. По требованию Заказчика предоставляет документы, подтверждающие получение такого согласия.</w:t>
            </w:r>
          </w:p>
          <w:p>
            <w:pPr>
              <w:pStyle w:val="ListParagraph"/>
              <w:widowControl w:val="false"/>
              <w:numPr>
                <w:ilvl w:val="3"/>
                <w:numId w:val="20"/>
              </w:numPr>
              <w:tabs>
                <w:tab w:val="clear" w:pos="708"/>
                <w:tab w:val="left" w:pos="177" w:leader="none"/>
                <w:tab w:val="left" w:pos="426" w:leader="none"/>
              </w:tabs>
              <w:spacing w:before="60" w:after="0"/>
              <w:ind w:hanging="0" w:left="0"/>
              <w:contextualSpacing/>
              <w:jc w:val="both"/>
              <w:rPr>
                <w:sz w:val="28"/>
                <w:szCs w:val="28"/>
              </w:rPr>
            </w:pPr>
            <w:r>
              <w:rPr>
                <w:sz w:val="28"/>
                <w:szCs w:val="28"/>
              </w:rPr>
              <w:t>В случае привлечения субподрядной организации Подрядчик направляет Заказчику письмо о согласовании привлечения субподрядной организации. До получения официального согласования Подрядчик не вправе привлекать к выполнению работ субподрядные организации.</w:t>
            </w:r>
          </w:p>
          <w:p>
            <w:pPr>
              <w:pStyle w:val="ListParagraph"/>
              <w:widowControl w:val="false"/>
              <w:numPr>
                <w:ilvl w:val="3"/>
                <w:numId w:val="20"/>
              </w:numPr>
              <w:tabs>
                <w:tab w:val="clear" w:pos="708"/>
                <w:tab w:val="left" w:pos="177" w:leader="none"/>
                <w:tab w:val="left" w:pos="426" w:leader="none"/>
              </w:tabs>
              <w:spacing w:before="60" w:after="0"/>
              <w:ind w:hanging="0" w:left="0"/>
              <w:contextualSpacing/>
              <w:jc w:val="both"/>
              <w:rPr>
                <w:sz w:val="28"/>
                <w:szCs w:val="28"/>
              </w:rPr>
            </w:pPr>
            <w:bookmarkStart w:id="21" w:name="_Hlk199232865"/>
            <w:r>
              <w:rPr>
                <w:sz w:val="28"/>
                <w:szCs w:val="28"/>
              </w:rPr>
              <w:t>Субподрядные договоры по выполнению вышеуказанных работ могут быть подписаны после получения Подрядчиком от Заказчика соответствующего письменного согласования Заказчика.</w:t>
            </w:r>
            <w:bookmarkEnd w:id="21"/>
          </w:p>
          <w:p>
            <w:pPr>
              <w:pStyle w:val="ListParagraph"/>
              <w:widowControl w:val="false"/>
              <w:numPr>
                <w:ilvl w:val="3"/>
                <w:numId w:val="20"/>
              </w:numPr>
              <w:tabs>
                <w:tab w:val="clear" w:pos="708"/>
                <w:tab w:val="left" w:pos="177" w:leader="none"/>
                <w:tab w:val="left" w:pos="426" w:leader="none"/>
              </w:tabs>
              <w:spacing w:before="60" w:after="0"/>
              <w:ind w:hanging="0" w:left="0"/>
              <w:contextualSpacing/>
              <w:jc w:val="both"/>
              <w:rPr>
                <w:sz w:val="28"/>
                <w:szCs w:val="28"/>
              </w:rPr>
            </w:pPr>
            <w:r>
              <w:rPr>
                <w:sz w:val="28"/>
                <w:szCs w:val="28"/>
              </w:rPr>
              <w:t>Монтаж гидроагрегата должен производиться персоналом, имеющим опыт по проведению монтажных работ и квалификацию в соответствии с требованиями инструкции по монтажу заводов изготовителей, по рабочим чертежам и конструкторской документации заводов изготовителей, согласно требований РД.</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20"/>
              </w:numPr>
              <w:spacing w:before="60" w:after="60"/>
              <w:ind w:hanging="142" w:left="181"/>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Требования к безопасности работ / услуг и охране труда</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20"/>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lang w:val="en-US"/>
              </w:rPr>
            </w:pPr>
            <w:r>
              <w:rPr>
                <w:lang w:val="en-US"/>
              </w:rPr>
              <w:t>Требования по охране труда</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20"/>
              </w:numPr>
              <w:ind w:hanging="0" w:left="36"/>
              <w:jc w:val="both"/>
              <w:rPr>
                <w:sz w:val="28"/>
                <w:szCs w:val="28"/>
              </w:rPr>
            </w:pPr>
            <w:r>
              <w:rPr>
                <w:sz w:val="28"/>
                <w:szCs w:val="28"/>
              </w:rPr>
              <w:t>Установленный противопожарный и внутриобъектовый режим на предприятии Заказчика является обязательным для персонала Подрядчика и его субподрядчиков и должен строго выполняться. Подрядчик должен соблюдать технологическую, производственную и трудовую дисциплины, ежесменно проводить уборку рабочих мест.</w:t>
            </w:r>
          </w:p>
          <w:p>
            <w:pPr>
              <w:pStyle w:val="ListParagraph"/>
              <w:widowControl w:val="false"/>
              <w:numPr>
                <w:ilvl w:val="3"/>
                <w:numId w:val="20"/>
              </w:numPr>
              <w:ind w:hanging="0" w:left="36"/>
              <w:jc w:val="both"/>
              <w:rPr>
                <w:sz w:val="28"/>
                <w:szCs w:val="28"/>
              </w:rPr>
            </w:pPr>
            <w:r>
              <w:rPr>
                <w:sz w:val="28"/>
                <w:szCs w:val="28"/>
              </w:rPr>
              <w:t>Монтирующий оборудование персонал должен соблюдать требования нормативно-технической документации указанных в приложении №11. Допуск посторонних лиц к гидроагрегату запрещается.</w:t>
            </w:r>
          </w:p>
          <w:p>
            <w:pPr>
              <w:pStyle w:val="ListParagraph"/>
              <w:widowControl w:val="false"/>
              <w:numPr>
                <w:ilvl w:val="3"/>
                <w:numId w:val="20"/>
              </w:numPr>
              <w:ind w:hanging="0" w:left="36"/>
              <w:jc w:val="both"/>
              <w:rPr>
                <w:sz w:val="28"/>
                <w:szCs w:val="28"/>
              </w:rPr>
            </w:pPr>
            <w:r>
              <w:rPr>
                <w:sz w:val="28"/>
                <w:szCs w:val="28"/>
              </w:rPr>
              <w:t>Работы в цепях обмотки статора и обмотки возбуждения должны проводиться с соблюдением правил работы с цепями, находящимися под напряжением выше 1000 В.</w:t>
            </w:r>
          </w:p>
          <w:p>
            <w:pPr>
              <w:pStyle w:val="ListParagraph"/>
              <w:widowControl w:val="false"/>
              <w:numPr>
                <w:ilvl w:val="3"/>
                <w:numId w:val="20"/>
              </w:numPr>
              <w:ind w:hanging="0" w:left="36"/>
              <w:jc w:val="both"/>
              <w:rPr>
                <w:sz w:val="28"/>
                <w:szCs w:val="28"/>
              </w:rPr>
            </w:pPr>
            <w:r>
              <w:rPr>
                <w:sz w:val="28"/>
                <w:szCs w:val="28"/>
              </w:rPr>
              <w:t>Работы в цепях аппаратуры автоматики и теплового контроля должны производиться с соблюдением правил работ с цепями, находящимися под напряжением до 1000В.</w:t>
            </w:r>
          </w:p>
          <w:p>
            <w:pPr>
              <w:pStyle w:val="ListParagraph"/>
              <w:widowControl w:val="false"/>
              <w:numPr>
                <w:ilvl w:val="3"/>
                <w:numId w:val="20"/>
              </w:numPr>
              <w:ind w:hanging="0" w:left="36"/>
              <w:jc w:val="both"/>
              <w:rPr>
                <w:sz w:val="28"/>
                <w:szCs w:val="28"/>
              </w:rPr>
            </w:pPr>
            <w:r>
              <w:rPr>
                <w:sz w:val="28"/>
                <w:szCs w:val="28"/>
              </w:rPr>
              <w:t>При работе с химреактивами и, в частности, с эпоксидными смолами, необходимо соблюдать санитарные правила и технику безопасности.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4"/>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rPr>
            </w:pPr>
            <w:r>
              <w:rPr>
                <w:b/>
                <w:bCs/>
              </w:rPr>
              <w:t xml:space="preserve">Требования к МТР, поставляемым подрядчиком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hanging="0" w:left="0"/>
              <w:contextualSpacing/>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Требования к конструкции, изготовлению и материалам</w:t>
            </w:r>
            <w:r>
              <w:rPr>
                <w:b/>
                <w:bCs/>
              </w:rPr>
              <w:t xml:space="preserve">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0" w:left="0"/>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lang w:val="en-US"/>
              </w:rPr>
            </w:pPr>
            <w:r>
              <w:rPr>
                <w:lang w:val="en-US"/>
              </w:rPr>
              <w:t>Требования к материалам</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3"/>
                <w:numId w:val="18"/>
              </w:numPr>
              <w:ind w:hanging="0" w:left="0"/>
              <w:jc w:val="both"/>
              <w:rPr>
                <w:sz w:val="28"/>
                <w:szCs w:val="28"/>
              </w:rPr>
            </w:pPr>
            <w:r>
              <w:rPr>
                <w:sz w:val="28"/>
                <w:szCs w:val="28"/>
              </w:rPr>
              <w:t>При выполнении работ должна применяться продукция, оборудование, материалы и вещества, соответствие которых нормативным требованиям подтверждено декларацией о соответствии или сертификатом соответствия.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60" w:after="0"/>
              <w:jc w:val="both"/>
              <w:rPr>
                <w:b/>
              </w:rPr>
            </w:pPr>
            <w:r>
              <w:rPr>
                <w:b/>
              </w:rPr>
              <w:t>Требования к доставке, маркировке, упаковке, транспортировке, перемещению, условиям хранения, приемке и испытаниям</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lang w:val="en-US"/>
              </w:rPr>
            </w:pPr>
            <w:r>
              <w:rPr>
                <w:lang w:val="en-US"/>
              </w:rPr>
              <w:t>Требования к доставке</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3"/>
                <w:numId w:val="18"/>
              </w:numPr>
              <w:ind w:hanging="0" w:left="0"/>
              <w:jc w:val="both"/>
              <w:rPr>
                <w:sz w:val="28"/>
                <w:szCs w:val="28"/>
              </w:rPr>
            </w:pPr>
            <w:r>
              <w:rPr>
                <w:sz w:val="28"/>
                <w:szCs w:val="28"/>
                <w:lang w:eastAsia="x-none"/>
              </w:rPr>
              <w:t>Подрядчик предоставляет Заказчику спецификацию на поставляемое оборудование по каждой позиции календарного графика поставки, в том числе скоропортящиеся материалы, с указанием наименованием узла, наименованием отгрузочного места, вида грузового места, номера места, массы брутто, массы нетто, габарита и объема отгрузочного места, условий хранения и штабелирования не позднее чем за 60 дней до начала отгрузки.</w:t>
            </w:r>
          </w:p>
          <w:p>
            <w:pPr>
              <w:pStyle w:val="ListParagraph"/>
              <w:widowControl w:val="false"/>
              <w:numPr>
                <w:ilvl w:val="3"/>
                <w:numId w:val="18"/>
              </w:numPr>
              <w:ind w:hanging="0" w:left="0"/>
              <w:jc w:val="both"/>
              <w:rPr>
                <w:sz w:val="28"/>
                <w:szCs w:val="28"/>
              </w:rPr>
            </w:pPr>
            <w:r>
              <w:rPr>
                <w:sz w:val="28"/>
                <w:szCs w:val="28"/>
                <w:lang w:eastAsia="x-none"/>
              </w:rPr>
              <w:t>Подрядчик заблаговременно пребывает на Нижегородскую ГЭС для проведения оценки размещения оборудования. Подрядчик разрабатывает схему размещения и строповки поступающего оборудования с учетом требований к хранению отгрузочных мест и согласовывает ее с Заказчиком за 60 дней до начала отгрузки. Схема размещения должна учитывать территориальные особенности Нижегородской ГЭС и допустимые нагрузки на перекрытия помещений, выделяемых для хранения. Разгрузка отгрузочных мест должна быть обеспечена подкладками (деревянными брусьями, настилами, металлическими элементами, укрывным материалом.) для длительного хранения на территории Нижегородской ГЭС.</w:t>
            </w:r>
          </w:p>
          <w:p>
            <w:pPr>
              <w:pStyle w:val="ListParagraph"/>
              <w:widowControl w:val="false"/>
              <w:numPr>
                <w:ilvl w:val="3"/>
                <w:numId w:val="18"/>
              </w:numPr>
              <w:ind w:hanging="0" w:left="0"/>
              <w:jc w:val="both"/>
              <w:rPr>
                <w:sz w:val="28"/>
                <w:szCs w:val="28"/>
              </w:rPr>
            </w:pPr>
            <w:r>
              <w:rPr>
                <w:sz w:val="28"/>
                <w:szCs w:val="28"/>
                <w:lang w:eastAsia="x-none"/>
              </w:rPr>
              <w:t>При необходимости поставка оборудования Подрядчиком должна своевременно сопровождаться и обеспечиваться такелажными оборудованием и приспособлениями, грузоподъемными сооружениями (автокранами необходимой грузоподъёмности) для разгрузки на территории Нижегородской ГЭС.</w:t>
            </w:r>
          </w:p>
          <w:p>
            <w:pPr>
              <w:pStyle w:val="ListParagraph"/>
              <w:widowControl w:val="false"/>
              <w:numPr>
                <w:ilvl w:val="3"/>
                <w:numId w:val="18"/>
              </w:numPr>
              <w:ind w:hanging="0" w:left="0"/>
              <w:jc w:val="both"/>
              <w:rPr>
                <w:sz w:val="28"/>
                <w:szCs w:val="28"/>
              </w:rPr>
            </w:pPr>
            <w:r>
              <w:rPr>
                <w:sz w:val="28"/>
                <w:szCs w:val="28"/>
              </w:rPr>
              <w:t>Обеспечение наличия и достаточности подготовленных грузоподъемных механизмов, мест разгрузки, размещения деталей и узлов оборудования, включая места, предоставленные Заказчиком.</w:t>
            </w:r>
          </w:p>
          <w:p>
            <w:pPr>
              <w:pStyle w:val="ListParagraph"/>
              <w:widowControl w:val="false"/>
              <w:numPr>
                <w:ilvl w:val="3"/>
                <w:numId w:val="18"/>
              </w:numPr>
              <w:ind w:hanging="0" w:left="0"/>
              <w:jc w:val="both"/>
              <w:rPr>
                <w:sz w:val="28"/>
                <w:szCs w:val="28"/>
              </w:rPr>
            </w:pPr>
            <w:r>
              <w:rPr>
                <w:sz w:val="28"/>
                <w:szCs w:val="28"/>
                <w:lang w:eastAsia="x-none"/>
              </w:rPr>
              <w:t xml:space="preserve">Стационарные грузоподъемные краны Нижегородской ГЭС переданы в эксплуатацию Чебоксарскому филиалу АО «Гидроремонт-ВКК» в г. Заволжье. Разгрузка и перемещение оборудования в места, указанные Заказчиком, стационарными грузоподъемными кранами Нижегородской ГЭС, выполняемая Подрядчиком в рамках поставки оборудования осуществляется Подрядчиком самостоятельно по отдельному договору, заключаемому с эксплуатирующей стационарные краны организацией. </w:t>
            </w:r>
          </w:p>
          <w:p>
            <w:pPr>
              <w:pStyle w:val="ListParagraph"/>
              <w:widowControl w:val="false"/>
              <w:numPr>
                <w:ilvl w:val="3"/>
                <w:numId w:val="18"/>
              </w:numPr>
              <w:ind w:hanging="0" w:left="0"/>
              <w:jc w:val="both"/>
              <w:rPr>
                <w:sz w:val="28"/>
                <w:szCs w:val="28"/>
              </w:rPr>
            </w:pPr>
            <w:r>
              <w:rPr>
                <w:sz w:val="28"/>
                <w:szCs w:val="28"/>
                <w:lang w:eastAsia="x-none"/>
              </w:rPr>
              <w:t>При необходимости Подрядчик обеспечивает разборку и сборку трех въездных ворот на территорию ГЭС для негабаритных грузов (включая секции забора). Разборка ворот выполняется за сутки до приезда груза. Сборка ворот осуществляется в день поставки груза.</w:t>
            </w:r>
          </w:p>
          <w:p>
            <w:pPr>
              <w:pStyle w:val="ListParagraph"/>
              <w:widowControl w:val="false"/>
              <w:numPr>
                <w:ilvl w:val="3"/>
                <w:numId w:val="18"/>
              </w:numPr>
              <w:ind w:hanging="0" w:left="0"/>
              <w:jc w:val="both"/>
              <w:rPr>
                <w:sz w:val="28"/>
                <w:szCs w:val="28"/>
              </w:rPr>
            </w:pPr>
            <w:r>
              <w:rPr>
                <w:sz w:val="28"/>
                <w:szCs w:val="28"/>
                <w:lang w:eastAsia="x-none"/>
              </w:rPr>
              <w:t xml:space="preserve">Поставляемые узлы всего оборудования, включая вспомогательное, должны поставляться упакованными в ящики или обрешетку (таре) и упаковке с использованием средств пакетирования с маркировкой номера гидроагрегата для которого оно предназначено обеспечивающую сохранность оборудования </w:t>
            </w:r>
            <w:r>
              <w:rPr>
                <w:sz w:val="28"/>
                <w:szCs w:val="28"/>
              </w:rPr>
              <w:t>от всякого рода повреждений и порчи при его перевозке и хранении с учетом возможных перегрузок и длительного хранения, в том числе в местностях с неблагоприятными климатическими условиями и</w:t>
            </w:r>
            <w:r>
              <w:rPr>
                <w:sz w:val="28"/>
                <w:szCs w:val="28"/>
                <w:lang w:eastAsia="x-none"/>
              </w:rPr>
              <w:t xml:space="preserve"> возможность его последующего перемещения на место производства работ, содержать упаковочные ведомости на каждое грузовое место с подробным описанием содержимого.</w:t>
            </w:r>
          </w:p>
          <w:p>
            <w:pPr>
              <w:pStyle w:val="ListParagraph"/>
              <w:widowControl w:val="false"/>
              <w:numPr>
                <w:ilvl w:val="3"/>
                <w:numId w:val="18"/>
              </w:numPr>
              <w:ind w:hanging="0" w:left="0"/>
              <w:jc w:val="both"/>
              <w:rPr>
                <w:sz w:val="28"/>
                <w:szCs w:val="28"/>
              </w:rPr>
            </w:pPr>
            <w:r>
              <w:rPr>
                <w:sz w:val="28"/>
                <w:szCs w:val="28"/>
              </w:rPr>
              <w:t>При необходимости дополнительных требований к способу затаривания, упаковки и средств Стороны согласуют их в Спецификации в отношении каждого вида Оборудования в соответствии с требованиями ГОСТ (технических регламентов), ОСТ и другой нормативно - технической документации.</w:t>
            </w:r>
          </w:p>
          <w:p>
            <w:pPr>
              <w:pStyle w:val="ListParagraph"/>
              <w:widowControl w:val="false"/>
              <w:numPr>
                <w:ilvl w:val="3"/>
                <w:numId w:val="18"/>
              </w:numPr>
              <w:ind w:hanging="0" w:left="0"/>
              <w:jc w:val="both"/>
              <w:rPr>
                <w:sz w:val="28"/>
                <w:szCs w:val="28"/>
              </w:rPr>
            </w:pPr>
            <w:r>
              <w:rPr>
                <w:sz w:val="28"/>
                <w:szCs w:val="28"/>
              </w:rPr>
              <w:t>Оборудование, упаковка, тара должны быть надлежащим образом промаркированы. На таре и упаковке должны быть указаны:</w:t>
            </w:r>
          </w:p>
          <w:p>
            <w:pPr>
              <w:pStyle w:val="ListParagraph"/>
              <w:widowControl w:val="false"/>
              <w:numPr>
                <w:ilvl w:val="4"/>
                <w:numId w:val="18"/>
              </w:numPr>
              <w:ind w:hanging="0" w:left="0"/>
              <w:jc w:val="both"/>
              <w:rPr>
                <w:sz w:val="28"/>
                <w:szCs w:val="28"/>
              </w:rPr>
            </w:pPr>
            <w:r>
              <w:rPr>
                <w:sz w:val="28"/>
                <w:szCs w:val="28"/>
              </w:rPr>
              <w:t>дата и номер договора поставки, наименование и адрес грузоотправителя и грузополучателя;</w:t>
            </w:r>
          </w:p>
          <w:p>
            <w:pPr>
              <w:pStyle w:val="ListParagraph"/>
              <w:widowControl w:val="false"/>
              <w:numPr>
                <w:ilvl w:val="4"/>
                <w:numId w:val="18"/>
              </w:numPr>
              <w:ind w:hanging="0" w:left="0"/>
              <w:jc w:val="both"/>
              <w:rPr>
                <w:sz w:val="28"/>
                <w:szCs w:val="28"/>
              </w:rPr>
            </w:pPr>
            <w:r>
              <w:rPr>
                <w:sz w:val="28"/>
                <w:szCs w:val="28"/>
              </w:rPr>
              <w:t>вес, брутто/нетто каждого места;</w:t>
            </w:r>
          </w:p>
          <w:p>
            <w:pPr>
              <w:pStyle w:val="ListParagraph"/>
              <w:widowControl w:val="false"/>
              <w:numPr>
                <w:ilvl w:val="4"/>
                <w:numId w:val="18"/>
              </w:numPr>
              <w:ind w:hanging="0" w:left="0"/>
              <w:jc w:val="both"/>
              <w:rPr>
                <w:sz w:val="28"/>
                <w:szCs w:val="28"/>
              </w:rPr>
            </w:pPr>
            <w:r>
              <w:rPr>
                <w:sz w:val="28"/>
                <w:szCs w:val="28"/>
              </w:rPr>
              <w:t>место назначения;</w:t>
            </w:r>
          </w:p>
          <w:p>
            <w:pPr>
              <w:pStyle w:val="ListParagraph"/>
              <w:widowControl w:val="false"/>
              <w:numPr>
                <w:ilvl w:val="4"/>
                <w:numId w:val="18"/>
              </w:numPr>
              <w:ind w:hanging="0" w:left="0"/>
              <w:jc w:val="both"/>
              <w:rPr>
                <w:sz w:val="28"/>
                <w:szCs w:val="28"/>
              </w:rPr>
            </w:pPr>
            <w:r>
              <w:rPr>
                <w:sz w:val="28"/>
                <w:szCs w:val="28"/>
              </w:rPr>
              <w:t>наименование Оборудования;</w:t>
            </w:r>
          </w:p>
          <w:p>
            <w:pPr>
              <w:pStyle w:val="ListParagraph"/>
              <w:widowControl w:val="false"/>
              <w:numPr>
                <w:ilvl w:val="4"/>
                <w:numId w:val="18"/>
              </w:numPr>
              <w:ind w:hanging="0" w:left="0"/>
              <w:jc w:val="both"/>
              <w:rPr>
                <w:sz w:val="28"/>
                <w:szCs w:val="28"/>
              </w:rPr>
            </w:pPr>
            <w:r>
              <w:rPr>
                <w:sz w:val="28"/>
                <w:szCs w:val="28"/>
              </w:rPr>
              <w:t>номера мест и их общее количество;</w:t>
            </w:r>
          </w:p>
          <w:p>
            <w:pPr>
              <w:pStyle w:val="ListParagraph"/>
              <w:widowControl w:val="false"/>
              <w:numPr>
                <w:ilvl w:val="4"/>
                <w:numId w:val="18"/>
              </w:numPr>
              <w:ind w:hanging="0" w:left="0"/>
              <w:jc w:val="both"/>
              <w:rPr>
                <w:sz w:val="28"/>
                <w:szCs w:val="28"/>
              </w:rPr>
            </w:pPr>
            <w:r>
              <w:rPr>
                <w:sz w:val="28"/>
                <w:szCs w:val="28"/>
              </w:rPr>
              <w:t>номер гидроагрегата, к которому это оборудование относится;</w:t>
            </w:r>
          </w:p>
          <w:p>
            <w:pPr>
              <w:pStyle w:val="ListParagraph"/>
              <w:widowControl w:val="false"/>
              <w:numPr>
                <w:ilvl w:val="4"/>
                <w:numId w:val="18"/>
              </w:numPr>
              <w:ind w:hanging="0" w:left="0"/>
              <w:jc w:val="both"/>
              <w:rPr>
                <w:sz w:val="28"/>
                <w:szCs w:val="28"/>
              </w:rPr>
            </w:pPr>
            <w:r>
              <w:rPr>
                <w:sz w:val="28"/>
                <w:szCs w:val="28"/>
              </w:rPr>
              <w:t>весогабаритные характеристики мест;</w:t>
            </w:r>
          </w:p>
          <w:p>
            <w:pPr>
              <w:pStyle w:val="ListParagraph"/>
              <w:widowControl w:val="false"/>
              <w:numPr>
                <w:ilvl w:val="4"/>
                <w:numId w:val="18"/>
              </w:numPr>
              <w:ind w:hanging="0" w:left="0"/>
              <w:jc w:val="both"/>
              <w:rPr>
                <w:sz w:val="28"/>
                <w:szCs w:val="28"/>
              </w:rPr>
            </w:pPr>
            <w:r>
              <w:rPr>
                <w:sz w:val="28"/>
                <w:szCs w:val="28"/>
              </w:rPr>
              <w:t>центр тяжести;</w:t>
            </w:r>
          </w:p>
          <w:p>
            <w:pPr>
              <w:pStyle w:val="ListParagraph"/>
              <w:widowControl w:val="false"/>
              <w:numPr>
                <w:ilvl w:val="4"/>
                <w:numId w:val="18"/>
              </w:numPr>
              <w:ind w:hanging="0" w:left="0"/>
              <w:jc w:val="both"/>
              <w:rPr>
                <w:sz w:val="28"/>
                <w:szCs w:val="28"/>
              </w:rPr>
            </w:pPr>
            <w:r>
              <w:rPr>
                <w:sz w:val="28"/>
                <w:szCs w:val="28"/>
              </w:rPr>
              <w:t>условия хранения;</w:t>
            </w:r>
          </w:p>
          <w:p>
            <w:pPr>
              <w:pStyle w:val="ListParagraph"/>
              <w:widowControl w:val="false"/>
              <w:numPr>
                <w:ilvl w:val="4"/>
                <w:numId w:val="18"/>
              </w:numPr>
              <w:ind w:hanging="0" w:left="0"/>
              <w:jc w:val="both"/>
              <w:rPr>
                <w:sz w:val="28"/>
                <w:szCs w:val="28"/>
              </w:rPr>
            </w:pPr>
            <w:r>
              <w:rPr>
                <w:sz w:val="28"/>
                <w:szCs w:val="28"/>
              </w:rPr>
              <w:t>маркировка для обозначения мест строповки;</w:t>
            </w:r>
          </w:p>
          <w:p>
            <w:pPr>
              <w:pStyle w:val="ListParagraph"/>
              <w:widowControl w:val="false"/>
              <w:numPr>
                <w:ilvl w:val="4"/>
                <w:numId w:val="18"/>
              </w:numPr>
              <w:ind w:hanging="0" w:left="0"/>
              <w:jc w:val="both"/>
              <w:rPr>
                <w:sz w:val="28"/>
                <w:szCs w:val="28"/>
              </w:rPr>
            </w:pPr>
            <w:r>
              <w:rPr>
                <w:sz w:val="28"/>
                <w:szCs w:val="28"/>
              </w:rPr>
              <w:t>обозначения типа «не кантовать», «не бросать» и другие обычно используемые обозначения.</w:t>
            </w:r>
          </w:p>
          <w:p>
            <w:pPr>
              <w:pStyle w:val="ListParagraph"/>
              <w:widowControl w:val="false"/>
              <w:numPr>
                <w:ilvl w:val="3"/>
                <w:numId w:val="18"/>
              </w:numPr>
              <w:ind w:hanging="0" w:left="0"/>
              <w:jc w:val="both"/>
              <w:rPr>
                <w:sz w:val="28"/>
                <w:szCs w:val="28"/>
              </w:rPr>
            </w:pPr>
            <w:r>
              <w:rPr>
                <w:sz w:val="28"/>
                <w:szCs w:val="28"/>
              </w:rPr>
              <w:t>Стоимость тары и упаковки включена в Цену Договора. Тара и упаковка возврату не подлежат.</w:t>
            </w:r>
          </w:p>
          <w:p>
            <w:pPr>
              <w:pStyle w:val="ListParagraph"/>
              <w:widowControl w:val="false"/>
              <w:numPr>
                <w:ilvl w:val="3"/>
                <w:numId w:val="18"/>
              </w:numPr>
              <w:ind w:hanging="0" w:left="0"/>
              <w:jc w:val="both"/>
              <w:rPr>
                <w:sz w:val="28"/>
                <w:szCs w:val="28"/>
              </w:rPr>
            </w:pPr>
            <w:r>
              <w:rPr>
                <w:sz w:val="28"/>
                <w:szCs w:val="28"/>
              </w:rPr>
              <w:t>- Поставка оборудования осуществляется Подрядчиком по адресу поставки (таблица 2 п. 4 настоящих ТТ) в соответствии с Календарным графиком поставки оборудования.</w:t>
            </w:r>
          </w:p>
          <w:p>
            <w:pPr>
              <w:pStyle w:val="ListParagraph"/>
              <w:widowControl w:val="false"/>
              <w:numPr>
                <w:ilvl w:val="3"/>
                <w:numId w:val="18"/>
              </w:numPr>
              <w:ind w:hanging="0" w:left="0"/>
              <w:jc w:val="both"/>
              <w:rPr>
                <w:sz w:val="28"/>
                <w:szCs w:val="28"/>
              </w:rPr>
            </w:pPr>
            <w:r>
              <w:rPr>
                <w:sz w:val="28"/>
                <w:szCs w:val="28"/>
              </w:rPr>
              <w:t>В стоимость поставки необходимо включить затраты на:</w:t>
            </w:r>
          </w:p>
          <w:p>
            <w:pPr>
              <w:pStyle w:val="ListParagraph"/>
              <w:widowControl w:val="false"/>
              <w:numPr>
                <w:ilvl w:val="4"/>
                <w:numId w:val="18"/>
              </w:numPr>
              <w:ind w:hanging="0" w:left="0"/>
              <w:jc w:val="both"/>
              <w:rPr>
                <w:sz w:val="28"/>
                <w:szCs w:val="28"/>
              </w:rPr>
            </w:pPr>
            <w:r>
              <w:rPr>
                <w:sz w:val="28"/>
                <w:szCs w:val="28"/>
              </w:rPr>
              <w:t>поставку оборудования по адресу поставки (таблица 2 п. 4 настоящих ТТ) на условиях DDP в терминологии ИНКОТЕРМС;</w:t>
            </w:r>
          </w:p>
          <w:p>
            <w:pPr>
              <w:pStyle w:val="ListParagraph"/>
              <w:widowControl w:val="false"/>
              <w:numPr>
                <w:ilvl w:val="4"/>
                <w:numId w:val="18"/>
              </w:numPr>
              <w:ind w:hanging="0" w:left="0"/>
              <w:jc w:val="both"/>
              <w:rPr>
                <w:sz w:val="28"/>
                <w:szCs w:val="28"/>
              </w:rPr>
            </w:pPr>
            <w:r>
              <w:rPr>
                <w:sz w:val="28"/>
                <w:szCs w:val="28"/>
              </w:rPr>
              <w:t>разгрузку в место, указанное Заказчиком, включая перемещение и перегрузки по территории Заказчика специальными погрузчиками и с применением специальных приспособлений (укрывочный и подкладочный материал поставляется Подрядчиком);</w:t>
            </w:r>
          </w:p>
          <w:p>
            <w:pPr>
              <w:pStyle w:val="ListParagraph"/>
              <w:widowControl w:val="false"/>
              <w:numPr>
                <w:ilvl w:val="4"/>
                <w:numId w:val="18"/>
              </w:numPr>
              <w:ind w:hanging="0" w:left="0"/>
              <w:jc w:val="both"/>
              <w:rPr>
                <w:sz w:val="28"/>
                <w:szCs w:val="28"/>
              </w:rPr>
            </w:pPr>
            <w:r>
              <w:rPr>
                <w:sz w:val="28"/>
                <w:szCs w:val="28"/>
              </w:rPr>
              <w:t>вскрытие упаковок с подтверждением комплектности поставляемого оборудования.</w:t>
            </w:r>
          </w:p>
          <w:p>
            <w:pPr>
              <w:pStyle w:val="ListParagraph"/>
              <w:widowControl w:val="false"/>
              <w:numPr>
                <w:ilvl w:val="4"/>
                <w:numId w:val="18"/>
              </w:numPr>
              <w:ind w:hanging="0" w:left="0"/>
              <w:jc w:val="both"/>
              <w:rPr>
                <w:sz w:val="28"/>
                <w:szCs w:val="28"/>
              </w:rPr>
            </w:pPr>
            <w:r>
              <w:rPr>
                <w:sz w:val="28"/>
                <w:szCs w:val="28"/>
              </w:rPr>
              <w:t>повторная упаковка для обеспечения сохранности оборудования до передачи в монтаж (начала строительно-монтажных работ).</w:t>
            </w:r>
          </w:p>
          <w:p>
            <w:pPr>
              <w:pStyle w:val="ListParagraph"/>
              <w:widowControl w:val="false"/>
              <w:numPr>
                <w:ilvl w:val="3"/>
                <w:numId w:val="18"/>
              </w:numPr>
              <w:ind w:hanging="0" w:left="0"/>
              <w:jc w:val="both"/>
              <w:rPr>
                <w:sz w:val="28"/>
                <w:szCs w:val="28"/>
              </w:rPr>
            </w:pPr>
            <w:r>
              <w:rPr>
                <w:sz w:val="28"/>
                <w:szCs w:val="28"/>
                <w:lang w:eastAsia="x-none"/>
              </w:rPr>
              <w:t xml:space="preserve">Поставляемые узлы оборудования для проведения приемки должны вскрываться Подрядчиком самостоятельно в присутствии Заказчика с последующей их переконсервацией. </w:t>
            </w:r>
          </w:p>
          <w:p>
            <w:pPr>
              <w:pStyle w:val="ListParagraph"/>
              <w:widowControl w:val="false"/>
              <w:numPr>
                <w:ilvl w:val="3"/>
                <w:numId w:val="18"/>
              </w:numPr>
              <w:ind w:hanging="0" w:left="0"/>
              <w:jc w:val="both"/>
              <w:rPr>
                <w:sz w:val="28"/>
                <w:szCs w:val="28"/>
              </w:rPr>
            </w:pPr>
            <w:r>
              <w:rPr>
                <w:sz w:val="28"/>
                <w:szCs w:val="28"/>
              </w:rPr>
              <w:t xml:space="preserve">Подрядчик в рамках выполнения работ и поставляемого им оборудования и материалов должен обеспечить организацию и проведение погрузки/разгрузки данных материалов и оборудования, а также их хранение в соответствии с требованиями Заказчика и заводов-изготовителей оборудования </w:t>
            </w:r>
            <w:r>
              <w:rPr>
                <w:sz w:val="28"/>
                <w:szCs w:val="28"/>
                <w:lang w:eastAsia="x-none"/>
              </w:rPr>
              <w:t>хранение отгрузочных мест под навесом является обязанностью Подрядчика. Обустройство навесов с применением армированной пленки осуществляется Подрядчиком самостоятельно на территории Нижегородской ГЭС по согласованию с Заказчиком.</w:t>
            </w:r>
          </w:p>
          <w:p>
            <w:pPr>
              <w:pStyle w:val="ListParagraph"/>
              <w:widowControl w:val="false"/>
              <w:numPr>
                <w:ilvl w:val="3"/>
                <w:numId w:val="18"/>
              </w:numPr>
              <w:ind w:hanging="0" w:left="0"/>
              <w:jc w:val="both"/>
              <w:rPr>
                <w:sz w:val="28"/>
                <w:szCs w:val="28"/>
              </w:rPr>
            </w:pPr>
            <w:r>
              <w:rPr>
                <w:sz w:val="28"/>
                <w:szCs w:val="28"/>
                <w:lang w:eastAsia="x-none"/>
              </w:rPr>
              <w:t>Ограничение поставки отгрузочных мест Заказчику – не более 3-х еврофур в день, иное — по отдельному согласованию с Заказчиком. В виду использования для размещения боксов на территории Нижегородской ГЭС тара отгрузочных мест, подлежащих хранению в помещениях, должна предусматривать возможность перевозки вилочными погрузчиками и штабелирование до 3 рядов.</w:t>
            </w:r>
          </w:p>
          <w:p>
            <w:pPr>
              <w:pStyle w:val="ListParagraph"/>
              <w:widowControl w:val="false"/>
              <w:numPr>
                <w:ilvl w:val="3"/>
                <w:numId w:val="18"/>
              </w:numPr>
              <w:ind w:hanging="0" w:left="0"/>
              <w:jc w:val="both"/>
              <w:rPr>
                <w:sz w:val="28"/>
                <w:szCs w:val="28"/>
              </w:rPr>
            </w:pPr>
            <w:r>
              <w:rPr>
                <w:sz w:val="28"/>
                <w:szCs w:val="28"/>
                <w:lang w:eastAsia="x-none"/>
              </w:rPr>
              <w:t>Информация о имеющихся на Нижегородской ГЭС, площадях для размещения складов для хранения оборудования и материалов (при наличии технической возможности):</w:t>
            </w:r>
          </w:p>
          <w:p>
            <w:pPr>
              <w:pStyle w:val="ListParagraph"/>
              <w:widowControl w:val="false"/>
              <w:numPr>
                <w:ilvl w:val="3"/>
                <w:numId w:val="18"/>
              </w:numPr>
              <w:ind w:hanging="0" w:left="0"/>
              <w:jc w:val="both"/>
              <w:rPr>
                <w:sz w:val="28"/>
                <w:szCs w:val="28"/>
              </w:rPr>
            </w:pPr>
            <w:r>
              <w:rPr>
                <w:sz w:val="28"/>
                <w:szCs w:val="28"/>
                <w:lang w:eastAsia="x-none"/>
              </w:rPr>
              <w:t>Отапливаемые помещения: помещение гидроподъемников (100 м2), машинный зал отметки 82,5; 78,0; 74,0 мБС (с учетом схемы нагрузок на перекрытия 100 м2).</w:t>
            </w:r>
          </w:p>
          <w:p>
            <w:pPr>
              <w:pStyle w:val="ListParagraph"/>
              <w:widowControl w:val="false"/>
              <w:numPr>
                <w:ilvl w:val="3"/>
                <w:numId w:val="18"/>
              </w:numPr>
              <w:ind w:hanging="0" w:left="0"/>
              <w:jc w:val="both"/>
              <w:rPr>
                <w:sz w:val="28"/>
                <w:szCs w:val="28"/>
              </w:rPr>
            </w:pPr>
            <w:r>
              <w:rPr>
                <w:sz w:val="28"/>
                <w:szCs w:val="28"/>
                <w:lang w:eastAsia="x-none"/>
              </w:rPr>
              <w:t>Уличное хранение с устройством навесов: асфальтированная территория со стороны НБ монтажной площадки здания ГЭС (с сохранением противопожарного проезда - 240 м2), асфальтированная территория вдоль секций ПБ5-6 – 80 м2, часть асфальтированных территории напротив боксов 1-7 хозяйственного двора (площадка № 1 и № 4 - 100м2), территория между липовой аллеей и асфальтированным покрытием вдоль секций ПБ 2, 4-6 300 м2 (на расстоянии не менее 8 метров до емкостей аварийного слива масла).</w:t>
            </w:r>
          </w:p>
          <w:p>
            <w:pPr>
              <w:pStyle w:val="ListParagraph"/>
              <w:widowControl w:val="false"/>
              <w:numPr>
                <w:ilvl w:val="3"/>
                <w:numId w:val="18"/>
              </w:numPr>
              <w:ind w:hanging="0" w:left="0"/>
              <w:jc w:val="both"/>
              <w:rPr>
                <w:sz w:val="28"/>
                <w:szCs w:val="28"/>
              </w:rPr>
            </w:pPr>
            <w:r>
              <w:rPr>
                <w:sz w:val="28"/>
                <w:szCs w:val="28"/>
              </w:rPr>
              <w:t xml:space="preserve">При проведении СМР выполнение необходимых закупок, транспортировка и доставка материалов и оборудования на место производства работ, освобождение площадей под оборудование на территории Заказчика, выполнение работ по недопущению распространения пыли в машинном зале на отметках +82.50, + 78.00, +74.00 в районе секций №1, №2, №3, №4, заготовка опорных и других металлоконструкций согласно требованиям рабочей документации (ПОР). </w:t>
            </w:r>
          </w:p>
          <w:p>
            <w:pPr>
              <w:pStyle w:val="ListParagraph"/>
              <w:widowControl w:val="false"/>
              <w:numPr>
                <w:ilvl w:val="3"/>
                <w:numId w:val="18"/>
              </w:numPr>
              <w:ind w:hanging="0" w:left="0"/>
              <w:jc w:val="both"/>
              <w:rPr>
                <w:sz w:val="28"/>
                <w:szCs w:val="28"/>
              </w:rPr>
            </w:pPr>
            <w:r>
              <w:rPr>
                <w:sz w:val="28"/>
                <w:szCs w:val="28"/>
              </w:rPr>
              <w:t>Учет местонахождения всех деталей, узлов, систем и оборудования, поставленных Подрядчиком. Подготовка предложений (текстовых и графических) по размещению поставляемого оборудования в целях эффективного распределения человеческих и материальных ресурсов во время проведения монтажных работ.</w:t>
            </w:r>
          </w:p>
          <w:p>
            <w:pPr>
              <w:pStyle w:val="ListParagraph"/>
              <w:widowControl w:val="false"/>
              <w:numPr>
                <w:ilvl w:val="3"/>
                <w:numId w:val="18"/>
              </w:numPr>
              <w:ind w:hanging="0" w:left="0"/>
              <w:jc w:val="both"/>
              <w:rPr>
                <w:sz w:val="28"/>
                <w:szCs w:val="28"/>
              </w:rPr>
            </w:pPr>
            <w:r>
              <w:rPr>
                <w:sz w:val="28"/>
                <w:szCs w:val="28"/>
              </w:rPr>
              <w:t>Производить технический осмотр оборудования, а в случае необходимости, его переконсервацию в соответствии с требованиями изготовителя оборудования. В случае нарушения директивных сроков выполнения работ по вине Подрядчика, последний обязан за свой счет произвести анализ технического состояния давальческого оборудования и материалов в присутствии завода-изготовителя и выполнить переконсервацию необходимых узлов.</w:t>
            </w:r>
          </w:p>
          <w:p>
            <w:pPr>
              <w:pStyle w:val="ListParagraph"/>
              <w:widowControl w:val="false"/>
              <w:numPr>
                <w:ilvl w:val="3"/>
                <w:numId w:val="18"/>
              </w:numPr>
              <w:ind w:hanging="0" w:left="0"/>
              <w:jc w:val="both"/>
              <w:rPr>
                <w:sz w:val="28"/>
                <w:szCs w:val="28"/>
              </w:rPr>
            </w:pPr>
            <w:r>
              <w:rPr>
                <w:sz w:val="28"/>
                <w:szCs w:val="28"/>
              </w:rPr>
              <w:t>Организация и проведение погрузки/разгрузки, транспортировки оборудования на объекте, переданного в установленном порядке Заказчиком в монтаж и приобретаемого Подрядчиком самостоятельно.</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 xml:space="preserve">Требования к эксплуатации, обеспечению и утилизации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t>Требования по обращению с отходами</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8"/>
              </w:numPr>
              <w:ind w:hanging="0" w:left="0"/>
              <w:jc w:val="both"/>
              <w:rPr>
                <w:sz w:val="28"/>
                <w:szCs w:val="28"/>
              </w:rPr>
            </w:pPr>
            <w:r>
              <w:rPr>
                <w:sz w:val="28"/>
                <w:szCs w:val="28"/>
              </w:rPr>
              <w:t>Отходы, образовавшиеся в процессе выполнения работ, Подрядчик временно накапливает в месте производства работ в соответствии с санитарными требованиями и требованиями в области охраны окружающей среды к накоплению отходов, установленными законодательством Российской Федерации, а также требованиями, установленными Инструкцией.</w:t>
            </w:r>
          </w:p>
          <w:p>
            <w:pPr>
              <w:pStyle w:val="ListParagraph"/>
              <w:widowControl w:val="false"/>
              <w:numPr>
                <w:ilvl w:val="3"/>
                <w:numId w:val="18"/>
              </w:numPr>
              <w:ind w:hanging="0" w:left="0"/>
              <w:jc w:val="both"/>
              <w:rPr>
                <w:sz w:val="28"/>
                <w:szCs w:val="28"/>
              </w:rPr>
            </w:pPr>
            <w:r>
              <w:rPr>
                <w:sz w:val="28"/>
                <w:szCs w:val="28"/>
              </w:rPr>
              <w:t>По окончании работ Подрядчик перемещает временно накопленные на месте производства работ отходы либо в указанные Заказчиком места накопления отходов на его территории, либо на полигоны ТБО (отходы 5 класса опасности) по договору Заказчика.</w:t>
            </w:r>
          </w:p>
          <w:p>
            <w:pPr>
              <w:pStyle w:val="ListParagraph"/>
              <w:widowControl w:val="false"/>
              <w:numPr>
                <w:ilvl w:val="3"/>
                <w:numId w:val="18"/>
              </w:numPr>
              <w:ind w:hanging="0" w:left="0"/>
              <w:jc w:val="both"/>
              <w:rPr>
                <w:sz w:val="28"/>
                <w:szCs w:val="28"/>
              </w:rPr>
            </w:pPr>
            <w:r>
              <w:rPr>
                <w:sz w:val="28"/>
                <w:szCs w:val="28"/>
              </w:rPr>
              <w:t>Затраты Подрядчика по обращению с отходами 5 класса опасности (транспортировка, обработка) включаются в стоимость Работ по Договору и в смету затрат по Договору. Объемы вывезенных отходов могут быть уточнены по фактическому выполнению работ.</w:t>
            </w:r>
          </w:p>
          <w:p>
            <w:pPr>
              <w:pStyle w:val="ListParagraph"/>
              <w:widowControl w:val="false"/>
              <w:numPr>
                <w:ilvl w:val="3"/>
                <w:numId w:val="18"/>
              </w:numPr>
              <w:ind w:hanging="0" w:left="0"/>
              <w:jc w:val="both"/>
              <w:rPr>
                <w:sz w:val="28"/>
                <w:szCs w:val="28"/>
              </w:rPr>
            </w:pPr>
            <w:r>
              <w:rPr>
                <w:sz w:val="28"/>
                <w:szCs w:val="28"/>
              </w:rPr>
              <w:t>Образовавшиеся в процессе производства работ отходы, подлежащие передаче специализированным организациям для обезвреживания и утилизации (металлический лом, отработанные технические масла и др.), являются собственностью Заказчика и подлежат удалению самим Заказчиком.</w:t>
            </w:r>
          </w:p>
          <w:p>
            <w:pPr>
              <w:pStyle w:val="Normal"/>
              <w:widowControl w:val="false"/>
              <w:tabs>
                <w:tab w:val="clear" w:pos="708"/>
                <w:tab w:val="left" w:pos="171" w:leader="none"/>
                <w:tab w:val="left" w:pos="426" w:leader="none"/>
              </w:tabs>
              <w:spacing w:before="60" w:after="0"/>
              <w:jc w:val="both"/>
              <w:rPr/>
            </w:pPr>
            <w:r>
              <w:rPr/>
              <w:t>Отходы, образованные при выполнении договоров подряда, источником формирования которых является имущество подрядной организации (например, тара из-под ЛКМ), а также образующиеся в результате деятельности Подрядчика, не связанной с исполнением работ, в том числе отходы, образующиеся в процессе административно-хозяйственной деятельности персонала Подрядчика на территории Филиала, являются собственностью Подрядчика. Деятельность по обращению с такими отходами, а также связанная с этим ответственность является обязанностью Подрядчика.</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bCs/>
              </w:rPr>
              <w:t>Требования к гарантиям, гарантийному и послегарантийному обслуживанию</w:t>
            </w:r>
            <w:r>
              <w:rPr>
                <w:b/>
              </w:rPr>
              <w:t xml:space="preserve">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pPr>
            <w:r>
              <w:rPr/>
              <w:t>Срок гарантии на результаты работ (включая поставляемые материалы и оборудование)</w:t>
            </w:r>
          </w:p>
        </w:tc>
        <w:tc>
          <w:tcPr>
            <w:tcW w:w="73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bCs/>
              </w:rPr>
              <w:t>84</w:t>
            </w:r>
            <w:r>
              <w:rPr/>
              <w:t xml:space="preserve"> </w:t>
            </w:r>
            <w:r>
              <w:rPr>
                <w:bCs/>
              </w:rPr>
              <w:t>(восемьдесят четыре)</w:t>
            </w:r>
            <w:r>
              <w:rPr/>
              <w:t xml:space="preserve"> месяца</w:t>
            </w:r>
            <w:r>
              <w:rPr>
                <w:bCs/>
              </w:rPr>
              <w:t xml:space="preserve"> и начинает течь с даты подписания Сторонами Акта КС-11 либо с даты прекращения (расторжения) Договора. Гарантийный срок может быть продлен в соответствии с условиями Договора. </w:t>
            </w:r>
            <w:r>
              <w:rPr/>
              <w:t>По истечении срока гарантии Подрядчик (либо заводы – изготовители) гарантирует поставку запасных частей и материалов по заявкам Заказчика, оформленным отдельным соглашением и за отдельную плату, в течение всего периода эксплуатации оборудования.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pPr>
            <w:r>
              <w:rPr/>
              <w:t>Гарантийные требования к поставленному оборудованию и МТР</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8"/>
              </w:numPr>
              <w:tabs>
                <w:tab w:val="clear" w:pos="708"/>
                <w:tab w:val="left" w:pos="426" w:leader="none"/>
              </w:tabs>
              <w:spacing w:before="60" w:after="0"/>
              <w:ind w:hanging="0" w:left="36"/>
              <w:contextualSpacing/>
              <w:jc w:val="both"/>
              <w:rPr>
                <w:bCs/>
                <w:sz w:val="28"/>
                <w:szCs w:val="28"/>
              </w:rPr>
            </w:pPr>
            <w:bookmarkStart w:id="22" w:name="_Hlk199233952"/>
            <w:r>
              <w:rPr>
                <w:bCs/>
                <w:sz w:val="28"/>
                <w:szCs w:val="28"/>
              </w:rPr>
              <w:t>В случае если при приемке Оборудования или в течение гарантийного срока Заказчик обнаружит в Оборудовании недостатки, несоответствие Спецификации и иные дефекты, и недостатки, Подрядчик за свой счет в сроки, согласованные Сторонами, но не более 30 (тридцати) рабочих дней с момента получения гарантийного требования Заказчика, по выбору Заказчика:</w:t>
            </w:r>
            <w:bookmarkEnd w:id="22"/>
          </w:p>
          <w:p>
            <w:pPr>
              <w:pStyle w:val="ListParagraph"/>
              <w:widowControl w:val="false"/>
              <w:numPr>
                <w:ilvl w:val="4"/>
                <w:numId w:val="18"/>
              </w:numPr>
              <w:tabs>
                <w:tab w:val="clear" w:pos="708"/>
                <w:tab w:val="left" w:pos="426" w:leader="none"/>
              </w:tabs>
              <w:spacing w:before="60" w:after="0"/>
              <w:ind w:hanging="0" w:left="36"/>
              <w:contextualSpacing/>
              <w:jc w:val="both"/>
              <w:rPr>
                <w:bCs/>
                <w:sz w:val="28"/>
                <w:szCs w:val="28"/>
              </w:rPr>
            </w:pPr>
            <w:r>
              <w:rPr>
                <w:bCs/>
                <w:sz w:val="28"/>
                <w:szCs w:val="28"/>
              </w:rPr>
              <w:t>производит за свой счет ремонт Оборудования;</w:t>
            </w:r>
          </w:p>
          <w:p>
            <w:pPr>
              <w:pStyle w:val="ListParagraph"/>
              <w:widowControl w:val="false"/>
              <w:numPr>
                <w:ilvl w:val="4"/>
                <w:numId w:val="18"/>
              </w:numPr>
              <w:tabs>
                <w:tab w:val="clear" w:pos="708"/>
                <w:tab w:val="left" w:pos="426" w:leader="none"/>
              </w:tabs>
              <w:spacing w:before="60" w:after="0"/>
              <w:ind w:hanging="0" w:left="36"/>
              <w:contextualSpacing/>
              <w:jc w:val="both"/>
              <w:rPr>
                <w:bCs/>
                <w:sz w:val="28"/>
                <w:szCs w:val="28"/>
              </w:rPr>
            </w:pPr>
            <w:r>
              <w:rPr>
                <w:bCs/>
                <w:sz w:val="28"/>
                <w:szCs w:val="28"/>
              </w:rPr>
              <w:t>производит за свой счет замену Оборудования;</w:t>
            </w:r>
          </w:p>
          <w:p>
            <w:pPr>
              <w:pStyle w:val="ListParagraph"/>
              <w:widowControl w:val="false"/>
              <w:numPr>
                <w:ilvl w:val="4"/>
                <w:numId w:val="18"/>
              </w:numPr>
              <w:tabs>
                <w:tab w:val="clear" w:pos="708"/>
                <w:tab w:val="left" w:pos="426" w:leader="none"/>
              </w:tabs>
              <w:spacing w:before="60" w:after="0"/>
              <w:ind w:hanging="0" w:left="36"/>
              <w:contextualSpacing/>
              <w:jc w:val="both"/>
              <w:rPr>
                <w:bCs/>
                <w:sz w:val="28"/>
                <w:szCs w:val="28"/>
              </w:rPr>
            </w:pPr>
            <w:bookmarkStart w:id="23" w:name="_Hlk199233965"/>
            <w:r>
              <w:rPr>
                <w:bCs/>
                <w:sz w:val="28"/>
                <w:szCs w:val="28"/>
              </w:rPr>
              <w:t>возвращает Заказчику стоимость Оборудования, в котором обнаружены недостатки и компенсирует понесенные убытки;</w:t>
            </w:r>
            <w:bookmarkEnd w:id="23"/>
          </w:p>
          <w:p>
            <w:pPr>
              <w:pStyle w:val="ListParagraph"/>
              <w:widowControl w:val="false"/>
              <w:numPr>
                <w:ilvl w:val="4"/>
                <w:numId w:val="18"/>
              </w:numPr>
              <w:tabs>
                <w:tab w:val="clear" w:pos="708"/>
                <w:tab w:val="left" w:pos="177" w:leader="none"/>
                <w:tab w:val="left" w:pos="426" w:leader="none"/>
              </w:tabs>
              <w:spacing w:before="60" w:after="0"/>
              <w:ind w:hanging="0" w:left="36"/>
              <w:contextualSpacing/>
              <w:jc w:val="both"/>
              <w:rPr>
                <w:bCs/>
                <w:sz w:val="28"/>
                <w:szCs w:val="28"/>
              </w:rPr>
            </w:pPr>
            <w:r>
              <w:rPr>
                <w:bCs/>
                <w:sz w:val="28"/>
                <w:szCs w:val="28"/>
              </w:rPr>
              <w:t>возмещает Заказчику расходы, связанные с устранением недостатков Оборудования.</w:t>
            </w:r>
          </w:p>
          <w:p>
            <w:pPr>
              <w:pStyle w:val="ListParagraph"/>
              <w:widowControl w:val="false"/>
              <w:numPr>
                <w:ilvl w:val="3"/>
                <w:numId w:val="18"/>
              </w:numPr>
              <w:tabs>
                <w:tab w:val="clear" w:pos="708"/>
                <w:tab w:val="left" w:pos="426" w:leader="none"/>
              </w:tabs>
              <w:spacing w:before="60" w:after="0"/>
              <w:ind w:hanging="0" w:left="36"/>
              <w:contextualSpacing/>
              <w:jc w:val="both"/>
              <w:rPr>
                <w:bCs/>
                <w:sz w:val="28"/>
                <w:szCs w:val="28"/>
              </w:rPr>
            </w:pPr>
            <w:r>
              <w:rPr>
                <w:bCs/>
                <w:sz w:val="28"/>
                <w:szCs w:val="28"/>
              </w:rPr>
              <w:t>В случае замены, ремонта Оборудования, гарантийный срок на данное Оборудование начинает исчисляться заново с даты приемки устраненных недостатков Заказчиком.</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284" w:left="316"/>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Cs/>
              </w:rPr>
            </w:pPr>
            <w:r>
              <w:rPr>
                <w:bCs/>
              </w:rPr>
              <w:t>Требования к эксплуатации в рамках гарантийного периода</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8"/>
              </w:numPr>
              <w:ind w:hanging="0" w:left="0"/>
              <w:jc w:val="both"/>
              <w:rPr>
                <w:b/>
                <w:bCs/>
                <w:sz w:val="28"/>
                <w:szCs w:val="28"/>
              </w:rPr>
            </w:pPr>
            <w:r>
              <w:rPr>
                <w:sz w:val="28"/>
                <w:szCs w:val="28"/>
              </w:rPr>
              <w:t>В составе поставки предоставляются запасные части, требуемые для эксплуатации Объекта, включая техническое обслуживание, на период 7 (семь) лет с момента ввода объекта в промышленную эксплуатацию, вместе с поставкой оборудования.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0"/>
              <w:jc w:val="both"/>
              <w:rPr>
                <w:b/>
              </w:rPr>
            </w:pPr>
            <w:r>
              <w:rPr>
                <w:b/>
              </w:rPr>
              <w:t xml:space="preserve">Требования к комплектации и документам, поставляемым вместе с МТР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pPr>
            <w:r>
              <w:rPr/>
              <w:t>Общие требования к поставляемой документации</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8"/>
              </w:numPr>
              <w:tabs>
                <w:tab w:val="clear" w:pos="708"/>
                <w:tab w:val="left" w:pos="426" w:leader="none"/>
              </w:tabs>
              <w:spacing w:before="60" w:after="0"/>
              <w:ind w:hanging="0" w:left="0"/>
              <w:contextualSpacing/>
              <w:jc w:val="both"/>
              <w:rPr>
                <w:sz w:val="28"/>
                <w:szCs w:val="28"/>
              </w:rPr>
            </w:pPr>
            <w:r>
              <w:rPr>
                <w:sz w:val="28"/>
                <w:szCs w:val="28"/>
              </w:rPr>
              <w:t>В составе поставки предоставляются заводские паспорта и сертификаты качества на поставляемое оборудование (для поставляемых средств измерений (КИП и датчиков) – документы, подтверждающие внесение в государственный реестр СИ, проведение первичной поверки), техническую документацию на бумажном носителе на русском языке.</w:t>
            </w:r>
          </w:p>
          <w:p>
            <w:pPr>
              <w:pStyle w:val="ListParagraph"/>
              <w:widowControl w:val="false"/>
              <w:numPr>
                <w:ilvl w:val="3"/>
                <w:numId w:val="18"/>
              </w:numPr>
              <w:ind w:hanging="0" w:left="0"/>
              <w:jc w:val="both"/>
              <w:rPr>
                <w:sz w:val="28"/>
                <w:szCs w:val="28"/>
              </w:rPr>
            </w:pPr>
            <w:r>
              <w:rPr>
                <w:sz w:val="28"/>
                <w:szCs w:val="28"/>
              </w:rPr>
              <w:t>При выполнении работ должна применяться продукция, оборудование, материалы и вещества, соответствие которых нормативным требованиям подтверждено декларацией о соответствии или сертификатом соответствия.</w:t>
            </w:r>
          </w:p>
          <w:p>
            <w:pPr>
              <w:pStyle w:val="ListParagraph"/>
              <w:widowControl w:val="false"/>
              <w:numPr>
                <w:ilvl w:val="3"/>
                <w:numId w:val="18"/>
              </w:numPr>
              <w:ind w:hanging="0" w:left="0"/>
              <w:jc w:val="both"/>
              <w:rPr>
                <w:sz w:val="28"/>
                <w:szCs w:val="28"/>
              </w:rPr>
            </w:pPr>
            <w:r>
              <w:rPr>
                <w:sz w:val="28"/>
                <w:szCs w:val="28"/>
              </w:rPr>
              <w:t>В состав эксплуатационной документации, передаваемой Подрядчиком, должны входить следующие документы:</w:t>
            </w:r>
          </w:p>
          <w:p>
            <w:pPr>
              <w:pStyle w:val="ListParagraph"/>
              <w:widowControl w:val="false"/>
              <w:numPr>
                <w:ilvl w:val="4"/>
                <w:numId w:val="18"/>
              </w:numPr>
              <w:ind w:hanging="0" w:left="0"/>
              <w:jc w:val="both"/>
              <w:rPr>
                <w:sz w:val="28"/>
                <w:szCs w:val="28"/>
              </w:rPr>
            </w:pPr>
            <w:r>
              <w:rPr>
                <w:sz w:val="28"/>
                <w:szCs w:val="28"/>
              </w:rPr>
              <w:t>Сборочный чертеж гидроагрегата в целом (турбина с генератором) включающего нанесение полного комплекса вспомогательного оборудования.</w:t>
            </w:r>
          </w:p>
          <w:p>
            <w:pPr>
              <w:pStyle w:val="ListParagraph"/>
              <w:widowControl w:val="false"/>
              <w:numPr>
                <w:ilvl w:val="4"/>
                <w:numId w:val="18"/>
              </w:numPr>
              <w:ind w:hanging="0" w:left="0"/>
              <w:jc w:val="both"/>
              <w:rPr>
                <w:sz w:val="28"/>
                <w:szCs w:val="28"/>
              </w:rPr>
            </w:pPr>
            <w:r>
              <w:rPr>
                <w:sz w:val="28"/>
                <w:szCs w:val="28"/>
              </w:rPr>
              <w:t>Сборочные чертежи, габаритные чертежи, фундаментные чертежи, чертежи закладных, схемы (в том числе монтажные) аппаратуры автоматики вспомогательного оборудования, РЗА генераторов, САУ ГА;</w:t>
            </w:r>
          </w:p>
          <w:p>
            <w:pPr>
              <w:pStyle w:val="ListParagraph"/>
              <w:widowControl w:val="false"/>
              <w:numPr>
                <w:ilvl w:val="4"/>
                <w:numId w:val="18"/>
              </w:numPr>
              <w:ind w:hanging="0" w:left="0"/>
              <w:jc w:val="both"/>
              <w:rPr>
                <w:sz w:val="28"/>
                <w:szCs w:val="28"/>
              </w:rPr>
            </w:pPr>
            <w:r>
              <w:rPr>
                <w:sz w:val="28"/>
                <w:szCs w:val="28"/>
              </w:rPr>
              <w:t>Схемы вспомогательного оборудования;</w:t>
            </w:r>
          </w:p>
          <w:p>
            <w:pPr>
              <w:pStyle w:val="ListParagraph"/>
              <w:widowControl w:val="false"/>
              <w:numPr>
                <w:ilvl w:val="4"/>
                <w:numId w:val="18"/>
              </w:numPr>
              <w:ind w:hanging="0" w:left="0"/>
              <w:jc w:val="both"/>
              <w:rPr>
                <w:sz w:val="28"/>
                <w:szCs w:val="28"/>
              </w:rPr>
            </w:pPr>
            <w:r>
              <w:rPr>
                <w:sz w:val="28"/>
                <w:szCs w:val="28"/>
              </w:rPr>
              <w:t>Паспорта поставляемых контрольно-измерительных приборов;</w:t>
            </w:r>
          </w:p>
          <w:p>
            <w:pPr>
              <w:pStyle w:val="ListParagraph"/>
              <w:widowControl w:val="false"/>
              <w:numPr>
                <w:ilvl w:val="4"/>
                <w:numId w:val="18"/>
              </w:numPr>
              <w:ind w:hanging="0" w:left="0"/>
              <w:jc w:val="both"/>
              <w:rPr>
                <w:sz w:val="28"/>
                <w:szCs w:val="28"/>
              </w:rPr>
            </w:pPr>
            <w:r>
              <w:rPr>
                <w:sz w:val="28"/>
                <w:szCs w:val="28"/>
              </w:rPr>
              <w:t>Руководства по эксплуатации и техническому обслуживанию оборудования и автоматики;</w:t>
            </w:r>
          </w:p>
          <w:p>
            <w:pPr>
              <w:pStyle w:val="ListParagraph"/>
              <w:widowControl w:val="false"/>
              <w:numPr>
                <w:ilvl w:val="4"/>
                <w:numId w:val="18"/>
              </w:numPr>
              <w:ind w:hanging="0" w:left="0"/>
              <w:jc w:val="both"/>
              <w:rPr>
                <w:sz w:val="28"/>
                <w:szCs w:val="28"/>
              </w:rPr>
            </w:pPr>
            <w:r>
              <w:rPr>
                <w:sz w:val="28"/>
                <w:szCs w:val="28"/>
              </w:rPr>
              <w:t>Эксплуатационные характеристики оборудования;</w:t>
            </w:r>
          </w:p>
          <w:p>
            <w:pPr>
              <w:pStyle w:val="ListParagraph"/>
              <w:widowControl w:val="false"/>
              <w:numPr>
                <w:ilvl w:val="4"/>
                <w:numId w:val="18"/>
              </w:numPr>
              <w:ind w:hanging="0" w:left="0"/>
              <w:jc w:val="both"/>
              <w:rPr>
                <w:sz w:val="28"/>
                <w:szCs w:val="28"/>
              </w:rPr>
            </w:pPr>
            <w:r>
              <w:rPr>
                <w:sz w:val="28"/>
                <w:szCs w:val="28"/>
              </w:rPr>
              <w:t>Инструкции по монтажу и пуску;</w:t>
            </w:r>
          </w:p>
          <w:p>
            <w:pPr>
              <w:pStyle w:val="ListParagraph"/>
              <w:widowControl w:val="false"/>
              <w:numPr>
                <w:ilvl w:val="4"/>
                <w:numId w:val="18"/>
              </w:numPr>
              <w:ind w:hanging="0" w:left="0"/>
              <w:jc w:val="both"/>
              <w:rPr>
                <w:sz w:val="28"/>
                <w:szCs w:val="28"/>
              </w:rPr>
            </w:pPr>
            <w:r>
              <w:rPr>
                <w:sz w:val="28"/>
                <w:szCs w:val="28"/>
              </w:rPr>
              <w:t>Программы и методики приёмочных испытаний на ГЭС;</w:t>
            </w:r>
          </w:p>
          <w:p>
            <w:pPr>
              <w:pStyle w:val="ListParagraph"/>
              <w:widowControl w:val="false"/>
              <w:numPr>
                <w:ilvl w:val="4"/>
                <w:numId w:val="18"/>
              </w:numPr>
              <w:ind w:hanging="0" w:left="0"/>
              <w:jc w:val="both"/>
              <w:rPr>
                <w:sz w:val="28"/>
                <w:szCs w:val="28"/>
              </w:rPr>
            </w:pPr>
            <w:r>
              <w:rPr>
                <w:sz w:val="28"/>
                <w:szCs w:val="28"/>
              </w:rPr>
              <w:t>Кабельные журналы.</w:t>
            </w:r>
          </w:p>
          <w:p>
            <w:pPr>
              <w:pStyle w:val="ListParagraph"/>
              <w:widowControl w:val="false"/>
              <w:numPr>
                <w:ilvl w:val="4"/>
                <w:numId w:val="18"/>
              </w:numPr>
              <w:ind w:hanging="0" w:left="0"/>
              <w:jc w:val="both"/>
              <w:rPr>
                <w:sz w:val="28"/>
                <w:szCs w:val="28"/>
              </w:rPr>
            </w:pPr>
            <w:r>
              <w:rPr>
                <w:sz w:val="28"/>
                <w:szCs w:val="28"/>
              </w:rPr>
              <w:t>Технические описания, инструкции в одном экземпляре;</w:t>
            </w:r>
          </w:p>
          <w:p>
            <w:pPr>
              <w:pStyle w:val="ListParagraph"/>
              <w:widowControl w:val="false"/>
              <w:numPr>
                <w:ilvl w:val="4"/>
                <w:numId w:val="18"/>
              </w:numPr>
              <w:ind w:hanging="0" w:left="0"/>
              <w:jc w:val="both"/>
              <w:rPr>
                <w:sz w:val="28"/>
                <w:szCs w:val="28"/>
              </w:rPr>
            </w:pPr>
            <w:r>
              <w:rPr>
                <w:sz w:val="28"/>
                <w:szCs w:val="28"/>
              </w:rPr>
              <w:t>Карты измерений в одном экземпляре.</w:t>
            </w:r>
          </w:p>
          <w:p>
            <w:pPr>
              <w:pStyle w:val="ListParagraph"/>
              <w:widowControl w:val="false"/>
              <w:numPr>
                <w:ilvl w:val="4"/>
                <w:numId w:val="18"/>
              </w:numPr>
              <w:ind w:hanging="0" w:left="0"/>
              <w:jc w:val="both"/>
              <w:rPr>
                <w:sz w:val="28"/>
                <w:szCs w:val="28"/>
              </w:rPr>
            </w:pPr>
            <w:r>
              <w:rPr>
                <w:sz w:val="28"/>
                <w:szCs w:val="28"/>
              </w:rPr>
              <w:t>Инструкции, методические указания по монтажу, наладке;</w:t>
            </w:r>
          </w:p>
          <w:p>
            <w:pPr>
              <w:pStyle w:val="ListParagraph"/>
              <w:widowControl w:val="false"/>
              <w:numPr>
                <w:ilvl w:val="4"/>
                <w:numId w:val="18"/>
              </w:numPr>
              <w:ind w:hanging="0" w:left="0"/>
              <w:jc w:val="both"/>
              <w:rPr>
                <w:sz w:val="28"/>
                <w:szCs w:val="28"/>
              </w:rPr>
            </w:pPr>
            <w:r>
              <w:rPr>
                <w:sz w:val="28"/>
                <w:szCs w:val="28"/>
              </w:rPr>
              <w:t>Инструкции, методические указания по техническому обслуживанию с указанием видов ТО, их периодичности, объемов ТО в чел/час, требований к квалификации персонала, потребности инструментов, запасных частей, расходных материалов для проведения ТО каждого вида;</w:t>
            </w:r>
          </w:p>
          <w:p>
            <w:pPr>
              <w:pStyle w:val="ListParagraph"/>
              <w:widowControl w:val="false"/>
              <w:numPr>
                <w:ilvl w:val="4"/>
                <w:numId w:val="18"/>
              </w:numPr>
              <w:ind w:hanging="0" w:left="0"/>
              <w:jc w:val="both"/>
              <w:rPr>
                <w:sz w:val="28"/>
                <w:szCs w:val="28"/>
              </w:rPr>
            </w:pPr>
            <w:r>
              <w:rPr>
                <w:sz w:val="28"/>
                <w:szCs w:val="28"/>
              </w:rPr>
              <w:t>Комплект программных средств, на внешних носителях: инсталяционных пакетов базового, системного и прикладного программного обеспечения с обновлениями, трёх последних версий (изменений) конфигурационных файлов, исполняемых экранных форм и скриптов, актуальных паролей;</w:t>
            </w:r>
          </w:p>
          <w:p>
            <w:pPr>
              <w:pStyle w:val="ListParagraph"/>
              <w:widowControl w:val="false"/>
              <w:numPr>
                <w:ilvl w:val="4"/>
                <w:numId w:val="18"/>
              </w:numPr>
              <w:ind w:hanging="0" w:left="0"/>
              <w:jc w:val="both"/>
              <w:rPr>
                <w:sz w:val="28"/>
                <w:szCs w:val="28"/>
              </w:rPr>
            </w:pPr>
            <w:r>
              <w:rPr>
                <w:sz w:val="28"/>
                <w:szCs w:val="28"/>
              </w:rPr>
              <w:t>Описание функций ПО, средств проектирования, средств администрирования, руководства программиста, пользователя на русском языке</w:t>
            </w:r>
          </w:p>
          <w:p>
            <w:pPr>
              <w:pStyle w:val="ListParagraph"/>
              <w:widowControl w:val="false"/>
              <w:numPr>
                <w:ilvl w:val="4"/>
                <w:numId w:val="18"/>
              </w:numPr>
              <w:ind w:hanging="0" w:left="0"/>
              <w:jc w:val="both"/>
              <w:rPr>
                <w:sz w:val="28"/>
                <w:szCs w:val="28"/>
              </w:rPr>
            </w:pPr>
            <w:r>
              <w:rPr>
                <w:sz w:val="28"/>
                <w:szCs w:val="28"/>
              </w:rPr>
              <w:t>Лицензии на программные средства, действительные на весь срок службы ПТК;</w:t>
            </w:r>
          </w:p>
          <w:p>
            <w:pPr>
              <w:pStyle w:val="ListParagraph"/>
              <w:widowControl w:val="false"/>
              <w:numPr>
                <w:ilvl w:val="4"/>
                <w:numId w:val="18"/>
              </w:numPr>
              <w:ind w:hanging="0" w:left="0"/>
              <w:jc w:val="both"/>
              <w:rPr>
                <w:sz w:val="28"/>
                <w:szCs w:val="28"/>
              </w:rPr>
            </w:pPr>
            <w:r>
              <w:rPr>
                <w:sz w:val="28"/>
                <w:szCs w:val="28"/>
              </w:rPr>
              <w:t xml:space="preserve">Паспорта и заводская документация (в том числе конструкторская документация) на все элементы поставляемого оборудования (в том числе и на комплектующие); </w:t>
            </w:r>
          </w:p>
          <w:p>
            <w:pPr>
              <w:pStyle w:val="ListParagraph"/>
              <w:widowControl w:val="false"/>
              <w:numPr>
                <w:ilvl w:val="4"/>
                <w:numId w:val="18"/>
              </w:numPr>
              <w:ind w:hanging="0" w:left="0"/>
              <w:jc w:val="both"/>
              <w:rPr>
                <w:sz w:val="28"/>
                <w:szCs w:val="28"/>
              </w:rPr>
            </w:pPr>
            <w:r>
              <w:rPr>
                <w:sz w:val="28"/>
                <w:szCs w:val="28"/>
              </w:rPr>
              <w:t>перечень ЗИП, чертежи и схемы, необходимые для его использования.</w:t>
            </w:r>
          </w:p>
          <w:p>
            <w:pPr>
              <w:pStyle w:val="ListParagraph"/>
              <w:widowControl w:val="false"/>
              <w:numPr>
                <w:ilvl w:val="3"/>
                <w:numId w:val="18"/>
              </w:numPr>
              <w:ind w:hanging="0" w:left="0"/>
              <w:jc w:val="both"/>
              <w:rPr>
                <w:sz w:val="28"/>
                <w:szCs w:val="28"/>
              </w:rPr>
            </w:pPr>
            <w:r>
              <w:rPr>
                <w:sz w:val="28"/>
                <w:szCs w:val="28"/>
              </w:rPr>
              <w:t>Кроме перечисленного объёма технической документации, Заказчик в праве запросить, а Подрядчик должен представить результаты расчётов (гидравлических и прочностных) отдельных узлов и деталей турбины и генератора с их комментариями и пояснениями.</w:t>
            </w:r>
          </w:p>
          <w:p>
            <w:pPr>
              <w:pStyle w:val="ListParagraph"/>
              <w:widowControl w:val="false"/>
              <w:numPr>
                <w:ilvl w:val="3"/>
                <w:numId w:val="18"/>
              </w:numPr>
              <w:ind w:hanging="0" w:left="0"/>
              <w:jc w:val="both"/>
              <w:rPr>
                <w:sz w:val="28"/>
                <w:szCs w:val="28"/>
              </w:rPr>
            </w:pPr>
            <w:r>
              <w:rPr>
                <w:sz w:val="28"/>
                <w:szCs w:val="28"/>
              </w:rPr>
              <w:t>Предоставить эксплуатационную и ремонтную документацию в форме ИЭТР в соответствии с требованиями приложения №16.</w:t>
            </w:r>
          </w:p>
          <w:p>
            <w:pPr>
              <w:pStyle w:val="ListParagraph"/>
              <w:widowControl w:val="false"/>
              <w:numPr>
                <w:ilvl w:val="3"/>
                <w:numId w:val="18"/>
              </w:numPr>
              <w:ind w:hanging="0" w:left="0"/>
              <w:jc w:val="both"/>
              <w:rPr>
                <w:sz w:val="28"/>
                <w:szCs w:val="28"/>
              </w:rPr>
            </w:pPr>
            <w:r>
              <w:rPr>
                <w:sz w:val="28"/>
                <w:szCs w:val="28"/>
              </w:rPr>
              <w:t>Если Подрядчик не предоставляет эту документацию, то он несет ответственность за последующее выполнение изменений по запросу Заказчика и возникающие в этой связи дополнительные затраты и/или задержки.</w:t>
            </w:r>
          </w:p>
          <w:p>
            <w:pPr>
              <w:pStyle w:val="ListParagraph"/>
              <w:widowControl w:val="false"/>
              <w:numPr>
                <w:ilvl w:val="3"/>
                <w:numId w:val="18"/>
              </w:numPr>
              <w:ind w:hanging="0" w:left="0"/>
              <w:jc w:val="both"/>
              <w:rPr>
                <w:sz w:val="28"/>
                <w:szCs w:val="28"/>
              </w:rPr>
            </w:pPr>
            <w:r>
              <w:rPr>
                <w:sz w:val="28"/>
                <w:szCs w:val="28"/>
              </w:rPr>
              <w:t>Подрядчик должен четко выделить на чертежах, страницах каталогов или в буклетах по стандартным поставкам, передаваемых Заказчику, применимые к Контракту типы, абзацы, данные, либо зачеркнуть не относящуюся к Контракту информацию. Заказчик не будет принимать и согласовывать документы, не помеченные таким образом.</w:t>
            </w:r>
          </w:p>
          <w:p>
            <w:pPr>
              <w:pStyle w:val="ListParagraph"/>
              <w:widowControl w:val="false"/>
              <w:numPr>
                <w:ilvl w:val="3"/>
                <w:numId w:val="18"/>
              </w:numPr>
              <w:ind w:hanging="0" w:left="0"/>
              <w:jc w:val="both"/>
              <w:rPr>
                <w:sz w:val="28"/>
                <w:szCs w:val="28"/>
              </w:rPr>
            </w:pPr>
            <w:r>
              <w:rPr>
                <w:sz w:val="28"/>
                <w:szCs w:val="28"/>
              </w:rPr>
              <w:t>Если необходимо для лучшего понимания документов, на самих документах или на отдельных листах приводятся дополнительные описания/разъяснения. Все символы, отметки, сокращения, используемые в любом документе, должны поясняться в глоссарии на самом документе или на прилагаемой странице (если только не используются в соответствии со стандартной согласованной Системой маркировки деталей).</w:t>
            </w:r>
          </w:p>
          <w:p>
            <w:pPr>
              <w:pStyle w:val="ListParagraph"/>
              <w:widowControl w:val="false"/>
              <w:numPr>
                <w:ilvl w:val="3"/>
                <w:numId w:val="18"/>
              </w:numPr>
              <w:ind w:hanging="0" w:left="0"/>
              <w:jc w:val="both"/>
              <w:rPr>
                <w:sz w:val="28"/>
                <w:szCs w:val="28"/>
              </w:rPr>
            </w:pPr>
            <w:r>
              <w:rPr>
                <w:sz w:val="28"/>
                <w:szCs w:val="28"/>
              </w:rPr>
              <w:t>Каждая деталь, упомянутая в документе (чертеже, диаграмме, списке.), должна быть четко промаркирована. Во избежание путаницы, сокращение, используемое для отдельной детали, должно быть одинаковым во всем пакете документации. Все документы должны иметь единообразный блок названия. Начиная с самой первой передачи документов Заказчику, чертежи Подрядчика должны иметь серийный номер, соответствующий плану классификации чертежей, который должен быть согласован Подрядчиком и Заказчиком.</w:t>
            </w:r>
          </w:p>
          <w:p>
            <w:pPr>
              <w:pStyle w:val="ListParagraph"/>
              <w:widowControl w:val="false"/>
              <w:numPr>
                <w:ilvl w:val="3"/>
                <w:numId w:val="18"/>
              </w:numPr>
              <w:ind w:hanging="0" w:left="0"/>
              <w:jc w:val="both"/>
              <w:rPr>
                <w:sz w:val="28"/>
                <w:szCs w:val="28"/>
              </w:rPr>
            </w:pPr>
            <w:r>
              <w:rPr>
                <w:sz w:val="28"/>
                <w:szCs w:val="28"/>
              </w:rPr>
              <w:t>Конструкторская документация должна быть разработана на каждый узел гидроагрегата. Дополнительно должны быть представлены чертежи с указанием центра масс и габаритов перемещаемых узлов оборудования при монтаже с целью разработки проекта производства работ для безопасного ведения монтажных работ.</w:t>
            </w:r>
          </w:p>
          <w:p>
            <w:pPr>
              <w:pStyle w:val="ListParagraph"/>
              <w:widowControl w:val="false"/>
              <w:numPr>
                <w:ilvl w:val="3"/>
                <w:numId w:val="18"/>
              </w:numPr>
              <w:ind w:hanging="0" w:left="0"/>
              <w:jc w:val="both"/>
              <w:rPr>
                <w:sz w:val="28"/>
                <w:szCs w:val="28"/>
              </w:rPr>
            </w:pPr>
            <w:r>
              <w:rPr>
                <w:sz w:val="28"/>
                <w:szCs w:val="28"/>
              </w:rPr>
              <w:t>В паспортах/инструкциях должна содержаться информация о массе узлов гидроагрегата и массе цветных металлов.</w:t>
            </w:r>
          </w:p>
          <w:p>
            <w:pPr>
              <w:pStyle w:val="ListParagraph"/>
              <w:widowControl w:val="false"/>
              <w:numPr>
                <w:ilvl w:val="3"/>
                <w:numId w:val="18"/>
              </w:numPr>
              <w:ind w:hanging="0" w:left="0"/>
              <w:jc w:val="both"/>
              <w:rPr>
                <w:sz w:val="28"/>
                <w:szCs w:val="28"/>
              </w:rPr>
            </w:pPr>
            <w:r>
              <w:rPr>
                <w:sz w:val="28"/>
                <w:szCs w:val="28"/>
              </w:rPr>
              <w:t>В инструкции по эксплуатации должны быть включены отдельные разделы по объему и периодичности технического обслуживания и ремонта гидроагрегата и вспомогательных систем.</w:t>
            </w:r>
          </w:p>
          <w:p>
            <w:pPr>
              <w:pStyle w:val="ListParagraph"/>
              <w:widowControl w:val="false"/>
              <w:numPr>
                <w:ilvl w:val="3"/>
                <w:numId w:val="18"/>
              </w:numPr>
              <w:ind w:hanging="0" w:left="0"/>
              <w:jc w:val="both"/>
              <w:rPr>
                <w:sz w:val="28"/>
                <w:szCs w:val="28"/>
              </w:rPr>
            </w:pPr>
            <w:r>
              <w:rPr>
                <w:sz w:val="28"/>
                <w:szCs w:val="28"/>
              </w:rPr>
              <w:t>Пересмотренные технические документы, которые заменяют переданные ранее документы, должны быть соответствующим образом промаркированы. Пересмотренная часть самого Документа должна быть также четко выделена цветом.</w:t>
            </w:r>
          </w:p>
          <w:p>
            <w:pPr>
              <w:pStyle w:val="ListParagraph"/>
              <w:widowControl w:val="false"/>
              <w:numPr>
                <w:ilvl w:val="3"/>
                <w:numId w:val="18"/>
              </w:numPr>
              <w:ind w:hanging="0" w:left="0"/>
              <w:jc w:val="both"/>
              <w:rPr>
                <w:sz w:val="28"/>
                <w:szCs w:val="28"/>
              </w:rPr>
            </w:pPr>
            <w:r>
              <w:rPr>
                <w:sz w:val="28"/>
                <w:szCs w:val="28"/>
              </w:rPr>
              <w:t>Подрядчик берет на себя обязательство подготовить за свой счет и нести ответственность за все подробные чертежи поставляемого им оборудования с четким указанием интерфейсов/подсоединений к существующему оборудованию станции. По электрической части чертежи должны также включать кабельные журналы (планы монтажа кабеля/проводки) вплоть до выводов существующего оборудования.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bookmarkStart w:id="24" w:name="_Hlk47446269"/>
            <w:r>
              <w:rPr>
                <w:b/>
              </w:rPr>
              <w:t xml:space="preserve">Требования к экономическим параметрам </w:t>
            </w:r>
            <w:bookmarkEnd w:id="24"/>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pPr>
            <w:r>
              <w:rPr/>
              <w:t>Срок службы</w:t>
            </w:r>
          </w:p>
        </w:tc>
        <w:tc>
          <w:tcPr>
            <w:tcW w:w="7370"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rPr>
            </w:pPr>
            <w:r>
              <w:rPr>
                <w:rFonts w:eastAsia="Calibri"/>
              </w:rPr>
              <w:t>- Гидротурбинное, гидрогенераторное оборудование – не менее 40 лет с даты ввода в эксплуатацию</w:t>
            </w:r>
          </w:p>
          <w:p>
            <w:pPr>
              <w:pStyle w:val="Normal"/>
              <w:widowControl w:val="false"/>
              <w:tabs>
                <w:tab w:val="clear" w:pos="708"/>
                <w:tab w:val="left" w:pos="426" w:leader="none"/>
              </w:tabs>
              <w:spacing w:before="60" w:after="0"/>
              <w:jc w:val="both"/>
              <w:rPr/>
            </w:pPr>
            <w:r>
              <w:rPr>
                <w:rFonts w:eastAsia="Calibri"/>
              </w:rPr>
              <w:t>- устройства САУ и РЗА – не менее 20 лет с даты ввода в эксплуатацию</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Cs/>
              </w:rPr>
            </w:pPr>
            <w:r>
              <w:rPr>
                <w:bCs/>
              </w:rPr>
              <w:t xml:space="preserve">Периодичность выполнения и объем ремонтов </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Cs/>
              </w:rPr>
            </w:pPr>
            <w:r>
              <w:rPr>
                <w:bCs/>
              </w:rPr>
              <w:t>межремонтный интервал (капитальный ремонт) – не чаще 1 раза в 6 лет.</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8"/>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both"/>
              <w:rPr>
                <w:b/>
              </w:rPr>
            </w:pPr>
            <w:r>
              <w:rPr>
                <w:b/>
              </w:rPr>
              <w:t>Прочие требования к МТР</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8"/>
              </w:numPr>
              <w:spacing w:before="60" w:after="60"/>
              <w:ind w:hanging="1199" w:left="1224"/>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lang w:val="en-US"/>
              </w:rPr>
            </w:pPr>
            <w:r>
              <w:rPr>
                <w:lang w:val="en-US"/>
              </w:rPr>
              <w:t>Требования к импортозамещению</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426" w:leader="none"/>
              </w:tabs>
              <w:spacing w:before="60" w:after="0"/>
              <w:jc w:val="both"/>
              <w:rPr/>
            </w:pPr>
            <w:r>
              <w:rPr/>
              <w:t xml:space="preserve">2.7.1.1. Учесть необходимость применения оборудования и программного обеспечения отечественного производства, включенных в Перечень выданных заключений о подтверждении производства промышленной продукции на территории Российской Федерации (перечень размещен на сайте Министерства промышленности и торговли Российской Федерации в информационно-телекоммуникационной сети «Интернет» по адресу https://gisp.gov.ru/pp719/p/pub/res/), а также программного обеспечения, внесенного в Единый реестр российских программ для электронных вычислительных машин и баз данных (реестр размещен на сайте Министерства связи и массовых коммуникаций РФ в информационно-телекоммуникационной сети «Интернет» по адресу </w:t>
            </w:r>
            <w:hyperlink r:id="rId4">
              <w:r>
                <w:rPr>
                  <w:rStyle w:val="Hyperlink"/>
                </w:rPr>
                <w:t>https://reestr.minsvyaz.ru/reestr/</w:t>
              </w:r>
            </w:hyperlink>
            <w:r>
              <w:rPr/>
              <w:t>).</w:t>
            </w:r>
          </w:p>
          <w:p>
            <w:pPr>
              <w:pStyle w:val="Normal"/>
              <w:widowControl w:val="false"/>
              <w:tabs>
                <w:tab w:val="clear" w:pos="708"/>
                <w:tab w:val="left" w:pos="426" w:leader="none"/>
              </w:tabs>
              <w:spacing w:before="60" w:after="0"/>
              <w:jc w:val="both"/>
              <w:rPr/>
            </w:pPr>
            <w:r>
              <w:rPr/>
              <w:t>2.7.1.2. Поставляемое программное обеспечение должно быть совместимо с программным обеспечением существующего оборудования.</w:t>
            </w:r>
          </w:p>
          <w:p>
            <w:pPr>
              <w:pStyle w:val="ListParagraph"/>
              <w:widowControl w:val="false"/>
              <w:tabs>
                <w:tab w:val="clear" w:pos="708"/>
                <w:tab w:val="left" w:pos="426" w:leader="none"/>
              </w:tabs>
              <w:spacing w:before="60" w:after="0"/>
              <w:ind w:left="35"/>
              <w:contextualSpacing/>
              <w:jc w:val="both"/>
              <w:rPr>
                <w:sz w:val="28"/>
                <w:szCs w:val="28"/>
              </w:rPr>
            </w:pPr>
            <w:r>
              <w:rPr>
                <w:sz w:val="28"/>
                <w:szCs w:val="28"/>
              </w:rPr>
              <w:t>2.7.1.3. Реализации ПТК САУ ГА №5 должна быть выполнена на унифицированных с ГА ст.№1,2,4,7 однотипных программно-аппаратных средствах.</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6"/>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b/>
                <w:bCs/>
              </w:rPr>
            </w:pPr>
            <w:r>
              <w:rPr>
                <w:b/>
                <w:bCs/>
              </w:rPr>
              <w:t>Требования к результатам выпол</w:t>
            </w:r>
            <w:r>
              <w:rPr>
                <w:b/>
              </w:rPr>
              <w:t>нения договора</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9"/>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Общие требования к результатам выполнения договора</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9"/>
              </w:numPr>
              <w:spacing w:before="60" w:after="60"/>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pPr>
            <w:r>
              <w:rPr/>
              <w:t>Требования к результатам выполнения работ по договору</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9"/>
              </w:numPr>
              <w:ind w:hanging="0" w:left="0"/>
              <w:jc w:val="both"/>
              <w:rPr>
                <w:sz w:val="28"/>
                <w:szCs w:val="28"/>
              </w:rPr>
            </w:pPr>
            <w:r>
              <w:rPr>
                <w:sz w:val="28"/>
                <w:szCs w:val="28"/>
              </w:rPr>
              <w:t>Ввод объекта ГА ст.№5 после замены оборудования в соответствии с требованиями разработанных КД, РД и требований заключенного договора.</w:t>
            </w:r>
          </w:p>
          <w:p>
            <w:pPr>
              <w:pStyle w:val="ListParagraph"/>
              <w:widowControl w:val="false"/>
              <w:numPr>
                <w:ilvl w:val="3"/>
                <w:numId w:val="19"/>
              </w:numPr>
              <w:ind w:hanging="0" w:left="0"/>
              <w:jc w:val="both"/>
              <w:rPr>
                <w:sz w:val="28"/>
                <w:szCs w:val="28"/>
              </w:rPr>
            </w:pPr>
            <w:r>
              <w:rPr>
                <w:sz w:val="28"/>
                <w:szCs w:val="28"/>
              </w:rPr>
              <w:t>Работы выполняются в таком объеме, который позволяет начать эксплуатацию Объекта без выполнения дополнительных работ и приобретения Заказчиком дополнительных материалов.</w:t>
            </w:r>
          </w:p>
          <w:p>
            <w:pPr>
              <w:pStyle w:val="ListParagraph"/>
              <w:widowControl w:val="false"/>
              <w:numPr>
                <w:ilvl w:val="3"/>
                <w:numId w:val="19"/>
              </w:numPr>
              <w:ind w:hanging="0" w:left="0"/>
              <w:jc w:val="both"/>
              <w:rPr>
                <w:sz w:val="28"/>
                <w:szCs w:val="28"/>
              </w:rPr>
            </w:pPr>
            <w:r>
              <w:rPr>
                <w:sz w:val="28"/>
                <w:szCs w:val="28"/>
              </w:rPr>
              <w:t xml:space="preserve">Работы считаются выполненными Подрядчиком с момента подписания Акта приемки законченного строительством Объекта (по форме КС-11) и оформления разрешения на ввод оборудования Объекта в эксплуатацию (Акт выполненных работ по окончанию шеф-монтажа и опробованию ГА, Акт ввода в эксплуатацию </w:t>
            </w:r>
            <w:r>
              <w:rPr>
                <w:sz w:val="28"/>
                <w:szCs w:val="28"/>
                <w:lang w:val="en-US"/>
              </w:rPr>
              <w:t>ГА)</w:t>
            </w:r>
            <w:r>
              <w:rPr>
                <w:sz w:val="28"/>
                <w:szCs w:val="28"/>
              </w:rPr>
              <w:t>.</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9"/>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pPr>
            <w:r>
              <w:rPr>
                <w:b/>
              </w:rPr>
              <w:t>Требования к техническим и функциональным характеристикам объекта, которые должны быть достигнуты в результате выполнения договора, включая гарантируемые показатели</w:t>
            </w:r>
            <w:r>
              <w:rPr>
                <w:rStyle w:val="Style8"/>
                <w:i w:val="false"/>
                <w:shd w:fill="auto" w:val="clear"/>
              </w:rPr>
              <w:t xml:space="preserve"> </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9"/>
              </w:numPr>
              <w:spacing w:before="60" w:after="60"/>
              <w:ind w:hanging="773" w:left="810"/>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bCs/>
              </w:rPr>
            </w:pPr>
            <w:r>
              <w:rPr>
                <w:bCs/>
              </w:rPr>
              <w:t>Оценка и подтверждение соответствия приобретаемого оборудования требованиям Заказчика</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9"/>
              </w:numPr>
              <w:ind w:hanging="0" w:left="36"/>
              <w:jc w:val="both"/>
              <w:rPr>
                <w:sz w:val="28"/>
                <w:szCs w:val="28"/>
              </w:rPr>
            </w:pPr>
            <w:r>
              <w:rPr>
                <w:sz w:val="28"/>
                <w:szCs w:val="28"/>
              </w:rPr>
              <w:t>Оценка соответствия осуществляется на основании результатов следующих видов испытаний и технического контроля:</w:t>
            </w:r>
          </w:p>
          <w:p>
            <w:pPr>
              <w:pStyle w:val="ListParagraph"/>
              <w:widowControl w:val="false"/>
              <w:numPr>
                <w:ilvl w:val="4"/>
                <w:numId w:val="19"/>
              </w:numPr>
              <w:ind w:hanging="0" w:left="36"/>
              <w:jc w:val="both"/>
              <w:rPr>
                <w:sz w:val="28"/>
                <w:szCs w:val="28"/>
              </w:rPr>
            </w:pPr>
            <w:r>
              <w:rPr>
                <w:sz w:val="28"/>
                <w:szCs w:val="28"/>
              </w:rPr>
              <w:t>приёмочные лабораторные испытания модели гидротурбины в модели существующей проточной части для подтверждения гарантий по КПД и кавитационной надёжности. Пересчёт КПД с модели на натурные условия должен производиться в соответствии с международным стандартом IEK 60 193 (выполняется Подрядчиком оборудования при условии, если данные работы не выполнялись ранее).</w:t>
            </w:r>
          </w:p>
          <w:p>
            <w:pPr>
              <w:pStyle w:val="ListParagraph"/>
              <w:widowControl w:val="false"/>
              <w:numPr>
                <w:ilvl w:val="4"/>
                <w:numId w:val="19"/>
              </w:numPr>
              <w:ind w:hanging="0" w:left="36"/>
              <w:jc w:val="both"/>
              <w:rPr>
                <w:sz w:val="28"/>
                <w:szCs w:val="28"/>
              </w:rPr>
            </w:pPr>
            <w:r>
              <w:rPr>
                <w:sz w:val="28"/>
                <w:szCs w:val="28"/>
              </w:rPr>
              <w:t>входной контроль поступающего оборудования на объекте Заказчика.</w:t>
            </w:r>
          </w:p>
          <w:p>
            <w:pPr>
              <w:pStyle w:val="ListParagraph"/>
              <w:widowControl w:val="false"/>
              <w:numPr>
                <w:ilvl w:val="4"/>
                <w:numId w:val="19"/>
              </w:numPr>
              <w:ind w:hanging="0" w:left="36"/>
              <w:jc w:val="both"/>
              <w:rPr>
                <w:sz w:val="28"/>
                <w:szCs w:val="28"/>
              </w:rPr>
            </w:pPr>
            <w:r>
              <w:rPr>
                <w:sz w:val="28"/>
                <w:szCs w:val="28"/>
              </w:rPr>
              <w:t>приёмосдаточные испытания на ГЭС после окончания монтажа и пусконаладочных работ (комплексное опробование в течение 72 часов), организуемые Заказчиком по утвержденной программе с привлечением монтажной организации и изготовителя оборудования.</w:t>
            </w:r>
          </w:p>
          <w:p>
            <w:pPr>
              <w:pStyle w:val="ListParagraph"/>
              <w:widowControl w:val="false"/>
              <w:numPr>
                <w:ilvl w:val="4"/>
                <w:numId w:val="19"/>
              </w:numPr>
              <w:ind w:hanging="0" w:left="36"/>
              <w:jc w:val="both"/>
              <w:rPr>
                <w:sz w:val="28"/>
                <w:szCs w:val="28"/>
              </w:rPr>
            </w:pPr>
            <w:r>
              <w:rPr>
                <w:sz w:val="28"/>
                <w:szCs w:val="28"/>
              </w:rPr>
              <w:t>гарантийные испытания после выхода на рабочий режим эксплуатации, но не позже, чем через год после сдачи в эксплуатацию</w:t>
            </w:r>
          </w:p>
          <w:p>
            <w:pPr>
              <w:pStyle w:val="ListParagraph"/>
              <w:widowControl w:val="false"/>
              <w:numPr>
                <w:ilvl w:val="3"/>
                <w:numId w:val="19"/>
              </w:numPr>
              <w:ind w:hanging="0" w:left="36"/>
              <w:jc w:val="both"/>
              <w:rPr>
                <w:sz w:val="28"/>
                <w:szCs w:val="28"/>
              </w:rPr>
            </w:pPr>
            <w:r>
              <w:rPr>
                <w:sz w:val="28"/>
                <w:szCs w:val="28"/>
              </w:rPr>
              <w:t>Формой подтверждения соответствия поставляемого оборудования установленным требованиям являются документы, составленные по результатам испытаний и технического контроля.</w:t>
            </w:r>
          </w:p>
          <w:p>
            <w:pPr>
              <w:pStyle w:val="ListParagraph"/>
              <w:widowControl w:val="false"/>
              <w:numPr>
                <w:ilvl w:val="3"/>
                <w:numId w:val="19"/>
              </w:numPr>
              <w:ind w:hanging="0" w:left="36"/>
              <w:jc w:val="both"/>
              <w:rPr>
                <w:sz w:val="28"/>
                <w:szCs w:val="28"/>
              </w:rPr>
            </w:pPr>
            <w:r>
              <w:rPr>
                <w:sz w:val="28"/>
                <w:szCs w:val="28"/>
              </w:rPr>
              <w:t>Подрядчик разрабатывает и согласовывает с Заказчиком программы контроля качества изготавливаемого на предприятии-изготовителе оборудования (статор, ротор, рабочее колесо, направляющий аппарат, камера рабочего колеса) в соответствии с шаблоном, приложение №23.</w:t>
            </w:r>
          </w:p>
          <w:p>
            <w:pPr>
              <w:pStyle w:val="ListParagraph"/>
              <w:widowControl w:val="false"/>
              <w:numPr>
                <w:ilvl w:val="3"/>
                <w:numId w:val="19"/>
              </w:numPr>
              <w:ind w:hanging="0" w:left="36"/>
              <w:jc w:val="both"/>
              <w:rPr>
                <w:sz w:val="28"/>
                <w:szCs w:val="28"/>
              </w:rPr>
            </w:pPr>
            <w:r>
              <w:rPr>
                <w:sz w:val="28"/>
                <w:szCs w:val="28"/>
              </w:rPr>
              <w:t>Контрольная сборка и приёмочный контроль сборочных единиц и деталей гидротурбинной и генераторной установки на предприятии-изготовителе должен производиться отделом технического контроля предприятия-изготовителя, Подрядчиком и представителями Заказчика для проверки соответствия качества сборочных единиц и деталей установок требованиям настоящего ТТ, отраслевых и государственных стандартов. При этом должны оформляться акты, сертификаты, карты измерений, удостоверяющие соответствие оборудования требованиям ТТ, РД, техдокументации и стандартам.</w:t>
            </w:r>
          </w:p>
          <w:p>
            <w:pPr>
              <w:pStyle w:val="ListParagraph"/>
              <w:widowControl w:val="false"/>
              <w:numPr>
                <w:ilvl w:val="3"/>
                <w:numId w:val="19"/>
              </w:numPr>
              <w:ind w:hanging="0" w:left="36"/>
              <w:jc w:val="both"/>
              <w:rPr>
                <w:sz w:val="28"/>
                <w:szCs w:val="28"/>
              </w:rPr>
            </w:pPr>
            <w:r>
              <w:rPr>
                <w:sz w:val="28"/>
                <w:szCs w:val="28"/>
              </w:rPr>
              <w:t>Приёмочные испытания установки на ГЭС после окончания монтажных и пуско-наладочных работ проводятся по согласованию и при участии представителей Изготовителей. Объём испытаний устанавливается программой и методикой. До начала испытаний приёмочная комиссия оценивает возможность воспроизведения заданных режимов испытаний и, в случае необходимости, вносит изменения в программу и методику испытаний.</w:t>
            </w:r>
          </w:p>
          <w:p>
            <w:pPr>
              <w:pStyle w:val="ListParagraph"/>
              <w:widowControl w:val="false"/>
              <w:numPr>
                <w:ilvl w:val="3"/>
                <w:numId w:val="19"/>
              </w:numPr>
              <w:ind w:hanging="0" w:left="36"/>
              <w:jc w:val="both"/>
              <w:rPr>
                <w:sz w:val="28"/>
                <w:szCs w:val="28"/>
              </w:rPr>
            </w:pPr>
            <w:r>
              <w:rPr>
                <w:sz w:val="28"/>
                <w:szCs w:val="28"/>
              </w:rPr>
              <w:t>Установка считается принятой от Подрядчика в промышленную эксплуатацию после утверждения Заказчиком акта приёмки установки, составленного приёмочной комиссией на основании протокола испытаний. Во время приёмочных испытаний все механизмы должны безотказно отработать в течение 72 часа.</w:t>
            </w:r>
          </w:p>
          <w:p>
            <w:pPr>
              <w:pStyle w:val="Normal"/>
              <w:widowControl w:val="false"/>
              <w:ind w:left="36"/>
              <w:jc w:val="both"/>
              <w:rPr/>
            </w:pPr>
            <w:r>
              <w:rPr/>
              <w:t>Оборудование считается введенным в промышленную эксплуатацию после утверждения Заказчиком актов ввода оборудования в эксплуатацию, составленного приемочной комиссией.</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9"/>
              </w:numPr>
              <w:spacing w:before="60" w:after="60"/>
              <w:ind w:firstLine="142" w:left="-117"/>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0"/>
              <w:jc w:val="both"/>
              <w:rPr>
                <w:b/>
              </w:rPr>
            </w:pPr>
            <w:r>
              <w:rPr>
                <w:b/>
              </w:rPr>
              <w:t>Требования к оформлению документации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9"/>
              </w:numPr>
              <w:spacing w:before="60" w:after="60"/>
              <w:ind w:hanging="771" w:left="810"/>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both"/>
              <w:rPr/>
            </w:pPr>
            <w:bookmarkStart w:id="25" w:name="_Hlk199234108"/>
            <w:r>
              <w:rPr/>
              <w:t>Форма представления документации</w:t>
            </w:r>
            <w:bookmarkEnd w:id="25"/>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Представить документацию в электронном виде в редактируемом формате VSD-Visio, DOC-Word, XLS-Exсel; в формате Adobe Acrobat (утвержденная документация) (в количестве 1-го экземпляра) на электронном носителе.</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Формирование технического архива, передача Заказчику и исполнителям работ документации (паспорта на все оборудование, формуляры проведенных испытании, рабочая и конструкторская документация с печатью в производство работ, в том числе в электронном виде в форматах *.doc, *.pdf - для текстовых документов, *.xls для табличных документов и графиков. *.dxf, *.dwg, *.vsd   для схем и чертежей) на электронном носителе.</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Представить отчеты, конструкторскую (в т.ч. инструкции, руководства, документация по испытаниям, документация на составные части, чертежи, ведомости) и рабочую документацию на бумажном носителе (в количестве не менее 3-х экземпляров).</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Вся разрабатываемая и предоставляемая Заказчику документация должна быть на русском языке.</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На всю разрабатываемую документацию должен быть составлен перечень (отдельно на рабочую и конструкторскую) с указанием наименований и шифров.</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Документация, передаваемая Подрядчиком Заказчику:</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Проекты производства работ (далее – ППР), проект производства геодезических работ (ППГР) предоставляются Подрядчиком Заказчику на согласование за 30 календарных дней до начала работ. В ППР должна быть отражена технология удаления штрабного бетона в камере рабочего колеса с указанием зоны вырубки и технология сопряжения с существующим конусом отсасывающей трубы, а также должны быть определены последовательные шаги монтажа основного оборудования. ППР должны содержать достаточно подробную информацию, такую как подготовка оборудования на монтажной площадке, обращение с большими и тяжелыми узлами, выравнивание, крепление, сварка, покраска, проверка монтажных работ, испытания под давлением на площадке, промывка и очистка гидравлических систем на площадке, центровка и рабочие проверки, для того чтобы Заказчик мог контролировать работы на площадке.</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Подрядчик собственными силами разрабатывает ППР на работы, утверждает его и согласовывает с Заказчиком. С даты заключения договора, но не позднее 60-ти дней до начала работ. ППР на выполнение Работ разрабатывается в соответствии с МДС 12-81.2007 «Методические рекомендации по разработке и оформлению проекта организации строительства и проекта производства работ», МДС 12-29.2006 «Методические рекомендации по разработке и оформлению технологической карты», СТО РусГидро 02.03.158-2026 «Гидроэлектростанции. Технологические карты. Методические указания.» и должен включать:</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Предварительный укрупнённый график производства работ и сетевой график производства работ на Объекте с включением в данный график всех работ, осуществляемых на Объекте силами Подрядчика и его субподрядчиков, а также график поставки оборудования и материалов. На основе данных графиков Подрядчик, с учётом производства смежных работ на Объекте, разрабатывает окончательный график производства работ и согласовывает его с Заказчиком и другими подрядными организациями, осуществляющими смежные работы на Объекте.</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 xml:space="preserve">Места размещения бытовок или временных помещений (вагончиков), ящиков для инструментов, емкостей под мусор, ящиков для размещения монтажного инструмента и приспособлений; </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Схемы раскладки оборудования в машинном зале;</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Технологические карты (схемы) (с разработкой типовой документации) на выполнение отдельных видов работ, результатом которых являются законченные конструктивные элементы, а также части здания, сооружения, содержащих план и разрез той части здания, где будут выполняться работы, а также схемы организации рабочих мест с указанием: требований по подготовке места работы и выполнению предшествующих работ, обеспечивающих необходимый фронт и безопасные условия выполнения работ, методов и последовательности производства работ, определением необходимых средств механизации и технологической оснастки, определением способов подачи и мест хранения материалов, конструкций и изделий в соответствии с требованиями СТО РусГидро 02.03.158-2026;</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Решения по охране труда и промбезопасности при выполнении работ в условиях действия опасных производственных факторов включая требования правил безопасности опасных производственных объектов, на которых используются подъемные сооружения;</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 xml:space="preserve">ППР должен соответствовать требованиям НПА и НТД (указанных в т.ч. в приложении 11 к настоящим ТТ) и содержать комплект технических и организационно-распорядительных документов, необходимых для подготовки и производства работ по замене гидроагрегатов и остального оборудования в условиях безопасного выполнения работ, в том числе: </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Решения по установке временного строительного городка;</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Схема по размещению всего оборудования на территории Нижегородской ГЭС;</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Мероприятия по содержанию ремонтной зоны в чистоте и нераспространению пыли и грязи по отметкам и помещениям здания ГЭС;</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Решения по доставке оборудования и материалов в зону производства работ на отметки 78,00 и 74,00 здания ГЭС ГА5 в рамках выполнения условий по выгораживанию зоны производства работ. Подготовительные работы выполняются Подрядчиком, включая разработку и согласование с Заказчиком проекта производства монтажных работ (ППР), проекта производства геодезических работ (ППГР).</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Представить за 60 дней до даты начала производства строительно – монтажных работ для согласования Заказчиком акт готовности к строительно-монтажным работам согласно порядку при подготовке к капитальному ремонту основного оборудования, установленного Правилами организации технического обслуживания и ремонта объектов электроэнергетики» Приказ Министерства энергетики РФ от 25 октября 2017 г. N 1013.</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Обеспечить выполнение всех необходимых подготовительных мероприятий по охране труда, технике безопасности, пожарной и промышленной безопасности, охране окружающей среды в соответствии с законодательством Российской Федерации, локальными нормативными актами Заказчика.</w:t>
            </w:r>
          </w:p>
          <w:p>
            <w:pPr>
              <w:pStyle w:val="ListParagraph"/>
              <w:widowControl w:val="false"/>
              <w:numPr>
                <w:ilvl w:val="3"/>
                <w:numId w:val="19"/>
              </w:numPr>
              <w:tabs>
                <w:tab w:val="clear" w:pos="708"/>
                <w:tab w:val="left" w:pos="460" w:leader="none"/>
                <w:tab w:val="left" w:pos="601" w:leader="none"/>
              </w:tabs>
              <w:ind w:hanging="0" w:left="0"/>
              <w:jc w:val="both"/>
              <w:rPr>
                <w:sz w:val="28"/>
                <w:szCs w:val="28"/>
              </w:rPr>
            </w:pPr>
            <w:r>
              <w:rPr>
                <w:sz w:val="28"/>
                <w:szCs w:val="28"/>
              </w:rPr>
              <w:t>Подрядчик должен подготовить и предоставить Заказчику следующие документы на согласование за 60 календарных дней до начала пусконаладочных работ:</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Методики опробования и включения оборудования;</w:t>
            </w:r>
          </w:p>
          <w:p>
            <w:pPr>
              <w:pStyle w:val="ListParagraph"/>
              <w:widowControl w:val="false"/>
              <w:numPr>
                <w:ilvl w:val="4"/>
                <w:numId w:val="19"/>
              </w:numPr>
              <w:tabs>
                <w:tab w:val="clear" w:pos="708"/>
                <w:tab w:val="left" w:pos="460" w:leader="none"/>
                <w:tab w:val="left" w:pos="601" w:leader="none"/>
              </w:tabs>
              <w:ind w:hanging="0" w:left="0"/>
              <w:jc w:val="both"/>
              <w:rPr>
                <w:sz w:val="28"/>
                <w:szCs w:val="28"/>
              </w:rPr>
            </w:pPr>
            <w:r>
              <w:rPr>
                <w:sz w:val="28"/>
                <w:szCs w:val="28"/>
              </w:rPr>
              <w:t>Методики индивидуальных испытаний;</w:t>
            </w:r>
          </w:p>
          <w:p>
            <w:pPr>
              <w:pStyle w:val="Normal"/>
              <w:widowControl w:val="false"/>
              <w:rPr/>
            </w:pPr>
            <w:r>
              <w:rPr/>
              <w:t>Данные методики должны последовательно и достаточно подробно описывать работы и испытания, которые необходимо выполнить для всех систем в рамках контрактной документации. Заказчик в месячный срок после получения документации обязуется её рассмотреть и вернуть Подрядчику один экземпляр в согласованном виде или с указанием замечаний для исправления. После внесения исправлений Подрядчик вновь направляет документы на согласование.</w:t>
            </w:r>
          </w:p>
          <w:p>
            <w:pPr>
              <w:pStyle w:val="ListParagraph"/>
              <w:widowControl w:val="false"/>
              <w:numPr>
                <w:ilvl w:val="3"/>
                <w:numId w:val="19"/>
              </w:numPr>
              <w:ind w:hanging="0" w:left="0"/>
              <w:rPr>
                <w:sz w:val="28"/>
                <w:szCs w:val="28"/>
              </w:rPr>
            </w:pPr>
            <w:r>
              <w:rPr>
                <w:sz w:val="28"/>
                <w:szCs w:val="28"/>
              </w:rPr>
              <w:t>Оформление отчётной документации по монтажным и наладочным работам, испытаниям и опробованиям работы оборудования, акта приемки оборудования в промышленную эксплуатацию должно производиться в соответствии с требованиями НТД (приложение №11 к настоящим ТТ).</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2"/>
                <w:numId w:val="19"/>
              </w:numPr>
              <w:spacing w:before="60" w:after="60"/>
              <w:ind w:hanging="771" w:left="810"/>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lang w:val="en-US"/>
              </w:rPr>
              <w:t>Требования к исполнительной документации</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3"/>
                <w:numId w:val="19"/>
              </w:numPr>
              <w:ind w:hanging="0" w:left="0"/>
              <w:rPr>
                <w:sz w:val="28"/>
                <w:szCs w:val="28"/>
              </w:rPr>
            </w:pPr>
            <w:bookmarkStart w:id="26" w:name="_Hlk199234239"/>
            <w:r>
              <w:rPr>
                <w:sz w:val="28"/>
                <w:szCs w:val="28"/>
              </w:rPr>
              <w:t>Подрядчик должен подготовить и предоставить Заказчику следующую исполнительную документацию на рассмотрение:</w:t>
            </w:r>
          </w:p>
          <w:p>
            <w:pPr>
              <w:pStyle w:val="Normal"/>
              <w:widowControl w:val="false"/>
              <w:jc w:val="both"/>
              <w:rPr>
                <w:color w:val="000000"/>
              </w:rPr>
            </w:pPr>
            <w:r>
              <w:rPr/>
              <w:t xml:space="preserve">Формуляры контрольных замеров узлов, сборочных единиц и проведённых испытаний, полученные в процессе монтажа, сборки и пуско-наладочных испытаний Объекта. Необходимость в проведении замеров, испытаний с оформлением результатов в виде формуляров определяет изготовитель оборудования в соответствии с требованиями СТО РусГидро 02.03.70-2022, СТО РусГидро 02.03.69-2022, </w:t>
            </w:r>
            <w:r>
              <w:rPr>
                <w:color w:val="000000"/>
              </w:rPr>
              <w:t xml:space="preserve">СТО РусГидро 02.01.91-2013, СТО РусГидро 02.01.62-2021, приказа Министерства строительства №344пр от 31.05.2023, </w:t>
            </w:r>
            <w:r>
              <w:rPr/>
              <w:t>СТО 34.01-23.1-001-2017;</w:t>
            </w:r>
            <w:bookmarkEnd w:id="26"/>
          </w:p>
          <w:p>
            <w:pPr>
              <w:pStyle w:val="Normal"/>
              <w:widowControl w:val="false"/>
              <w:tabs>
                <w:tab w:val="clear" w:pos="708"/>
                <w:tab w:val="left" w:pos="0" w:leader="none"/>
              </w:tabs>
              <w:rPr/>
            </w:pPr>
            <w:r>
              <w:rPr/>
              <w:t>Акт освидетельствования скрытых работ; Акты освидетельствования ответственных конструкций; Общий, монтажные и специальные журналы работ; Исполнительные чертежи строительных конструкций; Рабочую документацию с указанием в ней фактических параметров строительных конструкций (размеров, высотных отметок и пр.);</w:t>
            </w:r>
          </w:p>
          <w:p>
            <w:pPr>
              <w:pStyle w:val="Normal"/>
              <w:widowControl w:val="false"/>
              <w:tabs>
                <w:tab w:val="clear" w:pos="708"/>
                <w:tab w:val="left" w:pos="0" w:leader="none"/>
              </w:tabs>
              <w:rPr/>
            </w:pPr>
            <w:r>
              <w:rPr/>
              <w:t>Исполнительные сборочные чертежи, исполнительные схемы, габаритные чертежи, фундаментные чертежи, чертежи закладных, схемы (в том числе монтажные) аппаратуры автоматики, РЗА, САУ;</w:t>
            </w:r>
          </w:p>
          <w:p>
            <w:pPr>
              <w:pStyle w:val="Normal"/>
              <w:widowControl w:val="false"/>
              <w:tabs>
                <w:tab w:val="clear" w:pos="708"/>
                <w:tab w:val="left" w:pos="0" w:leader="none"/>
              </w:tabs>
              <w:rPr/>
            </w:pPr>
            <w:r>
              <w:rPr/>
              <w:t>Паспорта и сертификаты на закупаемое оборудование;</w:t>
            </w:r>
          </w:p>
          <w:p>
            <w:pPr>
              <w:pStyle w:val="Normal"/>
              <w:widowControl w:val="false"/>
              <w:tabs>
                <w:tab w:val="clear" w:pos="708"/>
                <w:tab w:val="left" w:pos="0" w:leader="none"/>
              </w:tabs>
              <w:rPr/>
            </w:pPr>
            <w:r>
              <w:rPr/>
              <w:t>Сертификаты на материалы;</w:t>
            </w:r>
          </w:p>
          <w:p>
            <w:pPr>
              <w:pStyle w:val="Normal"/>
              <w:widowControl w:val="false"/>
              <w:tabs>
                <w:tab w:val="clear" w:pos="708"/>
                <w:tab w:val="left" w:pos="0" w:leader="none"/>
              </w:tabs>
              <w:rPr/>
            </w:pPr>
            <w:r>
              <w:rPr/>
              <w:t>Исполнительные схемы вспомогательного оборудования;</w:t>
            </w:r>
          </w:p>
          <w:p>
            <w:pPr>
              <w:pStyle w:val="Normal"/>
              <w:widowControl w:val="false"/>
              <w:tabs>
                <w:tab w:val="clear" w:pos="708"/>
                <w:tab w:val="left" w:pos="0" w:leader="none"/>
              </w:tabs>
              <w:rPr/>
            </w:pPr>
            <w:r>
              <w:rPr/>
              <w:t>Руководства по эксплуатации и техническому обслуживанию оборудования и автоматики по оборудованию, поставляемому Подрядчиком;</w:t>
            </w:r>
          </w:p>
          <w:p>
            <w:pPr>
              <w:pStyle w:val="Normal"/>
              <w:widowControl w:val="false"/>
              <w:tabs>
                <w:tab w:val="clear" w:pos="708"/>
                <w:tab w:val="left" w:pos="0" w:leader="none"/>
              </w:tabs>
              <w:rPr/>
            </w:pPr>
            <w:r>
              <w:rPr/>
              <w:t>Эксплуатационные характеристики оборудования по оборудованию, поставляемому Подрядчиком;</w:t>
            </w:r>
          </w:p>
          <w:p>
            <w:pPr>
              <w:pStyle w:val="Normal"/>
              <w:widowControl w:val="false"/>
              <w:tabs>
                <w:tab w:val="clear" w:pos="708"/>
                <w:tab w:val="left" w:pos="0" w:leader="none"/>
              </w:tabs>
              <w:rPr/>
            </w:pPr>
            <w:r>
              <w:rPr/>
              <w:t>Инструкции по монтажу и пуску;</w:t>
            </w:r>
          </w:p>
          <w:p>
            <w:pPr>
              <w:pStyle w:val="Normal"/>
              <w:widowControl w:val="false"/>
              <w:tabs>
                <w:tab w:val="clear" w:pos="708"/>
                <w:tab w:val="left" w:pos="0" w:leader="none"/>
              </w:tabs>
              <w:rPr/>
            </w:pPr>
            <w:r>
              <w:rPr/>
              <w:t>Методики приёмочных испытаний на ГЭС по оборудованию, поставляемому Подрядчиком;</w:t>
            </w:r>
          </w:p>
          <w:p>
            <w:pPr>
              <w:pStyle w:val="Normal"/>
              <w:widowControl w:val="false"/>
              <w:tabs>
                <w:tab w:val="clear" w:pos="708"/>
                <w:tab w:val="left" w:pos="0" w:leader="none"/>
              </w:tabs>
              <w:rPr/>
            </w:pPr>
            <w:r>
              <w:rPr/>
              <w:t>Кабельные журналы.</w:t>
            </w:r>
          </w:p>
          <w:p>
            <w:pPr>
              <w:pStyle w:val="Normal"/>
              <w:widowControl w:val="false"/>
              <w:tabs>
                <w:tab w:val="clear" w:pos="708"/>
                <w:tab w:val="left" w:pos="0" w:leader="none"/>
              </w:tabs>
              <w:rPr/>
            </w:pPr>
            <w:r>
              <w:rPr/>
              <w:t>технические описания, инструкции;</w:t>
            </w:r>
          </w:p>
          <w:p>
            <w:pPr>
              <w:pStyle w:val="Normal"/>
              <w:widowControl w:val="false"/>
              <w:tabs>
                <w:tab w:val="clear" w:pos="708"/>
                <w:tab w:val="left" w:pos="0" w:leader="none"/>
              </w:tabs>
              <w:rPr/>
            </w:pPr>
            <w:r>
              <w:rPr/>
              <w:t>карты измерений в одном экземпляре.</w:t>
            </w:r>
          </w:p>
          <w:p>
            <w:pPr>
              <w:pStyle w:val="Normal"/>
              <w:widowControl w:val="false"/>
              <w:tabs>
                <w:tab w:val="clear" w:pos="708"/>
                <w:tab w:val="left" w:pos="0" w:leader="none"/>
              </w:tabs>
              <w:rPr/>
            </w:pPr>
            <w:r>
              <w:rPr/>
              <w:t>Техническая и исполнительная документация (включая исполнительные чертежи и схемы) должна передаваться Заказчику в следующем количестве:</w:t>
            </w:r>
          </w:p>
          <w:p>
            <w:pPr>
              <w:pStyle w:val="Normal"/>
              <w:widowControl w:val="false"/>
              <w:tabs>
                <w:tab w:val="clear" w:pos="708"/>
                <w:tab w:val="left" w:pos="0" w:leader="none"/>
              </w:tabs>
              <w:rPr/>
            </w:pPr>
            <w:r>
              <w:rPr/>
              <w:t>- 3 экземпляра в бумажном виде и одна копия на электронном диске в редактируемом и сканированном (подписанном) формате;</w:t>
            </w:r>
          </w:p>
          <w:p>
            <w:pPr>
              <w:pStyle w:val="ListParagraph"/>
              <w:widowControl w:val="false"/>
              <w:numPr>
                <w:ilvl w:val="3"/>
                <w:numId w:val="19"/>
              </w:numPr>
              <w:ind w:hanging="0" w:left="0"/>
              <w:rPr>
                <w:sz w:val="28"/>
                <w:szCs w:val="28"/>
              </w:rPr>
            </w:pPr>
            <w:r>
              <w:rPr>
                <w:sz w:val="28"/>
                <w:szCs w:val="28"/>
              </w:rPr>
              <w:t>Список маркировочной системы.</w:t>
            </w:r>
          </w:p>
          <w:p>
            <w:pPr>
              <w:pStyle w:val="Normal"/>
              <w:widowControl w:val="false"/>
              <w:tabs>
                <w:tab w:val="clear" w:pos="708"/>
                <w:tab w:val="left" w:pos="0" w:leader="none"/>
              </w:tabs>
              <w:jc w:val="both"/>
              <w:rPr/>
            </w:pPr>
            <w:r>
              <w:rPr/>
              <w:t>Список должен включать в себя используемые идентификационные номера поставляемого оборудования в алфавитно-цифровом порядке и их описание (установленное обозначение поставляемого оборудования, например, как написано на маркировочном знаке оборудования), а также месторасположение (краткое описание места вне помещения и уровень высоты или указание здания/помещения с уровнем и номером помещения). Формат данного списка должен быть достаточным для того, чтобы заказать маркировочные таблички и знаки.</w:t>
            </w:r>
          </w:p>
          <w:p>
            <w:pPr>
              <w:pStyle w:val="ListParagraph"/>
              <w:widowControl w:val="false"/>
              <w:numPr>
                <w:ilvl w:val="3"/>
                <w:numId w:val="19"/>
              </w:numPr>
              <w:ind w:hanging="0" w:left="0"/>
              <w:jc w:val="both"/>
              <w:rPr>
                <w:sz w:val="28"/>
                <w:szCs w:val="28"/>
              </w:rPr>
            </w:pPr>
            <w:r>
              <w:rPr>
                <w:sz w:val="28"/>
                <w:szCs w:val="28"/>
              </w:rPr>
              <w:t>Представить Заказчику с актами выполненных работ исполнительную документацию, протоколы испытаний, акты скрытых работ. Исполнительная документация формируется по комплектам рабочей или иной технической документации (или их разделов) с приложением реестров (перечней) на каждый комплект исполнительной документации.</w:t>
            </w:r>
          </w:p>
          <w:p>
            <w:pPr>
              <w:pStyle w:val="ListParagraph"/>
              <w:widowControl w:val="false"/>
              <w:numPr>
                <w:ilvl w:val="3"/>
                <w:numId w:val="19"/>
              </w:numPr>
              <w:ind w:hanging="0" w:left="0"/>
              <w:jc w:val="both"/>
              <w:rPr>
                <w:sz w:val="28"/>
                <w:szCs w:val="28"/>
              </w:rPr>
            </w:pPr>
            <w:r>
              <w:rPr>
                <w:sz w:val="28"/>
                <w:szCs w:val="28"/>
              </w:rPr>
              <w:t>Анализ, архивирование и передача Заказчику полного комплекта исполнительной документации, в том числе в электронном виде в форматах *.doc. *.pdf- для текстовых документов, *.xls для табличных документов и графиков, *.dxf. *.dwg, *.vsd -для схем и чертежей на электронном носителе. Оригиналы передаются до начала работы приемочной комиссии.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9"/>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0"/>
              <w:jc w:val="both"/>
              <w:rPr>
                <w:b/>
              </w:rPr>
            </w:pPr>
            <w:r>
              <w:rPr>
                <w:b/>
              </w:rPr>
              <w:t>Требования к соблюдению положений нормативной и иной обязательной для подрядчика / исполнителя документации</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9"/>
              </w:numPr>
              <w:spacing w:before="60" w:after="60"/>
              <w:ind w:firstLine="142" w:left="-117"/>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pacing w:before="60" w:after="0"/>
              <w:jc w:val="both"/>
              <w:rPr>
                <w:lang w:val="en-US"/>
              </w:rPr>
            </w:pPr>
            <w:r>
              <w:rPr>
                <w:lang w:val="en-US"/>
              </w:rPr>
              <w:t>Перечень НТД</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2"/>
                <w:numId w:val="19"/>
              </w:numPr>
              <w:ind w:hanging="0" w:left="40"/>
              <w:rPr>
                <w:sz w:val="28"/>
                <w:szCs w:val="28"/>
              </w:rPr>
            </w:pPr>
            <w:r>
              <w:rPr>
                <w:sz w:val="28"/>
                <w:szCs w:val="28"/>
              </w:rPr>
              <w:t>Перечень нормативных, правовых и иных актов и нормативно технических документов изложен в приложении №11.</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9"/>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20" w:after="0"/>
              <w:jc w:val="both"/>
              <w:rPr>
                <w:b/>
              </w:rPr>
            </w:pPr>
            <w:r>
              <w:rPr>
                <w:b/>
              </w:rPr>
              <w:t>Требования к ответственности, гарантиям и послегарантийному обслуживанию</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9"/>
              </w:numPr>
              <w:spacing w:before="60" w:after="60"/>
              <w:ind w:firstLine="142" w:left="-117"/>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en-US"/>
              </w:rPr>
            </w:pPr>
            <w:r>
              <w:rPr>
                <w:lang w:val="en-US"/>
              </w:rPr>
              <w:t>Требования к ответственности Подрядчика</w:t>
            </w:r>
          </w:p>
        </w:tc>
        <w:tc>
          <w:tcPr>
            <w:tcW w:w="7370"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2"/>
                <w:numId w:val="19"/>
              </w:numPr>
              <w:ind w:hanging="142" w:left="182"/>
              <w:jc w:val="both"/>
              <w:rPr>
                <w:sz w:val="28"/>
                <w:szCs w:val="28"/>
              </w:rPr>
            </w:pPr>
            <w:r>
              <w:rPr>
                <w:sz w:val="28"/>
                <w:szCs w:val="28"/>
              </w:rPr>
              <w:t>Персонал Подрядчика несет ответственность за:</w:t>
            </w:r>
          </w:p>
          <w:p>
            <w:pPr>
              <w:pStyle w:val="Normal"/>
              <w:widowControl w:val="false"/>
              <w:ind w:hanging="142" w:left="182"/>
              <w:jc w:val="both"/>
              <w:rPr/>
            </w:pPr>
            <w:r>
              <w:rPr/>
              <w:t>- осуществление необходимого взаимодействия при выполнении СМР с проектными институтами, авторским надзором, персоналом осуществляющим шеф-монтаж и шеф-наладку, персоналом других подрядных организаций, задействованных при выполнении работ;</w:t>
            </w:r>
          </w:p>
          <w:p>
            <w:pPr>
              <w:pStyle w:val="Normal"/>
              <w:widowControl w:val="false"/>
              <w:ind w:hanging="142" w:left="182"/>
              <w:jc w:val="both"/>
              <w:rPr/>
            </w:pPr>
            <w:r>
              <w:rPr/>
              <w:t>- исполнение графиков выполнения работ;</w:t>
            </w:r>
          </w:p>
          <w:p>
            <w:pPr>
              <w:pStyle w:val="Normal"/>
              <w:widowControl w:val="false"/>
              <w:ind w:hanging="142" w:left="182"/>
              <w:jc w:val="both"/>
              <w:rPr/>
            </w:pPr>
            <w:r>
              <w:rPr/>
              <w:t>- проверку соответствия проекту выполненных субподрядчиком работ, соблюдения технологии, качества производства работ, соблюдения правил пожаро- и взрывобезопасности;</w:t>
            </w:r>
          </w:p>
          <w:p>
            <w:pPr>
              <w:pStyle w:val="Normal"/>
              <w:widowControl w:val="false"/>
              <w:ind w:hanging="142" w:left="182"/>
              <w:jc w:val="both"/>
              <w:rPr/>
            </w:pPr>
            <w:r>
              <w:rPr/>
              <w:t>- своевременное информирование Заказчика о ходе выполнении работ, возникающих в процессе выполнения работ вопросов, требующим принятия решения Заказчиком или его согласование.</w:t>
            </w:r>
          </w:p>
          <w:p>
            <w:pPr>
              <w:pStyle w:val="ListParagraph"/>
              <w:widowControl w:val="false"/>
              <w:numPr>
                <w:ilvl w:val="2"/>
                <w:numId w:val="19"/>
              </w:numPr>
              <w:ind w:hanging="0" w:left="173"/>
              <w:jc w:val="both"/>
              <w:rPr>
                <w:sz w:val="28"/>
                <w:szCs w:val="28"/>
              </w:rPr>
            </w:pPr>
            <w:r>
              <w:rPr>
                <w:sz w:val="28"/>
                <w:szCs w:val="28"/>
              </w:rPr>
              <w:t>Подрядчик должен осуществлять необходимые виды и объёмы контроля при изготовлении, монтаже, наладке и испытаниях оборудования и материалов, поставляемых в рамках исполнения, данного ТТ.</w:t>
            </w:r>
          </w:p>
          <w:p>
            <w:pPr>
              <w:pStyle w:val="ListParagraph"/>
              <w:widowControl w:val="false"/>
              <w:numPr>
                <w:ilvl w:val="2"/>
                <w:numId w:val="19"/>
              </w:numPr>
              <w:ind w:hanging="0" w:left="173"/>
              <w:jc w:val="both"/>
              <w:rPr>
                <w:sz w:val="28"/>
                <w:szCs w:val="28"/>
              </w:rPr>
            </w:pPr>
            <w:r>
              <w:rPr>
                <w:sz w:val="28"/>
                <w:szCs w:val="28"/>
              </w:rPr>
              <w:t>Подрядчик должен обеспечивать соблюдение требований техники безопасности, охраны труда и окружающей среды.</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rPr>
            </w:pPr>
            <w:r>
              <w:rPr>
                <w:b/>
                <w:bCs/>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15"/>
              </w:numPr>
              <w:spacing w:before="60" w:after="60"/>
              <w:contextualSpacing/>
              <w:jc w:val="both"/>
              <w:rPr>
                <w:sz w:val="28"/>
                <w:szCs w:val="28"/>
              </w:rPr>
            </w:pPr>
            <w:r>
              <w:rPr>
                <w:sz w:val="28"/>
                <w:szCs w:val="28"/>
              </w:rPr>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60" w:after="60"/>
              <w:jc w:val="both"/>
              <w:rPr>
                <w:b/>
              </w:rPr>
            </w:pPr>
            <w:r>
              <w:rPr>
                <w:b/>
              </w:rPr>
              <w:t>Прочие требования</w:t>
            </w:r>
          </w:p>
        </w:tc>
        <w:tc>
          <w:tcPr>
            <w:tcW w:w="56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60" w:after="60"/>
              <w:jc w:val="both"/>
              <w:rPr>
                <w:b/>
              </w:rPr>
            </w:pPr>
            <w:r>
              <w:rPr>
                <w:b/>
              </w:rPr>
            </w:r>
          </w:p>
        </w:tc>
      </w:tr>
      <w:tr>
        <w:trPr/>
        <w:tc>
          <w:tcPr>
            <w:tcW w:w="1134"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1"/>
                <w:numId w:val="15"/>
              </w:numPr>
              <w:spacing w:before="60" w:after="60"/>
              <w:ind w:firstLine="142" w:left="-117"/>
              <w:contextualSpacing/>
              <w:jc w:val="both"/>
              <w:rPr>
                <w:sz w:val="28"/>
                <w:szCs w:val="28"/>
              </w:rPr>
            </w:pPr>
            <w:r>
              <w:rPr>
                <w:sz w:val="28"/>
                <w:szCs w:val="2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Style28"/>
              <w:keepNext w:val="false"/>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Требования в рамках осуществления проектного управления</w:t>
            </w:r>
          </w:p>
        </w:tc>
        <w:tc>
          <w:tcPr>
            <w:tcW w:w="7370" w:type="dxa"/>
            <w:tcBorders>
              <w:top w:val="single" w:sz="4" w:space="0" w:color="000000"/>
              <w:left w:val="single" w:sz="4" w:space="0" w:color="000000"/>
              <w:bottom w:val="single" w:sz="4" w:space="0" w:color="000000"/>
              <w:right w:val="single" w:sz="4" w:space="0" w:color="000000"/>
            </w:tcBorders>
            <w:vAlign w:val="center"/>
          </w:tcPr>
          <w:p>
            <w:pPr>
              <w:pStyle w:val="Style28"/>
              <w:widowControl w:val="false"/>
              <w:numPr>
                <w:ilvl w:val="2"/>
                <w:numId w:val="15"/>
              </w:numPr>
              <w:spacing w:before="0" w:after="60"/>
              <w:ind w:hanging="0" w:left="0"/>
              <w:jc w:val="both"/>
              <w:outlineLvl w:val="2"/>
              <w:rPr>
                <w:rFonts w:eastAsia="Times New Roman"/>
                <w:b w:val="false"/>
                <w:sz w:val="28"/>
                <w:szCs w:val="28"/>
                <w:lang w:val="ru-RU" w:eastAsia="ru-RU"/>
              </w:rPr>
            </w:pPr>
            <w:r>
              <w:rPr>
                <w:rFonts w:eastAsia="Times New Roman"/>
                <w:b w:val="false"/>
                <w:sz w:val="28"/>
                <w:szCs w:val="28"/>
                <w:lang w:val="ru-RU" w:eastAsia="ru-RU"/>
              </w:rPr>
              <w:t xml:space="preserve">Подрядчик должен обеспечить выполнение следующих работ: </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Координацию субподрядных организаций, детальное планирование работ, актуализация планов, выравнивание ресурсов, отчетность, документооборот, исполнение планов по Проекту.</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Актуализация данных в информационной системе, которая включает в себя следующие компоненты: Программное обеспечение Microsoft Project Server 2010, Grandsmeta, Microsoft Project Professional 2010 - календарное планирование, актуализация планов, управление задачами (далее - ИС КСП) совместимые с ИТ-системой Заказчика.</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Планирование реализации проекта, в соответствии с СТО РусГидро 00.01.113-2025, с предоставлением Заказчику общего графика с разбивкой на разукрупненные, связанные между собой детальные графики:</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детальные календарные графики демонтажных работ основного и вспомогательного оборудования;</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детальные календарные графики закупки и поставки оборудования и материалов;</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детальные календарные графики строительно-монтажных и пуско-наладочных работ;</w:t>
            </w:r>
          </w:p>
          <w:p>
            <w:pPr>
              <w:pStyle w:val="Style28"/>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сводный календарно-сетевой график реализации проекта;</w:t>
            </w:r>
          </w:p>
          <w:p>
            <w:pPr>
              <w:pStyle w:val="Style28"/>
              <w:keepNext w:val="false"/>
              <w:widowControl w:val="false"/>
              <w:numPr>
                <w:ilvl w:val="0"/>
                <w:numId w:val="0"/>
              </w:numPr>
              <w:spacing w:before="0" w:after="60"/>
              <w:jc w:val="both"/>
              <w:outlineLvl w:val="2"/>
              <w:rPr>
                <w:rFonts w:eastAsia="Times New Roman"/>
                <w:b w:val="false"/>
                <w:sz w:val="28"/>
                <w:szCs w:val="28"/>
                <w:lang w:val="ru-RU" w:eastAsia="ru-RU"/>
              </w:rPr>
            </w:pPr>
            <w:r>
              <w:rPr>
                <w:rFonts w:eastAsia="Times New Roman"/>
                <w:b w:val="false"/>
                <w:sz w:val="28"/>
                <w:szCs w:val="28"/>
                <w:lang w:val="ru-RU" w:eastAsia="ru-RU"/>
              </w:rPr>
              <w:t>- Подрядчик должен определить и указать в графике критический путь и обеспечить его выполнение;</w:t>
            </w:r>
          </w:p>
        </w:tc>
        <w:tc>
          <w:tcPr>
            <w:tcW w:w="567" w:type="dxa"/>
            <w:tcBorders>
              <w:top w:val="single" w:sz="4" w:space="0" w:color="000000"/>
              <w:left w:val="single" w:sz="4" w:space="0" w:color="000000"/>
              <w:bottom w:val="single" w:sz="4" w:space="0" w:color="000000"/>
              <w:right w:val="single" w:sz="4" w:space="0" w:color="000000"/>
            </w:tcBorders>
          </w:tcPr>
          <w:p>
            <w:pPr>
              <w:pStyle w:val="Style28"/>
              <w:keepNext w:val="false"/>
              <w:widowControl w:val="false"/>
              <w:numPr>
                <w:ilvl w:val="0"/>
                <w:numId w:val="0"/>
              </w:numPr>
              <w:spacing w:before="0" w:after="60"/>
              <w:jc w:val="both"/>
              <w:outlineLvl w:val="2"/>
              <w:rPr>
                <w:b w:val="false"/>
                <w:sz w:val="28"/>
                <w:szCs w:val="28"/>
                <w:lang w:val="ru-RU"/>
              </w:rPr>
            </w:pPr>
            <w:r>
              <w:rPr>
                <w:b w:val="false"/>
                <w:sz w:val="28"/>
                <w:szCs w:val="28"/>
                <w:lang w:val="ru-RU"/>
              </w:rPr>
            </w:r>
          </w:p>
        </w:tc>
      </w:tr>
    </w:tbl>
    <w:p>
      <w:pPr>
        <w:pStyle w:val="Heading1"/>
        <w:numPr>
          <w:ilvl w:val="0"/>
          <w:numId w:val="26"/>
        </w:numPr>
        <w:ind w:hanging="1134" w:left="1134"/>
        <w:jc w:val="both"/>
        <w:rPr>
          <w:lang w:val="ru-RU"/>
        </w:rPr>
      </w:pPr>
      <w:r>
        <w:rPr/>
        <w:t>Требования к документации по ценообразованию</w:t>
      </w:r>
    </w:p>
    <w:p>
      <w:pPr>
        <w:pStyle w:val="Heading1"/>
        <w:numPr>
          <w:ilvl w:val="1"/>
          <w:numId w:val="27"/>
        </w:numPr>
        <w:ind w:hanging="0" w:left="284"/>
        <w:jc w:val="both"/>
        <w:rPr>
          <w:b w:val="false"/>
          <w:i/>
          <w:i/>
          <w:lang w:val="ru-RU"/>
        </w:rPr>
      </w:pPr>
      <w:r>
        <w:rPr>
          <w:lang w:val="ru-RU"/>
        </w:rPr>
        <w:t xml:space="preserve">Требования к документации по ценообразованию на этапе закупки </w:t>
      </w:r>
      <w:r>
        <w:rPr>
          <w:b w:val="false"/>
          <w:i/>
          <w:lang w:val="ru-RU"/>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Heading1"/>
        <w:ind w:left="284"/>
        <w:jc w:val="both"/>
        <w:rPr>
          <w:b w:val="false"/>
          <w:i/>
          <w:i/>
          <w:lang w:val="ru-RU"/>
        </w:rPr>
      </w:pPr>
      <w:r>
        <w:rPr>
          <w:b w:val="false"/>
          <w:i/>
          <w:lang w:val="ru-RU"/>
        </w:rPr>
        <w:t>Вместе с Коммерческим предложением Участник должен предоставить в составе заявки спецификацию поставляемого оборудования по форме, приведенной в приложении № 24 к настоящим Техническим требованиям (в случае закупки оборудования (материалов) комплектом в спецификации необходимо разбить его на позиции в соответствии с приложениями №№ 1-4, 19 к техническим требованиям с указанием полного наименования (тип, марка, артикул) каждой составляющей и стоимости за единицу).</w:t>
      </w:r>
    </w:p>
    <w:p>
      <w:pPr>
        <w:pStyle w:val="Heading1"/>
        <w:ind w:left="284"/>
        <w:jc w:val="both"/>
        <w:rPr>
          <w:b w:val="false"/>
          <w:i/>
          <w:i/>
          <w:lang w:val="ru-RU"/>
        </w:rPr>
      </w:pPr>
      <w:r>
        <w:rPr>
          <w:lang w:val="ru-RU"/>
        </w:rPr>
        <w:t xml:space="preserve">3.2. </w:t>
      </w:r>
      <w:bookmarkStart w:id="27" w:name="_Toc54646412"/>
      <w:r>
        <w:rPr>
          <w:lang w:val="ru-RU"/>
        </w:rPr>
        <w:t>Требования к документации по ценообразованию на этапе заключения (исполнения) договорa/</w:t>
      </w:r>
      <w:bookmarkEnd w:id="27"/>
      <w:r>
        <w:rPr>
          <w:b w:val="false"/>
          <w:lang w:val="ru-RU" w:eastAsia="en-US"/>
        </w:rPr>
        <w:t xml:space="preserve">       По результатам настоящей закупки заключается договор с предельной ценой.</w:t>
      </w:r>
    </w:p>
    <w:p>
      <w:pPr>
        <w:pStyle w:val="ListParagraph"/>
        <w:widowControl w:val="false"/>
        <w:ind w:left="284"/>
        <w:jc w:val="both"/>
        <w:rPr>
          <w:sz w:val="28"/>
          <w:szCs w:val="28"/>
        </w:rPr>
      </w:pPr>
      <w:r>
        <w:rPr>
          <w:sz w:val="28"/>
          <w:szCs w:val="28"/>
          <w:lang w:eastAsia="en-US"/>
        </w:rPr>
        <w:t>При исполнении договора разработка сметной документации осуществляется в соответствии с Приложениями № 12, 13 к настоящим Техническим требованиям “Требования к оформлению и составлению сметной документации на работы по программе реконструкции и техническому перевооружению».</w:t>
      </w:r>
    </w:p>
    <w:p>
      <w:pPr>
        <w:pStyle w:val="Normal"/>
        <w:widowControl w:val="false"/>
        <w:ind w:left="360"/>
        <w:jc w:val="both"/>
        <w:rPr/>
      </w:pPr>
      <w:r>
        <w:rPr>
          <w:rFonts w:eastAsia="Calibri"/>
          <w:lang w:eastAsia="en-US"/>
        </w:rPr>
        <w:t xml:space="preserve">3.2.1. В случае, если стоимость по разработанной смете Подрядчика будет превышать предельную стоимость, указанную в Договоре,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 </w:t>
      </w:r>
      <w:bookmarkStart w:id="28" w:name="_GoBack_Копия_1"/>
      <w:bookmarkEnd w:id="28"/>
      <w:r>
        <w:rPr>
          <w:rFonts w:eastAsia="Calibri"/>
          <w:lang w:eastAsia="en-US"/>
        </w:rPr>
        <w:t xml:space="preserve"> В случае, если стоимость по смете Подрядчика будет меньше чем в Договоре необходимо откорректировать цену Договора в сторону его уменьшения.</w:t>
      </w:r>
    </w:p>
    <w:p>
      <w:pPr>
        <w:pStyle w:val="ListParagraph"/>
        <w:tabs>
          <w:tab w:val="clear" w:pos="708"/>
          <w:tab w:val="left" w:pos="851" w:leader="none"/>
        </w:tabs>
        <w:ind w:firstLine="567" w:left="142"/>
        <w:jc w:val="both"/>
        <w:rPr>
          <w:sz w:val="28"/>
          <w:szCs w:val="28"/>
        </w:rPr>
      </w:pPr>
      <w:r>
        <w:rPr>
          <w:sz w:val="28"/>
          <w:szCs w:val="28"/>
        </w:rPr>
        <w:t xml:space="preserve">3.2.2 Разработка сметной документации осуществляется при исполнении договора в соответствии с договорными условиями и приложений №12 №13 к настоящим Техническим требованиям «Требования к оформлению и составлению сметной документации на выполнение проектных и изыскательских работ», приложение №12 «Требования к оформлению и составлению сметной документации, разработанной в составе рабочей документации, на работы по программе реконструкции и техническому перевооружению». </w:t>
      </w:r>
    </w:p>
    <w:p>
      <w:pPr>
        <w:pStyle w:val="ListParagraph"/>
        <w:tabs>
          <w:tab w:val="clear" w:pos="708"/>
          <w:tab w:val="left" w:pos="851" w:leader="none"/>
        </w:tabs>
        <w:ind w:firstLine="567" w:left="142"/>
        <w:jc w:val="both"/>
        <w:rPr>
          <w:sz w:val="28"/>
          <w:szCs w:val="28"/>
        </w:rPr>
      </w:pPr>
      <w:r>
        <w:rPr>
          <w:sz w:val="28"/>
          <w:szCs w:val="28"/>
        </w:rPr>
        <w:t xml:space="preserve">3.2.3. Приложение №13 применять для составления сметной документации при разработке рабочей документации с предварительным составлением и согласованием с Заказчиком ведомостей объемов работ. </w:t>
      </w:r>
    </w:p>
    <w:p>
      <w:pPr>
        <w:pStyle w:val="ListParagraph"/>
        <w:tabs>
          <w:tab w:val="clear" w:pos="708"/>
          <w:tab w:val="left" w:pos="851" w:leader="none"/>
        </w:tabs>
        <w:ind w:firstLine="567" w:left="142"/>
        <w:jc w:val="both"/>
        <w:rPr>
          <w:sz w:val="28"/>
          <w:szCs w:val="28"/>
        </w:rPr>
      </w:pPr>
      <w:r>
        <w:rPr>
          <w:sz w:val="28"/>
          <w:szCs w:val="28"/>
        </w:rPr>
        <w:t>3.2.4 В</w:t>
      </w:r>
      <w:r>
        <w:rPr>
          <w:sz w:val="28"/>
          <w:szCs w:val="28"/>
          <w:lang w:eastAsia="en-US"/>
        </w:rPr>
        <w:t xml:space="preserve"> сметной документации предусмотреть резерв средств на непредвиденные работы и затраты в размере</w:t>
      </w:r>
      <w:r>
        <w:rPr>
          <w:sz w:val="28"/>
          <w:szCs w:val="28"/>
        </w:rPr>
        <w:t xml:space="preserve"> средств в размере 1% от стоимости работ (РД, СМР, ПНР, поставки оборудования). </w:t>
      </w:r>
      <w:r>
        <w:rPr>
          <w:sz w:val="28"/>
          <w:szCs w:val="28"/>
          <w:lang w:eastAsia="en-US"/>
        </w:rPr>
        <w:t>В случае возникновения непредвиденных расходов в рамках реализации договора необходимо составлять и оформлять сметную документацию в обосновании данных затрат в соответствии с требованиями, указанными в приложении №13 к настоящим Техническим требованиям. Заключение дополнительного соглашения на увеличение стоимости работ производится после использования резерва средств на непредвиденные работы и затраты. В дополнительном соглашении резерв средств на непредвиденные работы и затраты не предусматривается».</w:t>
      </w:r>
    </w:p>
    <w:p>
      <w:pPr>
        <w:pStyle w:val="ListParagraph"/>
        <w:spacing w:before="0" w:after="240"/>
        <w:ind w:firstLine="567" w:left="142"/>
        <w:contextualSpacing/>
        <w:jc w:val="both"/>
        <w:rPr>
          <w:sz w:val="28"/>
          <w:szCs w:val="28"/>
        </w:rPr>
      </w:pPr>
      <w:r>
        <w:rPr>
          <w:sz w:val="28"/>
          <w:szCs w:val="28"/>
        </w:rPr>
      </w:r>
    </w:p>
    <w:p>
      <w:pPr>
        <w:pStyle w:val="ListParagraph"/>
        <w:spacing w:before="0" w:after="240"/>
        <w:ind w:firstLine="567" w:left="142"/>
        <w:contextualSpacing/>
        <w:jc w:val="both"/>
        <w:rPr>
          <w:sz w:val="28"/>
          <w:szCs w:val="28"/>
        </w:rPr>
      </w:pPr>
      <w:r>
        <w:rPr>
          <w:sz w:val="28"/>
          <w:szCs w:val="28"/>
        </w:rPr>
        <w:t>3.2.5. При формировании «Сводного сметного расчета» в соответствии с требованиями Документации о закупке, Подрядчик должен выделить (указать) следующие отдельные позиции:</w:t>
      </w:r>
    </w:p>
    <w:p>
      <w:pPr>
        <w:pStyle w:val="ListParagraph"/>
        <w:spacing w:before="0" w:after="240"/>
        <w:ind w:firstLine="567" w:left="142"/>
        <w:contextualSpacing/>
        <w:jc w:val="both"/>
        <w:rPr>
          <w:sz w:val="28"/>
          <w:szCs w:val="28"/>
        </w:rPr>
      </w:pPr>
      <w:r>
        <w:rPr>
          <w:sz w:val="28"/>
          <w:szCs w:val="28"/>
        </w:rPr>
        <w:t>- Стоимость проведения обследования оборудования и сооружений ГА ст.№5 для подготовки ТЗ на разработку рабочей документации.</w:t>
      </w:r>
    </w:p>
    <w:p>
      <w:pPr>
        <w:pStyle w:val="ListParagraph"/>
        <w:spacing w:lineRule="auto" w:line="276" w:before="0" w:after="200"/>
        <w:ind w:firstLine="567" w:left="142"/>
        <w:contextualSpacing/>
        <w:jc w:val="both"/>
        <w:rPr>
          <w:sz w:val="28"/>
          <w:szCs w:val="28"/>
        </w:rPr>
      </w:pPr>
      <w:r>
        <w:rPr>
          <w:sz w:val="28"/>
          <w:szCs w:val="28"/>
        </w:rPr>
        <w:t>- Стоимость проведения обследования оборудования и сооружений ГА ст.№5 для подготовки ТЗ на создание оборудования.</w:t>
      </w:r>
    </w:p>
    <w:p>
      <w:pPr>
        <w:pStyle w:val="ListParagraph"/>
        <w:spacing w:lineRule="auto" w:line="276" w:before="0" w:after="200"/>
        <w:ind w:firstLine="567" w:left="142"/>
        <w:contextualSpacing/>
        <w:jc w:val="both"/>
        <w:rPr>
          <w:sz w:val="28"/>
          <w:szCs w:val="28"/>
        </w:rPr>
      </w:pPr>
      <w:r>
        <w:rPr>
          <w:sz w:val="28"/>
          <w:szCs w:val="28"/>
        </w:rPr>
        <w:t>- Стоимость испытаний, обследований, измерений и контроля.</w:t>
      </w:r>
    </w:p>
    <w:p>
      <w:pPr>
        <w:pStyle w:val="ListParagraph"/>
        <w:spacing w:lineRule="auto" w:line="276" w:before="0" w:after="200"/>
        <w:ind w:firstLine="567" w:left="142"/>
        <w:contextualSpacing/>
        <w:jc w:val="both"/>
        <w:rPr>
          <w:sz w:val="28"/>
          <w:szCs w:val="28"/>
        </w:rPr>
      </w:pPr>
      <w:r>
        <w:rPr>
          <w:sz w:val="28"/>
          <w:szCs w:val="28"/>
        </w:rPr>
        <w:t>- Стоимость разработки технического задания на разработку конструкторской документации на оборудование, собираемое на месте эксплуатации.</w:t>
      </w:r>
    </w:p>
    <w:p>
      <w:pPr>
        <w:pStyle w:val="ListParagraph"/>
        <w:spacing w:lineRule="auto" w:line="276" w:before="0" w:after="200"/>
        <w:ind w:firstLine="567" w:left="142"/>
        <w:contextualSpacing/>
        <w:jc w:val="both"/>
        <w:rPr>
          <w:sz w:val="28"/>
          <w:szCs w:val="28"/>
        </w:rPr>
      </w:pPr>
      <w:r>
        <w:rPr>
          <w:sz w:val="28"/>
          <w:szCs w:val="28"/>
        </w:rPr>
        <w:t>- Стоимость разработки технического задания на разработку рабочей документации.</w:t>
      </w:r>
    </w:p>
    <w:p>
      <w:pPr>
        <w:pStyle w:val="ListParagraph"/>
        <w:spacing w:lineRule="auto" w:line="276" w:before="0" w:after="200"/>
        <w:ind w:firstLine="567" w:left="142"/>
        <w:contextualSpacing/>
        <w:jc w:val="both"/>
        <w:rPr>
          <w:sz w:val="28"/>
          <w:szCs w:val="28"/>
        </w:rPr>
      </w:pPr>
      <w:r>
        <w:rPr>
          <w:sz w:val="28"/>
          <w:szCs w:val="28"/>
        </w:rPr>
        <w:t>- Стоимость разработки технического задания на САУ ГА</w:t>
      </w:r>
    </w:p>
    <w:p>
      <w:pPr>
        <w:pStyle w:val="ListParagraph"/>
        <w:spacing w:lineRule="auto" w:line="276" w:before="0" w:after="200"/>
        <w:ind w:firstLine="567" w:left="142"/>
        <w:contextualSpacing/>
        <w:jc w:val="both"/>
        <w:rPr>
          <w:sz w:val="28"/>
          <w:szCs w:val="28"/>
        </w:rPr>
      </w:pPr>
      <w:r>
        <w:rPr>
          <w:sz w:val="28"/>
          <w:szCs w:val="28"/>
        </w:rPr>
        <w:t>- Стоимость разработки рабочей документации ГА ст.№5.</w:t>
      </w:r>
    </w:p>
    <w:p>
      <w:pPr>
        <w:pStyle w:val="ListParagraph"/>
        <w:spacing w:lineRule="auto" w:line="276" w:before="0" w:after="200"/>
        <w:ind w:firstLine="567" w:left="142"/>
        <w:contextualSpacing/>
        <w:jc w:val="both"/>
        <w:rPr>
          <w:sz w:val="28"/>
          <w:szCs w:val="28"/>
        </w:rPr>
      </w:pPr>
      <w:r>
        <w:rPr>
          <w:sz w:val="28"/>
          <w:szCs w:val="28"/>
        </w:rPr>
        <w:t>- Стоимость авторского надзора ГА ст.№5.</w:t>
      </w:r>
    </w:p>
    <w:p>
      <w:pPr>
        <w:pStyle w:val="ListParagraph"/>
        <w:spacing w:lineRule="auto" w:line="276" w:before="0" w:after="200"/>
        <w:ind w:firstLine="567" w:left="142"/>
        <w:contextualSpacing/>
        <w:jc w:val="both"/>
        <w:rPr>
          <w:sz w:val="28"/>
          <w:szCs w:val="28"/>
        </w:rPr>
      </w:pPr>
      <w:r>
        <w:rPr>
          <w:sz w:val="28"/>
          <w:szCs w:val="28"/>
        </w:rPr>
        <w:t>- Стоимость шеф-монтажа ГА ст.№5.</w:t>
      </w:r>
    </w:p>
    <w:p>
      <w:pPr>
        <w:pStyle w:val="ListParagraph"/>
        <w:spacing w:lineRule="auto" w:line="276" w:before="120" w:after="120"/>
        <w:ind w:firstLine="567" w:left="142"/>
        <w:contextualSpacing/>
        <w:jc w:val="both"/>
        <w:rPr>
          <w:sz w:val="28"/>
          <w:szCs w:val="28"/>
        </w:rPr>
      </w:pPr>
      <w:r>
        <w:rPr>
          <w:sz w:val="28"/>
          <w:szCs w:val="28"/>
        </w:rPr>
        <w:t>- Стоимость шеф-наладки ГА ст.№5.</w:t>
      </w:r>
    </w:p>
    <w:p>
      <w:pPr>
        <w:pStyle w:val="ListParagraph"/>
        <w:spacing w:lineRule="auto" w:line="276" w:before="120" w:after="120"/>
        <w:ind w:firstLine="567" w:left="142"/>
        <w:contextualSpacing/>
        <w:jc w:val="both"/>
        <w:rPr>
          <w:sz w:val="28"/>
          <w:szCs w:val="28"/>
        </w:rPr>
      </w:pPr>
      <w:r>
        <w:rPr>
          <w:sz w:val="28"/>
          <w:szCs w:val="28"/>
        </w:rPr>
        <w:t>- Стоимость демонтажа оборудования по объектам основных средств ГА ст.№5.</w:t>
      </w:r>
    </w:p>
    <w:p>
      <w:pPr>
        <w:pStyle w:val="ListParagraph"/>
        <w:spacing w:lineRule="auto" w:line="276" w:before="120" w:after="120"/>
        <w:ind w:firstLine="567" w:left="142"/>
        <w:contextualSpacing/>
        <w:jc w:val="both"/>
        <w:rPr>
          <w:sz w:val="28"/>
          <w:szCs w:val="28"/>
        </w:rPr>
      </w:pPr>
      <w:r>
        <w:rPr>
          <w:sz w:val="28"/>
          <w:szCs w:val="28"/>
        </w:rPr>
        <w:t>- Стоимость СМР с выделением этапов: гидротурбина с системой регулирования и МНУ, гидрогенератор с СВ, система сжатого воздуха, токопровод, терминалы РЗА, ТАиУВО в составе САУ, вспомогательное оборудованию согласно томов РД;</w:t>
      </w:r>
    </w:p>
    <w:p>
      <w:pPr>
        <w:sectPr>
          <w:headerReference w:type="default" r:id="rId5"/>
          <w:headerReference w:type="first" r:id="rId6"/>
          <w:type w:val="nextPage"/>
          <w:pgSz w:w="11906" w:h="16838"/>
          <w:pgMar w:left="1134" w:right="851" w:gutter="0" w:header="680" w:top="1134" w:footer="0" w:bottom="992"/>
          <w:pgNumType w:fmt="decimal"/>
          <w:formProt w:val="false"/>
          <w:titlePg/>
          <w:textDirection w:val="lrTb"/>
          <w:docGrid w:type="default" w:linePitch="381" w:charSpace="0"/>
        </w:sectPr>
        <w:pStyle w:val="ListParagraph"/>
        <w:spacing w:lineRule="auto" w:line="276" w:before="120" w:after="120"/>
        <w:ind w:firstLine="567" w:left="142"/>
        <w:contextualSpacing/>
        <w:jc w:val="both"/>
        <w:rPr>
          <w:sz w:val="28"/>
          <w:szCs w:val="28"/>
        </w:rPr>
      </w:pPr>
      <w:r>
        <w:rPr>
          <w:sz w:val="28"/>
          <w:szCs w:val="28"/>
        </w:rPr>
        <w:t>- Стоимость пусконаладочных работ по объектам основных средств ГА ст.№5;</w:t>
      </w:r>
      <w:r>
        <w:br w:type="page"/>
      </w:r>
    </w:p>
    <w:p>
      <w:pPr>
        <w:pStyle w:val="Normal"/>
        <w:jc w:val="center"/>
        <w:rPr>
          <w:b/>
          <w:sz w:val="24"/>
          <w:szCs w:val="24"/>
        </w:rPr>
      </w:pPr>
      <w:r>
        <w:rPr>
          <w:b/>
          <w:sz w:val="24"/>
          <w:szCs w:val="24"/>
        </w:rPr>
      </w:r>
    </w:p>
    <w:p>
      <w:pPr>
        <w:pStyle w:val="Normal"/>
        <w:widowControl w:val="false"/>
        <w:rPr>
          <w:i/>
          <w:i/>
          <w:sz w:val="22"/>
          <w:szCs w:val="22"/>
        </w:rPr>
      </w:pPr>
      <w:r>
        <w:rPr>
          <w:i/>
          <w:sz w:val="22"/>
          <w:szCs w:val="22"/>
        </w:rPr>
      </w:r>
    </w:p>
    <w:tbl>
      <w:tblPr>
        <w:tblW w:w="1457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286"/>
        <w:gridCol w:w="7283"/>
      </w:tblGrid>
      <w:tr>
        <w:trPr>
          <w:trHeight w:val="269" w:hRule="atLeast"/>
        </w:trPr>
        <w:tc>
          <w:tcPr>
            <w:tcW w:w="7286" w:type="dxa"/>
            <w:tcBorders/>
          </w:tcPr>
          <w:p>
            <w:pPr>
              <w:pStyle w:val="Normal"/>
              <w:widowControl w:val="false"/>
              <w:rPr>
                <w:b/>
                <w:sz w:val="24"/>
              </w:rPr>
            </w:pPr>
            <w:r>
              <w:rPr>
                <w:b/>
                <w:sz w:val="24"/>
              </w:rPr>
            </w:r>
          </w:p>
        </w:tc>
        <w:tc>
          <w:tcPr>
            <w:tcW w:w="7283" w:type="dxa"/>
            <w:tcBorders/>
          </w:tcPr>
          <w:p>
            <w:pPr>
              <w:pStyle w:val="Normal"/>
              <w:widowControl w:val="false"/>
              <w:rPr>
                <w:b/>
                <w:sz w:val="24"/>
              </w:rPr>
            </w:pPr>
            <w:r>
              <w:rPr>
                <w:b/>
                <w:sz w:val="24"/>
              </w:rPr>
            </w:r>
          </w:p>
        </w:tc>
      </w:tr>
    </w:tbl>
    <w:p>
      <w:pPr>
        <w:pStyle w:val="Normal"/>
        <w:rPr>
          <w:rFonts w:eastAsia="Calibri"/>
          <w:b/>
          <w:iCs/>
          <w:lang w:val="x-none" w:eastAsia="x-none"/>
        </w:rPr>
      </w:pPr>
      <w:r>
        <w:rPr>
          <w:rFonts w:eastAsia="Calibri"/>
          <w:b/>
          <w:iCs/>
          <w:lang w:val="x-none" w:eastAsia="x-none"/>
        </w:rPr>
      </w:r>
    </w:p>
    <w:p>
      <w:pPr>
        <w:pStyle w:val="Heading1"/>
        <w:numPr>
          <w:ilvl w:val="0"/>
          <w:numId w:val="28"/>
        </w:numPr>
        <w:jc w:val="both"/>
        <w:rPr>
          <w:iCs/>
          <w:caps/>
        </w:rPr>
      </w:pPr>
      <w:bookmarkStart w:id="29" w:name="_Toc51339699"/>
      <w:bookmarkStart w:id="30" w:name="_Toc46743519"/>
      <w:bookmarkStart w:id="31" w:name="_Toc54646413"/>
      <w:r>
        <w:rPr>
          <w:iCs/>
        </w:rPr>
        <w:t>Приложения</w:t>
      </w:r>
      <w:bookmarkEnd w:id="29"/>
      <w:bookmarkEnd w:id="30"/>
      <w:bookmarkEnd w:id="31"/>
    </w:p>
    <w:p>
      <w:pPr>
        <w:pStyle w:val="Normal"/>
        <w:tabs>
          <w:tab w:val="clear" w:pos="708"/>
          <w:tab w:val="left" w:pos="426" w:leader="none"/>
        </w:tabs>
        <w:spacing w:before="60" w:after="0"/>
        <w:contextualSpacing/>
        <w:jc w:val="both"/>
        <w:rPr>
          <w:bCs/>
          <w:iCs/>
          <w:sz w:val="24"/>
          <w:szCs w:val="24"/>
        </w:rPr>
      </w:pPr>
      <w:r>
        <w:rPr>
          <w:bCs/>
          <w:iCs/>
          <w:sz w:val="24"/>
          <w:szCs w:val="24"/>
        </w:rPr>
      </w:r>
    </w:p>
    <w:p>
      <w:pPr>
        <w:pStyle w:val="NormalWeb"/>
        <w:rPr>
          <w:sz w:val="28"/>
          <w:szCs w:val="28"/>
        </w:rPr>
      </w:pPr>
      <w:bookmarkStart w:id="32" w:name="_Toc421622541"/>
      <w:r>
        <w:rPr>
          <w:sz w:val="28"/>
          <w:szCs w:val="28"/>
        </w:rPr>
        <w:t>Приложение № 1. Технические требования на разработку, изготовление, поставку гидротурбины №5.</w:t>
      </w:r>
      <w:bookmarkEnd w:id="32"/>
    </w:p>
    <w:p>
      <w:pPr>
        <w:pStyle w:val="NormalWeb"/>
        <w:rPr>
          <w:sz w:val="28"/>
          <w:szCs w:val="28"/>
        </w:rPr>
      </w:pPr>
      <w:bookmarkStart w:id="33" w:name="_Toc421622542"/>
      <w:r>
        <w:rPr>
          <w:sz w:val="28"/>
          <w:szCs w:val="28"/>
        </w:rPr>
        <w:t>Приложение № 2. Требования на разработку, изготовление, поставку гидрогенератора №5.</w:t>
      </w:r>
      <w:bookmarkEnd w:id="33"/>
    </w:p>
    <w:p>
      <w:pPr>
        <w:pStyle w:val="NormalWeb"/>
        <w:rPr>
          <w:sz w:val="28"/>
          <w:szCs w:val="28"/>
        </w:rPr>
      </w:pPr>
      <w:bookmarkStart w:id="34" w:name="_Toc421622543"/>
      <w:r>
        <w:rPr>
          <w:sz w:val="28"/>
          <w:szCs w:val="28"/>
        </w:rPr>
        <w:t>Приложение № 3. Технические требования на поставку системы автоматизированного управления гидроагрегатом (САУ ГА)</w:t>
      </w:r>
      <w:bookmarkEnd w:id="34"/>
      <w:r>
        <w:rPr>
          <w:sz w:val="28"/>
          <w:szCs w:val="28"/>
        </w:rPr>
        <w:t>, РЗА ГА.</w:t>
      </w:r>
    </w:p>
    <w:p>
      <w:pPr>
        <w:pStyle w:val="NormalWeb"/>
        <w:rPr>
          <w:sz w:val="28"/>
          <w:szCs w:val="28"/>
        </w:rPr>
      </w:pPr>
      <w:bookmarkStart w:id="35" w:name="_Toc421622544"/>
      <w:bookmarkEnd w:id="35"/>
      <w:r>
        <w:rPr>
          <w:sz w:val="28"/>
          <w:szCs w:val="28"/>
        </w:rPr>
        <w:t>Приложение № 4. Технические требования на разработку рабочей документации по замене оборудования гидротурбинной установки ст. №5.</w:t>
      </w:r>
    </w:p>
    <w:p>
      <w:pPr>
        <w:pStyle w:val="NormalWeb"/>
        <w:rPr>
          <w:sz w:val="28"/>
          <w:szCs w:val="28"/>
        </w:rPr>
      </w:pPr>
      <w:r>
        <w:rPr>
          <w:sz w:val="28"/>
          <w:szCs w:val="28"/>
        </w:rPr>
        <w:t>Приложение № 5. Технические требования на разработку рабочей документации по замене гидрогенераторной установки ст. №5.</w:t>
      </w:r>
    </w:p>
    <w:p>
      <w:pPr>
        <w:pStyle w:val="NormalWeb"/>
        <w:rPr>
          <w:sz w:val="28"/>
          <w:szCs w:val="28"/>
        </w:rPr>
      </w:pPr>
      <w:r>
        <w:rPr>
          <w:sz w:val="28"/>
          <w:szCs w:val="28"/>
        </w:rPr>
        <w:t>Приложение № 6. Технические требования на разработку рабочей документации по замене системы автоматизированного управления гидроагрегатом (САУ ГА) РЗА ГА.</w:t>
      </w:r>
    </w:p>
    <w:p>
      <w:pPr>
        <w:pStyle w:val="NormalWeb"/>
        <w:rPr>
          <w:sz w:val="28"/>
          <w:szCs w:val="28"/>
        </w:rPr>
      </w:pPr>
      <w:r>
        <w:rPr>
          <w:sz w:val="28"/>
          <w:szCs w:val="28"/>
        </w:rPr>
        <w:t>Приложение № 7. Технические требования на выполнение строительно-монтажных работ по замене гидроагрегата №5 (гидротурбина).</w:t>
      </w:r>
    </w:p>
    <w:p>
      <w:pPr>
        <w:pStyle w:val="NormalWeb"/>
        <w:rPr>
          <w:sz w:val="28"/>
          <w:szCs w:val="28"/>
        </w:rPr>
      </w:pPr>
      <w:r>
        <w:rPr>
          <w:sz w:val="28"/>
          <w:szCs w:val="28"/>
        </w:rPr>
        <w:t>Приложение № 8. Технические требования на выполнение строительно-монтажных работ по замене гидроагрегата №5 (генератор с заменой токопроводов 13.8 кВ, ДГК, вспомогательного оборудования).</w:t>
      </w:r>
    </w:p>
    <w:p>
      <w:pPr>
        <w:pStyle w:val="NormalWeb"/>
        <w:rPr>
          <w:sz w:val="28"/>
          <w:szCs w:val="28"/>
        </w:rPr>
      </w:pPr>
      <w:r>
        <w:rPr>
          <w:sz w:val="28"/>
          <w:szCs w:val="28"/>
        </w:rPr>
        <w:t>Приложение № 9. Технические требования на выполнение строительно-монтажных работ по замене гидроагрегата №5 (система автоматического управления гидроагрегатом (САУ ГА), релейная защита и автоматика (РЗА ГА)).</w:t>
      </w:r>
    </w:p>
    <w:p>
      <w:pPr>
        <w:pStyle w:val="NormalWeb"/>
        <w:rPr>
          <w:sz w:val="28"/>
          <w:szCs w:val="28"/>
        </w:rPr>
      </w:pPr>
      <w:r>
        <w:rPr>
          <w:sz w:val="28"/>
          <w:szCs w:val="28"/>
        </w:rPr>
        <w:t>Приложение № 10. Технические требования на выполнение строительно-монтажных работ по замене гидроагрегата №5 (строительная часть).</w:t>
      </w:r>
    </w:p>
    <w:p>
      <w:pPr>
        <w:pStyle w:val="NormalWeb"/>
        <w:rPr>
          <w:sz w:val="28"/>
          <w:szCs w:val="28"/>
        </w:rPr>
      </w:pPr>
      <w:r>
        <w:rPr>
          <w:sz w:val="28"/>
          <w:szCs w:val="28"/>
        </w:rPr>
        <w:t>Приложение № 11. Перечень нормативных правовых и иных актов и нормативно технических документов.</w:t>
      </w:r>
    </w:p>
    <w:p>
      <w:pPr>
        <w:pStyle w:val="NormalWeb"/>
        <w:rPr>
          <w:sz w:val="28"/>
          <w:szCs w:val="28"/>
        </w:rPr>
      </w:pPr>
      <w:bookmarkStart w:id="36" w:name="_Toc421622548"/>
      <w:bookmarkStart w:id="37" w:name="_Toc421622544_Копия_1"/>
      <w:bookmarkEnd w:id="37"/>
      <w:r>
        <w:rPr>
          <w:sz w:val="28"/>
          <w:szCs w:val="28"/>
        </w:rPr>
        <w:t>Приложение № 12. Требования к оформлению и составлению сметной документации на выполнение проектных и изыскательских работ.</w:t>
      </w:r>
      <w:bookmarkEnd w:id="36"/>
    </w:p>
    <w:p>
      <w:pPr>
        <w:pStyle w:val="NormalWeb"/>
        <w:rPr>
          <w:sz w:val="28"/>
          <w:szCs w:val="28"/>
        </w:rPr>
      </w:pPr>
      <w:r>
        <w:rPr>
          <w:sz w:val="28"/>
          <w:szCs w:val="28"/>
        </w:rPr>
        <w:t>Приложение № 13. Требования к оформлению и составлению сметной документации на работы по программе ремонтов, реконструкции и техническому перевооружению.</w:t>
      </w:r>
    </w:p>
    <w:p>
      <w:pPr>
        <w:pStyle w:val="NormalWeb"/>
        <w:rPr>
          <w:sz w:val="28"/>
          <w:szCs w:val="28"/>
        </w:rPr>
      </w:pPr>
      <w:r>
        <w:rPr>
          <w:sz w:val="28"/>
          <w:szCs w:val="28"/>
        </w:rPr>
        <w:t>Приложение № 14. Инструкция о пропускном и внутриобъектовом режимах филиала ПАО «РусГидро» - «Нижегородская ГЭС».</w:t>
      </w:r>
    </w:p>
    <w:p>
      <w:pPr>
        <w:pStyle w:val="NormalWeb"/>
        <w:rPr>
          <w:sz w:val="28"/>
          <w:szCs w:val="28"/>
        </w:rPr>
      </w:pPr>
      <w:r>
        <w:rPr>
          <w:sz w:val="28"/>
          <w:szCs w:val="28"/>
        </w:rPr>
        <w:t>Приложение № 15. Инструкцией по обращению с отходами производства и потребления Филиала ПАО «РусГидро» - «Нижегородская ГЭС».</w:t>
      </w:r>
    </w:p>
    <w:p>
      <w:pPr>
        <w:pStyle w:val="NormalWeb"/>
        <w:rPr>
          <w:sz w:val="28"/>
          <w:szCs w:val="28"/>
        </w:rPr>
      </w:pPr>
      <w:r>
        <w:rPr>
          <w:sz w:val="28"/>
          <w:szCs w:val="28"/>
        </w:rPr>
        <w:t>Приложение № 16. Требования по разделению (разборке/резке) металлолома на один ГА.</w:t>
      </w:r>
    </w:p>
    <w:p>
      <w:pPr>
        <w:pStyle w:val="NormalWeb"/>
        <w:rPr>
          <w:sz w:val="28"/>
          <w:szCs w:val="28"/>
        </w:rPr>
      </w:pPr>
      <w:r>
        <w:rPr>
          <w:sz w:val="28"/>
          <w:szCs w:val="28"/>
        </w:rPr>
        <w:t>Приложение № 17. Перечень передаваемых Давальческих материалов и запасных частей.</w:t>
      </w:r>
    </w:p>
    <w:p>
      <w:pPr>
        <w:pStyle w:val="NormalWeb"/>
        <w:rPr>
          <w:sz w:val="28"/>
          <w:szCs w:val="28"/>
        </w:rPr>
      </w:pPr>
      <w:r>
        <w:rPr>
          <w:sz w:val="28"/>
          <w:szCs w:val="28"/>
        </w:rPr>
        <w:t>Приложение № 18. Перечень работ при выполнении которых требуется применять специальную одежду для защиты от электрической дуги.</w:t>
      </w:r>
    </w:p>
    <w:p>
      <w:pPr>
        <w:pStyle w:val="NormalWeb"/>
        <w:rPr>
          <w:sz w:val="28"/>
          <w:szCs w:val="28"/>
        </w:rPr>
      </w:pPr>
      <w:r>
        <w:rPr>
          <w:sz w:val="28"/>
          <w:szCs w:val="28"/>
        </w:rPr>
        <w:t>Приложение № 19. Перечень испытаний, обследований, измерений и контроля.</w:t>
      </w:r>
    </w:p>
    <w:p>
      <w:pPr>
        <w:pStyle w:val="NormalWeb"/>
        <w:rPr>
          <w:sz w:val="28"/>
          <w:szCs w:val="28"/>
        </w:rPr>
      </w:pPr>
      <w:r>
        <w:rPr>
          <w:sz w:val="28"/>
          <w:szCs w:val="28"/>
        </w:rPr>
        <w:t>Приложение № 20 Методика выполнения процесса взаимодействия персонала филиала ПАО «РусГидро» - «Нижегородская ГЭС» и Чебоксарского филиала АО «Гидроремонт-ВКК» г. Новочебоксарск, при эксплуатации подъемных сооружений.</w:t>
      </w:r>
    </w:p>
    <w:p>
      <w:pPr>
        <w:pStyle w:val="NormalWeb"/>
        <w:rPr>
          <w:sz w:val="28"/>
          <w:szCs w:val="28"/>
        </w:rPr>
      </w:pPr>
      <w:r>
        <w:rPr>
          <w:sz w:val="28"/>
          <w:szCs w:val="28"/>
        </w:rPr>
        <w:t>Приложение № 21 Регламент о допуске персонала подрядных организаций на объекты ПАО «РусГидро» от 28.04.2023 №300.</w:t>
      </w:r>
    </w:p>
    <w:p>
      <w:pPr>
        <w:pStyle w:val="NormalWeb"/>
        <w:rPr>
          <w:sz w:val="28"/>
          <w:szCs w:val="28"/>
        </w:rPr>
      </w:pPr>
      <w:r>
        <w:rPr>
          <w:sz w:val="28"/>
          <w:szCs w:val="28"/>
        </w:rPr>
        <w:t>Приложение № 22 Распоряжение от 22.01.2024 НЖГЭС/92-5р «О требованиях при обращении с ломом и отходами черных и цветных металлов»</w:t>
      </w:r>
      <w:bookmarkStart w:id="38" w:name="_Hlk48224758"/>
      <w:bookmarkEnd w:id="38"/>
    </w:p>
    <w:p>
      <w:pPr>
        <w:pStyle w:val="NormalWeb"/>
        <w:rPr>
          <w:bCs/>
          <w:iCs/>
          <w:sz w:val="28"/>
          <w:szCs w:val="28"/>
          <w:shd w:fill="FFFF99" w:val="clear"/>
        </w:rPr>
      </w:pPr>
      <w:r>
        <w:rPr>
          <w:sz w:val="28"/>
          <w:szCs w:val="28"/>
        </w:rPr>
        <w:t>Приложение № 23 Шаблон плана качества изготовления составных узлов статора на заводе изготовителе.</w:t>
      </w:r>
    </w:p>
    <w:p>
      <w:pPr>
        <w:pStyle w:val="NormalWeb"/>
        <w:rPr>
          <w:sz w:val="28"/>
          <w:szCs w:val="28"/>
        </w:rPr>
      </w:pPr>
      <w:r>
        <w:rPr>
          <w:sz w:val="28"/>
          <w:szCs w:val="28"/>
        </w:rPr>
        <w:t>Приложение № 2</w:t>
      </w:r>
      <w:r>
        <w:rPr>
          <w:sz w:val="28"/>
          <w:szCs w:val="28"/>
          <w:lang w:val="en-US"/>
        </w:rPr>
        <w:t>4</w:t>
      </w:r>
      <w:r>
        <w:rPr>
          <w:sz w:val="28"/>
          <w:szCs w:val="28"/>
        </w:rPr>
        <w:t xml:space="preserve"> Спецификация оборудования.</w:t>
      </w:r>
    </w:p>
    <w:p>
      <w:pPr>
        <w:pStyle w:val="NormalWeb"/>
        <w:spacing w:before="280" w:after="280"/>
        <w:rPr>
          <w:bCs/>
          <w:iCs/>
          <w:sz w:val="28"/>
          <w:szCs w:val="28"/>
          <w:shd w:fill="FFFF99" w:val="clear"/>
        </w:rPr>
      </w:pPr>
      <w:r>
        <w:rPr>
          <w:bCs/>
          <w:iCs/>
          <w:sz w:val="28"/>
          <w:szCs w:val="28"/>
          <w:shd w:fill="FFFF99" w:val="clear"/>
        </w:rPr>
      </w:r>
    </w:p>
    <w:sectPr>
      <w:headerReference w:type="default" r:id="rId7"/>
      <w:headerReference w:type="first" r:id="rId8"/>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PT Sans">
    <w:charset w:val="01"/>
    <w:family w:val="swiss"/>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19</w:t>
    </w:r>
    <w:r>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54</w:t>
    </w:r>
    <w: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1"/>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b w:val="false"/>
      </w:rPr>
    </w:lvl>
    <w:lvl w:ilvl="4">
      <w:start w:val="1"/>
      <w:numFmt w:val="decimal"/>
      <w:lvlText w:val=" %1.%2.%3.%4.%5 "/>
      <w:lvlJc w:val="left"/>
      <w:pPr>
        <w:tabs>
          <w:tab w:val="num" w:pos="360"/>
        </w:tabs>
        <w:ind w:left="360" w:hanging="360"/>
      </w:pPr>
      <w:rPr>
        <w:b w:val="false"/>
      </w:rPr>
    </w:lvl>
    <w:lvl w:ilvl="5">
      <w:start w:val="1"/>
      <w:numFmt w:val="decimal"/>
      <w:lvlText w:val=" %1.%2.%3.%4.%5.%6 "/>
      <w:lvlJc w:val="left"/>
      <w:pPr>
        <w:tabs>
          <w:tab w:val="num" w:pos="0"/>
        </w:tabs>
        <w:ind w:left="2736" w:hanging="936"/>
      </w:pPr>
      <w:rPr/>
    </w:lvl>
    <w:lvl w:ilvl="6">
      <w:start w:val="1"/>
      <w:numFmt w:val="decimal"/>
      <w:lvlText w:val=" %1.%2.%3.%4.%5.%6.%7 "/>
      <w:lvlJc w:val="left"/>
      <w:pPr>
        <w:tabs>
          <w:tab w:val="num" w:pos="0"/>
        </w:tabs>
        <w:ind w:left="3240" w:hanging="1080"/>
      </w:pPr>
      <w:rPr/>
    </w:lvl>
    <w:lvl w:ilvl="7">
      <w:start w:val="1"/>
      <w:numFmt w:val="decimal"/>
      <w:lvlText w:val=" %1.%2.%3.%4.%5.%6.%7.%8 "/>
      <w:lvlJc w:val="left"/>
      <w:pPr>
        <w:tabs>
          <w:tab w:val="num" w:pos="0"/>
        </w:tabs>
        <w:ind w:left="3744" w:hanging="1224"/>
      </w:pPr>
      <w:rPr/>
    </w:lvl>
    <w:lvl w:ilvl="8">
      <w:start w:val="1"/>
      <w:numFmt w:val="decimal"/>
      <w:lvlText w:val=" %1.%2.%3.%4.%5.%6.%7.%8.%9 "/>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lvl>
    <w:lvl w:ilvl="6">
      <w:start w:val="1"/>
      <w:numFmt w:val="none"/>
      <w:suff w:val="nothing"/>
      <w:lvlText w:val="%7"/>
      <w:lvlJc w:val="left"/>
      <w:pPr>
        <w:tabs>
          <w:tab w:val="num" w:pos="0"/>
        </w:tabs>
        <w:ind w:left="1701"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0"/>
        </w:tabs>
        <w:ind w:left="1224" w:hanging="504"/>
      </w:pPr>
      <w:rPr>
        <w:sz w:val="28"/>
        <w:szCs w:val="28"/>
      </w:rPr>
    </w:lvl>
    <w:lvl w:ilvl="3">
      <w:start w:val="1"/>
      <w:numFmt w:val="decimal"/>
      <w:lvlText w:val="%1.%2.%3.%4."/>
      <w:lvlJc w:val="left"/>
      <w:pPr>
        <w:tabs>
          <w:tab w:val="num" w:pos="0"/>
        </w:tabs>
        <w:ind w:left="1728" w:hanging="648"/>
      </w:pPr>
      <w:rPr>
        <w:b w:val="false"/>
        <w:lang w:val="ru-RU"/>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360"/>
        </w:tabs>
        <w:ind w:left="360" w:hanging="360"/>
      </w:pPr>
      <w:rPr/>
    </w:lvl>
    <w:lvl w:ilvl="2">
      <w:start w:val="1"/>
      <w:numFmt w:val="decimal"/>
      <w:lvlText w:val="%3."/>
      <w:lvlJc w:val="left"/>
      <w:pPr>
        <w:tabs>
          <w:tab w:val="num" w:pos="360"/>
        </w:tabs>
        <w:ind w:left="360" w:hanging="360"/>
      </w:pPr>
      <w:rPr/>
    </w:lvl>
    <w:lvl w:ilvl="3">
      <w:start w:val="1"/>
      <w:numFmt w:val="decimal"/>
      <w:lvlText w:val="%4."/>
      <w:lvlJc w:val="left"/>
      <w:pPr>
        <w:tabs>
          <w:tab w:val="num" w:pos="360"/>
        </w:tabs>
        <w:ind w:left="36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450" w:hanging="450"/>
      </w:pPr>
      <w:rPr>
        <w:b/>
      </w:rPr>
    </w:lvl>
    <w:lvl w:ilvl="1">
      <w:start w:val="3"/>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val="false"/>
        <w:lang w:val="ru-RU"/>
      </w:rPr>
    </w:lvl>
    <w:lvl w:ilvl="3">
      <w:start w:val="1"/>
      <w:numFmt w:val="decimal"/>
      <w:lvlText w:val="%1.%2.%3.%4."/>
      <w:lvlJc w:val="left"/>
      <w:pPr>
        <w:tabs>
          <w:tab w:val="num" w:pos="0"/>
        </w:tabs>
        <w:ind w:left="1080" w:hanging="108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9">
    <w:lvl w:ilvl="0">
      <w:start w:val="1"/>
      <w:numFmt w:val="decimal"/>
      <w:lvlText w:val="%1."/>
      <w:lvlJc w:val="left"/>
      <w:pPr>
        <w:tabs>
          <w:tab w:val="num" w:pos="0"/>
        </w:tabs>
        <w:ind w:left="450" w:hanging="450"/>
      </w:pPr>
      <w:rPr/>
    </w:lvl>
    <w:lvl w:ilvl="1">
      <w:start w:val="5"/>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0">
    <w:lvl w:ilvl="0">
      <w:start w:val="1"/>
      <w:numFmt w:val="decimal"/>
      <w:lvlText w:val="%1."/>
      <w:lvlJc w:val="left"/>
      <w:pPr>
        <w:tabs>
          <w:tab w:val="num" w:pos="0"/>
        </w:tabs>
        <w:ind w:left="885" w:hanging="885"/>
      </w:pPr>
      <w:rPr/>
    </w:lvl>
    <w:lvl w:ilvl="1">
      <w:start w:val="6"/>
      <w:numFmt w:val="decimal"/>
      <w:lvlText w:val="%1.%2."/>
      <w:lvlJc w:val="left"/>
      <w:pPr>
        <w:tabs>
          <w:tab w:val="num" w:pos="0"/>
        </w:tabs>
        <w:ind w:left="885" w:hanging="885"/>
      </w:pPr>
      <w:rPr/>
    </w:lvl>
    <w:lvl w:ilvl="2">
      <w:start w:val="1"/>
      <w:numFmt w:val="decimal"/>
      <w:lvlText w:val="%1.%2.%3."/>
      <w:lvlJc w:val="left"/>
      <w:pPr>
        <w:tabs>
          <w:tab w:val="num" w:pos="0"/>
        </w:tabs>
        <w:ind w:left="885" w:hanging="885"/>
      </w:pPr>
      <w:rPr>
        <w:sz w:val="28"/>
        <w:b w:val="false"/>
        <w:szCs w:val="28"/>
      </w:rPr>
    </w:lvl>
    <w:lvl w:ilvl="3">
      <w:start w:val="5"/>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1">
    <w:lvl w:ilvl="0">
      <w:start w:val="2"/>
      <w:numFmt w:val="decimal"/>
      <w:lvlText w:val="%1."/>
      <w:lvlJc w:val="left"/>
      <w:pPr>
        <w:tabs>
          <w:tab w:val="num" w:pos="0"/>
        </w:tabs>
        <w:ind w:left="1020" w:hanging="1020"/>
      </w:pPr>
      <w:rPr>
        <w:b/>
      </w:rPr>
    </w:lvl>
    <w:lvl w:ilvl="1">
      <w:start w:val="6"/>
      <w:numFmt w:val="decimal"/>
      <w:lvlText w:val="%1.%2."/>
      <w:lvlJc w:val="left"/>
      <w:pPr>
        <w:tabs>
          <w:tab w:val="num" w:pos="0"/>
        </w:tabs>
        <w:ind w:left="1020" w:hanging="1020"/>
      </w:pPr>
      <w:rPr/>
    </w:lvl>
    <w:lvl w:ilvl="2">
      <w:start w:val="15"/>
      <w:numFmt w:val="decimal"/>
      <w:lvlText w:val="%1.%2.%3."/>
      <w:lvlJc w:val="left"/>
      <w:pPr>
        <w:tabs>
          <w:tab w:val="num" w:pos="0"/>
        </w:tabs>
        <w:ind w:left="1020" w:hanging="1020"/>
      </w:pPr>
      <w:rPr/>
    </w:lvl>
    <w:lvl w:ilvl="3">
      <w:start w:val="1"/>
      <w:numFmt w:val="decimal"/>
      <w:lvlText w:val="%1.%2.%3.%4."/>
      <w:lvlJc w:val="left"/>
      <w:pPr>
        <w:tabs>
          <w:tab w:val="num" w:pos="0"/>
        </w:tabs>
        <w:ind w:left="1080" w:hanging="1080"/>
      </w:pPr>
      <w:rPr>
        <w:sz w:val="28"/>
        <w:szCs w:val="28"/>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8"/>
        <w:szCs w:val="28"/>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1020" w:hanging="1020"/>
      </w:pPr>
      <w:rPr/>
    </w:lvl>
    <w:lvl w:ilvl="1">
      <w:start w:val="6"/>
      <w:numFmt w:val="decimal"/>
      <w:lvlText w:val="%1.%2."/>
      <w:lvlJc w:val="left"/>
      <w:pPr>
        <w:tabs>
          <w:tab w:val="num" w:pos="0"/>
        </w:tabs>
        <w:ind w:left="1020" w:hanging="1020"/>
      </w:pPr>
      <w:rPr/>
    </w:lvl>
    <w:lvl w:ilvl="2">
      <w:start w:val="15"/>
      <w:numFmt w:val="decimal"/>
      <w:lvlText w:val="%1.%2.%3."/>
      <w:lvlJc w:val="left"/>
      <w:pPr>
        <w:tabs>
          <w:tab w:val="num" w:pos="0"/>
        </w:tabs>
        <w:ind w:left="1020" w:hanging="1020"/>
      </w:pPr>
      <w:rPr/>
    </w:lvl>
    <w:lvl w:ilvl="3">
      <w:start w:val="1"/>
      <w:numFmt w:val="decimal"/>
      <w:lvlText w:val="%1.%2.%3.%4."/>
      <w:lvlJc w:val="left"/>
      <w:pPr>
        <w:tabs>
          <w:tab w:val="num" w:pos="0"/>
        </w:tabs>
        <w:ind w:left="1080" w:hanging="1080"/>
      </w:pPr>
      <w:rPr>
        <w:sz w:val="28"/>
        <w:szCs w:val="28"/>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4">
    <w:lvl w:ilvl="0">
      <w:start w:val="1"/>
      <w:numFmt w:val="decimal"/>
      <w:lvlText w:val="%1."/>
      <w:lvlJc w:val="left"/>
      <w:pPr>
        <w:tabs>
          <w:tab w:val="num" w:pos="0"/>
        </w:tabs>
        <w:ind w:left="360" w:hanging="360"/>
      </w:pPr>
      <w:rPr>
        <w:sz w:val="28"/>
        <w:b w:val="false"/>
        <w:szCs w:val="28"/>
        <w:bCs w:val="false"/>
      </w:rPr>
    </w:lvl>
    <w:lvl w:ilvl="1">
      <w:start w:val="3"/>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0"/>
        </w:tabs>
        <w:ind w:left="1224" w:hanging="504"/>
      </w:pPr>
      <w:rPr>
        <w:sz w:val="28"/>
        <w:szCs w:val="28"/>
      </w:rPr>
    </w:lvl>
    <w:lvl w:ilvl="3">
      <w:start w:val="1"/>
      <w:numFmt w:val="decimal"/>
      <w:lvlText w:val="%1.%2.%3.%4."/>
      <w:lvlJc w:val="left"/>
      <w:pPr>
        <w:tabs>
          <w:tab w:val="num" w:pos="0"/>
        </w:tabs>
        <w:ind w:left="1728" w:hanging="648"/>
      </w:pPr>
      <w:rPr>
        <w:b w:val="false"/>
        <w:lang w:val="ru-RU"/>
      </w:rPr>
    </w:lvl>
    <w:lvl w:ilvl="4">
      <w:start w:val="1"/>
      <w:numFmt w:val="decimal"/>
      <w:lvlText w:val="%1.%2.%3.%4.%5."/>
      <w:lvlJc w:val="left"/>
      <w:pPr>
        <w:tabs>
          <w:tab w:val="num" w:pos="1418"/>
        </w:tabs>
        <w:ind w:left="2232" w:hanging="223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6"/>
      <w:numFmt w:val="decimal"/>
      <w:lvlText w:val="%1."/>
      <w:lvlJc w:val="left"/>
      <w:pPr>
        <w:tabs>
          <w:tab w:val="num" w:pos="0"/>
        </w:tabs>
        <w:ind w:left="360" w:hanging="360"/>
      </w:pPr>
      <w:rPr>
        <w:sz w:val="28"/>
        <w:b/>
        <w:szCs w:val="28"/>
        <w:bCs w:val="false"/>
      </w:rPr>
    </w:lvl>
    <w:lvl w:ilvl="1">
      <w:start w:val="1"/>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0"/>
        </w:tabs>
        <w:ind w:left="1224" w:hanging="504"/>
      </w:pPr>
      <w:rPr>
        <w:sz w:val="28"/>
        <w:szCs w:val="28"/>
      </w:rPr>
    </w:lvl>
    <w:lvl w:ilvl="3">
      <w:start w:val="1"/>
      <w:numFmt w:val="decimal"/>
      <w:lvlText w:val="%1.%2.%3.%4."/>
      <w:lvlJc w:val="left"/>
      <w:pPr>
        <w:tabs>
          <w:tab w:val="num" w:pos="0"/>
        </w:tabs>
        <w:ind w:left="1728" w:hanging="648"/>
      </w:pPr>
      <w:rPr>
        <w:b w:val="false"/>
        <w:lang w:val="ru-RU"/>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3"/>
      <w:numFmt w:val="decimal"/>
      <w:lvlText w:val="%1."/>
      <w:lvlJc w:val="left"/>
      <w:pPr>
        <w:tabs>
          <w:tab w:val="num" w:pos="0"/>
        </w:tabs>
        <w:ind w:left="810" w:hanging="810"/>
      </w:pPr>
      <w:rPr/>
    </w:lvl>
    <w:lvl w:ilvl="1">
      <w:start w:val="10"/>
      <w:numFmt w:val="decimal"/>
      <w:lvlText w:val="%1.%2."/>
      <w:lvlJc w:val="left"/>
      <w:pPr>
        <w:tabs>
          <w:tab w:val="num" w:pos="0"/>
        </w:tabs>
        <w:ind w:left="810" w:hanging="810"/>
      </w:pPr>
      <w:rPr/>
    </w:lvl>
    <w:lvl w:ilvl="2">
      <w:start w:val="1"/>
      <w:numFmt w:val="decimal"/>
      <w:lvlText w:val="%1.%2.%3."/>
      <w:lvlJc w:val="left"/>
      <w:pPr>
        <w:tabs>
          <w:tab w:val="num" w:pos="0"/>
        </w:tabs>
        <w:ind w:left="810" w:hanging="81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7">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680"/>
        </w:tabs>
        <w:ind w:left="1224" w:hanging="1224"/>
      </w:pPr>
      <w:rPr>
        <w:sz w:val="28"/>
        <w:szCs w:val="28"/>
      </w:rPr>
    </w:lvl>
    <w:lvl w:ilvl="3">
      <w:start w:val="1"/>
      <w:numFmt w:val="decimal"/>
      <w:lvlText w:val="%1.%2.%3.%4."/>
      <w:lvlJc w:val="left"/>
      <w:pPr>
        <w:tabs>
          <w:tab w:val="num" w:pos="0"/>
        </w:tabs>
        <w:ind w:left="1728" w:hanging="648"/>
      </w:pPr>
      <w:rPr>
        <w:b w:val="false"/>
        <w:lang w:val="ru-RU"/>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8">
    <w:lvl w:ilvl="0">
      <w:start w:val="2"/>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0"/>
        </w:tabs>
        <w:ind w:left="1224" w:hanging="504"/>
      </w:pPr>
      <w:rPr>
        <w:sz w:val="28"/>
        <w:szCs w:val="28"/>
      </w:rPr>
    </w:lvl>
    <w:lvl w:ilvl="3">
      <w:start w:val="1"/>
      <w:numFmt w:val="decimal"/>
      <w:lvlText w:val="%1.%2.%3.%4."/>
      <w:lvlJc w:val="left"/>
      <w:pPr>
        <w:tabs>
          <w:tab w:val="num" w:pos="0"/>
        </w:tabs>
        <w:ind w:left="1728" w:hanging="648"/>
      </w:pPr>
      <w:rPr>
        <w:b w:val="false"/>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9">
    <w:lvl w:ilvl="0">
      <w:start w:val="3"/>
      <w:numFmt w:val="decimal"/>
      <w:lvlText w:val="%1."/>
      <w:lvlJc w:val="left"/>
      <w:pPr>
        <w:tabs>
          <w:tab w:val="num" w:pos="0"/>
        </w:tabs>
        <w:ind w:left="810" w:hanging="810"/>
      </w:pPr>
      <w:rPr/>
    </w:lvl>
    <w:lvl w:ilvl="1">
      <w:start w:val="1"/>
      <w:numFmt w:val="decimal"/>
      <w:lvlText w:val="%1.%2."/>
      <w:lvlJc w:val="left"/>
      <w:pPr>
        <w:tabs>
          <w:tab w:val="num" w:pos="0"/>
        </w:tabs>
        <w:ind w:left="810" w:hanging="810"/>
      </w:pPr>
      <w:rPr/>
    </w:lvl>
    <w:lvl w:ilvl="2">
      <w:start w:val="1"/>
      <w:numFmt w:val="decimal"/>
      <w:lvlText w:val="%1.%2.%3."/>
      <w:lvlJc w:val="left"/>
      <w:pPr>
        <w:tabs>
          <w:tab w:val="num" w:pos="0"/>
        </w:tabs>
        <w:ind w:left="810" w:hanging="81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0">
    <w:lvl w:ilvl="0">
      <w:start w:val="1"/>
      <w:numFmt w:val="decimal"/>
      <w:lvlText w:val="%1."/>
      <w:lvlJc w:val="left"/>
      <w:pPr>
        <w:tabs>
          <w:tab w:val="num" w:pos="0"/>
        </w:tabs>
        <w:ind w:left="360" w:hanging="360"/>
      </w:pPr>
      <w:rPr>
        <w:sz w:val="24"/>
        <w:b/>
        <w:szCs w:val="24"/>
        <w:bCs w:val="false"/>
      </w:rPr>
    </w:lvl>
    <w:lvl w:ilvl="1">
      <w:start w:val="4"/>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0"/>
        </w:tabs>
        <w:ind w:left="1224" w:hanging="504"/>
      </w:pPr>
      <w:rPr>
        <w:sz w:val="28"/>
        <w:szCs w:val="28"/>
      </w:rPr>
    </w:lvl>
    <w:lvl w:ilvl="3">
      <w:start w:val="1"/>
      <w:numFmt w:val="decimal"/>
      <w:lvlText w:val="%1.%2.%3.%4."/>
      <w:lvlJc w:val="left"/>
      <w:pPr>
        <w:tabs>
          <w:tab w:val="num" w:pos="0"/>
        </w:tabs>
        <w:ind w:left="1728" w:hanging="648"/>
      </w:pPr>
      <w:rPr>
        <w:b w:val="false"/>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1">
    <w:lvl w:ilvl="0">
      <w:start w:val="1"/>
      <w:numFmt w:val="decimal"/>
      <w:lvlText w:val="%1."/>
      <w:lvlJc w:val="left"/>
      <w:pPr>
        <w:tabs>
          <w:tab w:val="num" w:pos="0"/>
        </w:tabs>
        <w:ind w:left="360" w:hanging="360"/>
      </w:pPr>
      <w:rPr>
        <w:sz w:val="24"/>
        <w:b/>
        <w:szCs w:val="24"/>
        <w:bCs w:val="false"/>
      </w:rPr>
    </w:lvl>
    <w:lvl w:ilvl="1">
      <w:start w:val="2"/>
      <w:numFmt w:val="decimal"/>
      <w:lvlText w:val="%1.%2."/>
      <w:lvlJc w:val="left"/>
      <w:pPr>
        <w:tabs>
          <w:tab w:val="num" w:pos="0"/>
        </w:tabs>
        <w:ind w:left="792" w:hanging="432"/>
      </w:pPr>
      <w:rPr>
        <w:sz w:val="28"/>
        <w:b w:val="false"/>
        <w:szCs w:val="28"/>
        <w:bCs/>
      </w:rPr>
    </w:lvl>
    <w:lvl w:ilvl="2">
      <w:start w:val="1"/>
      <w:numFmt w:val="decimal"/>
      <w:lvlText w:val="%1.%2.%3."/>
      <w:lvlJc w:val="left"/>
      <w:pPr>
        <w:tabs>
          <w:tab w:val="num" w:pos="0"/>
        </w:tabs>
        <w:ind w:left="1224" w:hanging="504"/>
      </w:pPr>
      <w:rPr>
        <w:sz w:val="28"/>
        <w:szCs w:val="28"/>
      </w:rPr>
    </w:lvl>
    <w:lvl w:ilvl="3">
      <w:start w:val="1"/>
      <w:numFmt w:val="decimal"/>
      <w:lvlText w:val="%1.%2.%3.%4."/>
      <w:lvlJc w:val="left"/>
      <w:pPr>
        <w:tabs>
          <w:tab w:val="num" w:pos="0"/>
        </w:tabs>
        <w:ind w:left="1728" w:hanging="648"/>
      </w:pPr>
      <w:rPr>
        <w:b w:val="false"/>
        <w:lang w:val="ru-RU"/>
      </w:rPr>
    </w:lvl>
    <w:lvl w:ilvl="4">
      <w:start w:val="2"/>
      <w:numFmt w:val="decimal"/>
      <w:lvlText w:val="%1.3.%3.8.%5."/>
      <w:lvlJc w:val="left"/>
      <w:pPr>
        <w:tabs>
          <w:tab w:val="num" w:pos="1418"/>
        </w:tabs>
        <w:ind w:left="2232" w:hanging="2232"/>
      </w:pPr>
      <w:rPr>
        <w:sz w:val="28"/>
        <w:szCs w:val="28"/>
        <w:rFonts w:ascii="Times New Roman" w:hAnsi="Times New Roman" w:cs="Times New Roman"/>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2">
    <w:lvl w:ilvl="0">
      <w:start w:val="1"/>
      <w:numFmt w:val="decimal"/>
      <w:lvlText w:val="%1."/>
      <w:lvlJc w:val="left"/>
      <w:pPr>
        <w:tabs>
          <w:tab w:val="num" w:pos="0"/>
        </w:tabs>
        <w:ind w:left="720" w:hanging="360"/>
      </w:pPr>
      <w:rPr>
        <w:sz w:val="28"/>
        <w:u w:val="none"/>
        <w:b w:val="false"/>
        <w:szCs w:val="28"/>
        <w:rFonts w:ascii="Times New Roman" w:hAnsi="Times New Roman" w:cs="Times New Roman"/>
        <w:color w:val="auto"/>
      </w:rPr>
    </w:lvl>
    <w:lvl w:ilvl="1">
      <w:start w:val="1"/>
      <w:numFmt w:val="decimal"/>
      <w:lvlText w:val="%1.%2."/>
      <w:lvlJc w:val="left"/>
      <w:pPr>
        <w:tabs>
          <w:tab w:val="num" w:pos="0"/>
        </w:tabs>
        <w:ind w:left="1080" w:hanging="72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440"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3">
    <w:lvl w:ilvl="0">
      <w:start w:val="2"/>
      <w:numFmt w:val="decimal"/>
      <w:lvlText w:val="%1."/>
      <w:lvlJc w:val="left"/>
      <w:pPr>
        <w:tabs>
          <w:tab w:val="num" w:pos="0"/>
        </w:tabs>
        <w:ind w:left="1020" w:hanging="1020"/>
      </w:pPr>
      <w:rPr>
        <w:b/>
      </w:rPr>
    </w:lvl>
    <w:lvl w:ilvl="1">
      <w:start w:val="1"/>
      <w:numFmt w:val="decimal"/>
      <w:lvlText w:val="%1.%2."/>
      <w:lvlJc w:val="left"/>
      <w:pPr>
        <w:tabs>
          <w:tab w:val="num" w:pos="0"/>
        </w:tabs>
        <w:ind w:left="1020" w:hanging="1020"/>
      </w:pPr>
      <w:rPr/>
    </w:lvl>
    <w:lvl w:ilvl="2">
      <w:start w:val="15"/>
      <w:numFmt w:val="decimal"/>
      <w:lvlText w:val="%1.%2.%3."/>
      <w:lvlJc w:val="left"/>
      <w:pPr>
        <w:tabs>
          <w:tab w:val="num" w:pos="0"/>
        </w:tabs>
        <w:ind w:left="1020" w:hanging="1020"/>
      </w:pPr>
      <w:rPr/>
    </w:lvl>
    <w:lvl w:ilvl="3">
      <w:start w:val="1"/>
      <w:numFmt w:val="decimal"/>
      <w:lvlText w:val="%1.%2.%3.%4."/>
      <w:lvlJc w:val="left"/>
      <w:pPr>
        <w:tabs>
          <w:tab w:val="num" w:pos="0"/>
        </w:tabs>
        <w:ind w:left="1080" w:hanging="1080"/>
      </w:pPr>
      <w:rPr>
        <w:sz w:val="28"/>
        <w:szCs w:val="28"/>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4">
    <w:lvl w:ilvl="0">
      <w:start w:val="2"/>
      <w:numFmt w:val="decimal"/>
      <w:lvlText w:val="%1."/>
      <w:lvlJc w:val="left"/>
      <w:pPr>
        <w:tabs>
          <w:tab w:val="num" w:pos="0"/>
        </w:tabs>
        <w:ind w:left="1020" w:hanging="1020"/>
      </w:pPr>
      <w:rPr>
        <w:b/>
      </w:rPr>
    </w:lvl>
    <w:lvl w:ilvl="1">
      <w:start w:val="1"/>
      <w:numFmt w:val="decimal"/>
      <w:lvlText w:val="%1.%2."/>
      <w:lvlJc w:val="left"/>
      <w:pPr>
        <w:tabs>
          <w:tab w:val="num" w:pos="0"/>
        </w:tabs>
        <w:ind w:left="1020" w:hanging="1020"/>
      </w:pPr>
      <w:rPr/>
    </w:lvl>
    <w:lvl w:ilvl="2">
      <w:start w:val="15"/>
      <w:numFmt w:val="decimal"/>
      <w:lvlText w:val="%1.%2.%3."/>
      <w:lvlJc w:val="left"/>
      <w:pPr>
        <w:tabs>
          <w:tab w:val="num" w:pos="0"/>
        </w:tabs>
        <w:ind w:left="1020" w:hanging="1020"/>
      </w:pPr>
      <w:rPr/>
    </w:lvl>
    <w:lvl w:ilvl="3">
      <w:start w:val="1"/>
      <w:numFmt w:val="decimal"/>
      <w:lvlText w:val="%1.%2.%3.%4."/>
      <w:lvlJc w:val="left"/>
      <w:pPr>
        <w:tabs>
          <w:tab w:val="num" w:pos="0"/>
        </w:tabs>
        <w:ind w:left="1080" w:hanging="1080"/>
      </w:pPr>
      <w:rPr>
        <w:sz w:val="28"/>
        <w:szCs w:val="28"/>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3"/>
      <w:numFmt w:val="decimal"/>
      <w:lvlText w:val="%1."/>
      <w:lvlJc w:val="left"/>
      <w:pPr>
        <w:tabs>
          <w:tab w:val="num" w:pos="0"/>
        </w:tabs>
        <w:ind w:left="450" w:hanging="450"/>
      </w:pPr>
      <w:rPr/>
    </w:lvl>
    <w:lvl w:ilvl="1">
      <w:start w:val="2"/>
      <w:numFmt w:val="decimal"/>
      <w:lvlText w:val="%1.%2."/>
      <w:lvlJc w:val="left"/>
      <w:pPr>
        <w:tabs>
          <w:tab w:val="num" w:pos="0"/>
        </w:tabs>
        <w:ind w:left="108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2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b/>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28">
    <w:lvl w:ilvl="0">
      <w:start w:val="4"/>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3.2.%3."/>
      <w:lvlJc w:val="left"/>
      <w:pPr>
        <w:tabs>
          <w:tab w:val="num" w:pos="0"/>
        </w:tabs>
        <w:ind w:left="1224" w:hanging="504"/>
      </w:pPr>
      <w:rPr>
        <w:sz w:val="28"/>
        <w:b w:val="false"/>
        <w:szCs w:val="28"/>
        <w:rFonts w:ascii="Times New Roman" w:hAnsi="Times New Roman" w:cs="Times New Roman"/>
        <w:color w:val="auto"/>
      </w:rPr>
    </w:lvl>
    <w:lvl w:ilvl="3">
      <w:start w:val="1"/>
      <w:numFmt w:val="decimal"/>
      <w:lvlText w:val="3.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9">
    <w:lvl w:ilvl="0">
      <w:start w:val="1"/>
      <w:numFmt w:val="decimal"/>
      <w:lvlText w:val=" %1 "/>
      <w:lvlJc w:val="left"/>
      <w:pPr>
        <w:tabs>
          <w:tab w:val="num" w:pos="720"/>
        </w:tabs>
        <w:ind w:left="720" w:hanging="360"/>
      </w:pPr>
      <w:rPr/>
    </w:lvl>
    <w:lvl w:ilvl="1">
      <w:start w:val="1"/>
      <w:numFmt w:val="decimal"/>
      <w:lvlText w:val=" %1.%2 "/>
      <w:lvlJc w:val="left"/>
      <w:pPr>
        <w:tabs>
          <w:tab w:val="num" w:pos="1080"/>
        </w:tabs>
        <w:ind w:left="1080" w:hanging="360"/>
      </w:pPr>
      <w:rPr/>
    </w:lvl>
    <w:lvl w:ilvl="2">
      <w:start w:val="1"/>
      <w:numFmt w:val="decimal"/>
      <w:lvlText w:val=" %1.%2.%3 "/>
      <w:lvlJc w:val="left"/>
      <w:pPr>
        <w:tabs>
          <w:tab w:val="num" w:pos="1440"/>
        </w:tabs>
        <w:ind w:left="1440" w:hanging="360"/>
      </w:pPr>
      <w:rPr/>
    </w:lvl>
    <w:lvl w:ilvl="3">
      <w:start w:val="1"/>
      <w:numFmt w:val="decimal"/>
      <w:lvlText w:val=" %1.%2.%3.%4 "/>
      <w:lvlJc w:val="left"/>
      <w:pPr>
        <w:tabs>
          <w:tab w:val="num" w:pos="1800"/>
        </w:tabs>
        <w:ind w:left="1800" w:hanging="360"/>
      </w:pPr>
      <w:rPr>
        <w:b w:val="false"/>
      </w:rPr>
    </w:lvl>
    <w:lvl w:ilvl="4">
      <w:start w:val="1"/>
      <w:numFmt w:val="decimal"/>
      <w:lvlText w:val=" %1.%2.%3.%4.%5 "/>
      <w:lvlJc w:val="left"/>
      <w:pPr>
        <w:tabs>
          <w:tab w:val="num" w:pos="360"/>
        </w:tabs>
        <w:ind w:left="360" w:hanging="360"/>
      </w:pPr>
      <w:rPr>
        <w:b w:val="false"/>
      </w:rPr>
    </w:lvl>
    <w:lvl w:ilvl="5">
      <w:start w:val="1"/>
      <w:numFmt w:val="decimal"/>
      <w:lvlText w:val=" %1.%2.%3.%4.%5.%6 "/>
      <w:lvlJc w:val="left"/>
      <w:pPr>
        <w:tabs>
          <w:tab w:val="num" w:pos="0"/>
        </w:tabs>
        <w:ind w:left="2736" w:hanging="936"/>
      </w:pPr>
      <w:rPr/>
    </w:lvl>
    <w:lvl w:ilvl="6">
      <w:start w:val="1"/>
      <w:numFmt w:val="decimal"/>
      <w:lvlText w:val=" %1.%2.%3.%4.%5.%6.%7 "/>
      <w:lvlJc w:val="left"/>
      <w:pPr>
        <w:tabs>
          <w:tab w:val="num" w:pos="0"/>
        </w:tabs>
        <w:ind w:left="3240" w:hanging="1080"/>
      </w:pPr>
      <w:rPr/>
    </w:lvl>
    <w:lvl w:ilvl="7">
      <w:start w:val="1"/>
      <w:numFmt w:val="decimal"/>
      <w:lvlText w:val=" %1.%2.%3.%4.%5.%6.%7.%8 "/>
      <w:lvlJc w:val="left"/>
      <w:pPr>
        <w:tabs>
          <w:tab w:val="num" w:pos="0"/>
        </w:tabs>
        <w:ind w:left="3744" w:hanging="1224"/>
      </w:pPr>
      <w:rPr/>
    </w:lvl>
    <w:lvl w:ilvl="8">
      <w:start w:val="1"/>
      <w:numFmt w:val="decimal"/>
      <w:lvlText w:val=" %1.%2.%3.%4.%5.%6.%7.%8.%9 "/>
      <w:lvlJc w:val="left"/>
      <w:pPr>
        <w:tabs>
          <w:tab w:val="num" w:pos="0"/>
        </w:tabs>
        <w:ind w:left="4320" w:hanging="1440"/>
      </w:pPr>
      <w:rPr/>
    </w:lvl>
  </w:abstractNum>
  <w:abstractNum w:abstractNumId="3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
    <w:lvlOverride w:ilvl="0">
      <w:startOverride w:val="1"/>
    </w:lvlOverride>
    <w:lvlOverride w:ilvl="1">
      <w:startOverride w:val="4"/>
    </w:lvlOverride>
  </w:num>
</w:numbering>
</file>

<file path=word/settings.xml><?xml version="1.0" encoding="utf-8"?>
<w:settings xmlns:w="http://schemas.openxmlformats.org/wordprocessingml/2006/main">
  <w:zoom w:percent="104"/>
  <w:trackRevision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umentProtection w:edit="trackedChanges" w:enforcement="1"/>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pPr>
      <w:outlineLvl w:val="0"/>
    </w:pPr>
    <w:rPr>
      <w:sz w:val="28"/>
      <w:szCs w:val="28"/>
    </w:rPr>
  </w:style>
  <w:style w:type="paragraph" w:styleId="Heading2">
    <w:name w:val="Heading 2"/>
    <w:basedOn w:val="Heading4"/>
    <w:next w:val="Normal"/>
    <w:link w:val="2"/>
    <w:qFormat/>
    <w:pPr>
      <w:outlineLvl w:val="1"/>
    </w:pPr>
    <w:rPr/>
  </w:style>
  <w:style w:type="paragraph" w:styleId="Heading3">
    <w:name w:val="Heading 3"/>
    <w:basedOn w:val="Normal"/>
    <w:next w:val="Normal"/>
    <w:link w:val="3"/>
    <w:qFormat/>
    <w:pPr>
      <w:keepNext w:val="true"/>
      <w:spacing w:before="120" w:after="60"/>
      <w:outlineLvl w:val="2"/>
    </w:pPr>
    <w:rPr>
      <w:rFonts w:eastAsia="Calibri"/>
      <w:b/>
      <w:sz w:val="24"/>
      <w:szCs w:val="24"/>
      <w:lang w:val="x-none" w:eastAsia="x-none"/>
    </w:rPr>
  </w:style>
  <w:style w:type="paragraph" w:styleId="Heading4">
    <w:name w:val="Heading 4"/>
    <w:basedOn w:val="Heading3"/>
    <w:next w:val="Normal"/>
    <w:link w:val="4"/>
    <w:qFormat/>
    <w:pPr>
      <w:tabs>
        <w:tab w:val="clear" w:pos="708"/>
        <w:tab w:val="left" w:pos="0" w:leader="none"/>
      </w:tabs>
      <w:outlineLvl w:val="3"/>
    </w:pPr>
    <w:rPr>
      <w:bCs/>
    </w:rPr>
  </w:style>
  <w:style w:type="paragraph" w:styleId="Heading5">
    <w:name w:val="Heading 5"/>
    <w:basedOn w:val="Normal"/>
    <w:next w:val="Normal"/>
    <w:link w:val="5"/>
    <w:qFormat/>
    <w:pPr>
      <w:spacing w:before="240" w:after="60"/>
      <w:outlineLvl w:val="4"/>
    </w:pPr>
    <w:rPr>
      <w:b/>
      <w:bCs/>
      <w:i/>
      <w:iCs/>
      <w:sz w:val="26"/>
      <w:szCs w:val="26"/>
      <w:lang w:val="x-none" w:eastAsia="x-none"/>
    </w:rPr>
  </w:style>
  <w:style w:type="paragraph" w:styleId="Heading6">
    <w:name w:val="Heading 6"/>
    <w:basedOn w:val="Normal"/>
    <w:next w:val="Normal"/>
    <w:link w:val="6"/>
    <w:qFormat/>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qFormat/>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qFormat/>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qFormat/>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Pagenumber">
    <w:name w:val="page number"/>
    <w:basedOn w:val="DefaultParagraph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Strong1" w:customStyle="1">
    <w:name w:val="Strong1"/>
    <w:qFormat/>
    <w:rPr>
      <w:b/>
      <w:bCs/>
    </w:rPr>
  </w:style>
  <w:style w:type="character" w:styleId="6" w:customStyle="1">
    <w:name w:val="Заголовок 6 Знак"/>
    <w:qFormat/>
    <w:rPr>
      <w:rFonts w:ascii="Cambria" w:hAnsi="Cambria"/>
      <w:i/>
      <w:iCs/>
      <w:color w:val="243F60"/>
      <w:lang w:val="x-none" w:eastAsia="x-none"/>
    </w:rPr>
  </w:style>
  <w:style w:type="character" w:styleId="7" w:customStyle="1">
    <w:name w:val="Заголовок 7 Знак"/>
    <w:qFormat/>
    <w:rPr>
      <w:rFonts w:ascii="Cambria" w:hAnsi="Cambria"/>
      <w:i/>
      <w:iCs/>
      <w:color w:val="404040"/>
      <w:lang w:val="x-none" w:eastAsia="x-none"/>
    </w:rPr>
  </w:style>
  <w:style w:type="character" w:styleId="8" w:customStyle="1">
    <w:name w:val="Заголовок 8 Знак"/>
    <w:qFormat/>
    <w:rPr>
      <w:rFonts w:ascii="Cambria" w:hAnsi="Cambria"/>
      <w:color w:val="4F81BD"/>
      <w:lang w:val="x-none" w:eastAsia="x-none"/>
    </w:rPr>
  </w:style>
  <w:style w:type="character" w:styleId="1" w:customStyle="1">
    <w:name w:val="Заголовок 1 Знак"/>
    <w:qFormat/>
    <w:rPr>
      <w:rFonts w:eastAsia="Calibri"/>
      <w:b/>
      <w:sz w:val="28"/>
      <w:szCs w:val="28"/>
      <w:lang w:val="x-none" w:eastAsia="x-none"/>
    </w:rPr>
  </w:style>
  <w:style w:type="character" w:styleId="2" w:customStyle="1">
    <w:name w:val="Заголовок 2 Знак"/>
    <w:qFormat/>
    <w:rPr>
      <w:rFonts w:eastAsia="Calibri"/>
      <w:b/>
      <w:bCs/>
      <w:sz w:val="24"/>
      <w:szCs w:val="24"/>
      <w:lang w:val="x-none" w:eastAsia="x-none"/>
    </w:rPr>
  </w:style>
  <w:style w:type="character" w:styleId="3" w:customStyle="1">
    <w:name w:val="Заголовок 3 Знак"/>
    <w:qFormat/>
    <w:rPr>
      <w:rFonts w:eastAsia="Calibri"/>
      <w:b/>
      <w:sz w:val="24"/>
      <w:szCs w:val="24"/>
      <w:lang w:val="x-none" w:eastAsia="x-none"/>
    </w:rPr>
  </w:style>
  <w:style w:type="character" w:styleId="4" w:customStyle="1">
    <w:name w:val="Заголовок 4 Знак"/>
    <w:qFormat/>
    <w:rPr>
      <w:rFonts w:eastAsia="Calibri"/>
      <w:b/>
      <w:bCs/>
      <w:sz w:val="24"/>
      <w:szCs w:val="24"/>
      <w:lang w:val="x-none" w:eastAsia="x-none"/>
    </w:rPr>
  </w:style>
  <w:style w:type="character" w:styleId="5" w:customStyle="1">
    <w:name w:val="Заголовок 5 Знак"/>
    <w:qFormat/>
    <w:rPr>
      <w:b/>
      <w:bCs/>
      <w:i/>
      <w:iCs/>
      <w:sz w:val="26"/>
      <w:szCs w:val="26"/>
    </w:rPr>
  </w:style>
  <w:style w:type="character" w:styleId="9" w:customStyle="1">
    <w:name w:val="Заголовок 9 Знак"/>
    <w:qFormat/>
    <w:rPr>
      <w:rFonts w:ascii="Arial" w:hAnsi="Arial" w:cs="Arial"/>
      <w:sz w:val="22"/>
      <w:szCs w:val="22"/>
    </w:rPr>
  </w:style>
  <w:style w:type="character" w:styleId="Style1" w:customStyle="1">
    <w:name w:val="Название Знак"/>
    <w:link w:val="16"/>
    <w:qFormat/>
    <w:rPr>
      <w:sz w:val="28"/>
    </w:rPr>
  </w:style>
  <w:style w:type="character" w:styleId="Style2" w:customStyle="1">
    <w:name w:val="Подзаголовок Знак"/>
    <w:qFormat/>
    <w:rPr>
      <w:rFonts w:ascii="Cambria" w:hAnsi="Cambria"/>
      <w:i/>
      <w:iCs/>
      <w:color w:val="4F81BD"/>
      <w:spacing w:val="15"/>
      <w:sz w:val="24"/>
      <w:szCs w:val="24"/>
      <w:lang w:val="x-none" w:eastAsia="x-none"/>
    </w:rPr>
  </w:style>
  <w:style w:type="character" w:styleId="Emphasis">
    <w:name w:val="Emphasis"/>
    <w:qFormat/>
    <w:rPr>
      <w:i/>
      <w:iCs/>
    </w:rPr>
  </w:style>
  <w:style w:type="character" w:styleId="21" w:customStyle="1">
    <w:name w:val="Цитата 2 Знак"/>
    <w:link w:val="Quote"/>
    <w:qFormat/>
    <w:rPr>
      <w:rFonts w:ascii="Calibri" w:hAnsi="Calibri" w:eastAsia="Calibri"/>
      <w:i/>
      <w:iCs/>
      <w:color w:val="000000"/>
      <w:lang w:val="x-none" w:eastAsia="x-none"/>
    </w:rPr>
  </w:style>
  <w:style w:type="character" w:styleId="Style3" w:customStyle="1">
    <w:name w:val="Выделенная цитата Знак"/>
    <w:link w:val="IntenseQuote"/>
    <w:qFormat/>
    <w:rPr>
      <w:rFonts w:ascii="Calibri" w:hAnsi="Calibri" w:eastAsia="Calibri"/>
      <w:b/>
      <w:bCs/>
      <w:i/>
      <w:iCs/>
      <w:color w:val="4F81BD"/>
      <w:lang w:val="x-none" w:eastAsia="x-none"/>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Style4" w:customStyle="1">
    <w:name w:val="Электронная подпись Знак"/>
    <w:link w:val="E-mailSignature"/>
    <w:qFormat/>
    <w:rPr>
      <w:rFonts w:eastAsia="Calibri"/>
      <w:sz w:val="24"/>
      <w:szCs w:val="24"/>
    </w:rPr>
  </w:style>
  <w:style w:type="character" w:styleId="11" w:customStyle="1">
    <w:name w:val="Подпункт Знак1"/>
    <w:link w:val="Style22"/>
    <w:qFormat/>
    <w:rPr>
      <w:sz w:val="28"/>
    </w:rPr>
  </w:style>
  <w:style w:type="character" w:styleId="Style5" w:customStyle="1">
    <w:name w:val="Текст сноски Знак"/>
    <w:qFormat/>
    <w:rPr/>
  </w:style>
  <w:style w:type="character" w:styleId="Style6" w:customStyle="1">
    <w:name w:val="Основной текст Знак"/>
    <w:qFormat/>
    <w:rPr>
      <w:sz w:val="28"/>
      <w:szCs w:val="28"/>
    </w:rPr>
  </w:style>
  <w:style w:type="character" w:styleId="Blk" w:customStyle="1">
    <w:name w:val="blk"/>
    <w:qFormat/>
    <w:rPr/>
  </w:style>
  <w:style w:type="character" w:styleId="Style7" w:customStyle="1">
    <w:name w:val="Абзац списка Знак"/>
    <w:link w:val="ListParagraph"/>
    <w:qFormat/>
    <w:rPr>
      <w:rFonts w:eastAsia="Calibri"/>
      <w:sz w:val="24"/>
      <w:szCs w:val="24"/>
    </w:rPr>
  </w:style>
  <w:style w:type="character" w:styleId="Style8" w:customStyle="1">
    <w:name w:val="комментарий"/>
    <w:qFormat/>
    <w:rPr>
      <w:b/>
      <w:i/>
      <w:shd w:fill="FFFF99" w:val="clear"/>
    </w:rPr>
  </w:style>
  <w:style w:type="character" w:styleId="Style9" w:customStyle="1">
    <w:name w:val="Подподпункт Знак"/>
    <w:link w:val="Style30"/>
    <w:qFormat/>
    <w:rPr>
      <w:sz w:val="26"/>
      <w:szCs w:val="26"/>
    </w:rPr>
  </w:style>
  <w:style w:type="character" w:styleId="31" w:customStyle="1">
    <w:name w:val="УРОВЕНЬ_Абзац_тип3 Знак"/>
    <w:link w:val="35"/>
    <w:qFormat/>
    <w:rPr>
      <w:rFonts w:eastAsia="Calibri"/>
      <w:sz w:val="26"/>
      <w:szCs w:val="28"/>
      <w:lang w:eastAsia="en-US"/>
    </w:rPr>
  </w:style>
  <w:style w:type="character" w:styleId="Style10" w:customStyle="1">
    <w:name w:val="Верхний колонтитул Знак"/>
    <w:qFormat/>
    <w:rPr>
      <w:sz w:val="24"/>
      <w:szCs w:val="24"/>
    </w:rPr>
  </w:style>
  <w:style w:type="character" w:styleId="Style11" w:customStyle="1">
    <w:name w:val="Текст примечания Знак"/>
    <w:link w:val="Annotationtext"/>
    <w:qFormat/>
    <w:rPr/>
  </w:style>
  <w:style w:type="character" w:styleId="Style12" w:customStyle="1">
    <w:name w:val="Текст концевой сноски Знак"/>
    <w:basedOn w:val="DefaultParagraphFont"/>
    <w:qFormat/>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22" w:customStyle="1">
    <w:name w:val="Пункт2 Знак"/>
    <w:link w:val="25"/>
    <w:qFormat/>
    <w:rPr>
      <w:b/>
      <w:sz w:val="28"/>
    </w:rPr>
  </w:style>
  <w:style w:type="character" w:styleId="12" w:customStyle="1">
    <w:name w:val="УРОВЕНЬ_1. Знак"/>
    <w:link w:val="110"/>
    <w:qFormat/>
    <w:rPr>
      <w:rFonts w:eastAsia="Calibri"/>
      <w:caps/>
      <w:sz w:val="28"/>
      <w:szCs w:val="28"/>
      <w:lang w:eastAsia="en-US"/>
    </w:rPr>
  </w:style>
  <w:style w:type="character" w:styleId="13" w:customStyle="1">
    <w:name w:val="Неразрешенное упоминание1"/>
    <w:basedOn w:val="DefaultParagraphFont"/>
    <w:qFormat/>
    <w:rPr>
      <w:color w:val="605E5C"/>
      <w:shd w:fill="E1DFDD" w:val="clear"/>
    </w:rPr>
  </w:style>
  <w:style w:type="character" w:styleId="Style14" w:customStyle="1">
    <w:name w:val="Ссылка указателя"/>
    <w:qFormat/>
    <w:rPr/>
  </w:style>
  <w:style w:type="character" w:styleId="Strong2" w:customStyle="1">
    <w:name w:val="Strong2"/>
    <w:qFormat/>
    <w:rPr>
      <w:b/>
      <w:bCs/>
    </w:rPr>
  </w:style>
  <w:style w:type="character" w:styleId="Style15" w:customStyle="1">
    <w:name w:val="Символ нумерации"/>
    <w:qFormat/>
    <w:rPr/>
  </w:style>
  <w:style w:type="character" w:styleId="Postbody1" w:customStyle="1">
    <w:name w:val="postbody1"/>
    <w:qFormat/>
    <w:rPr>
      <w:sz w:val="15"/>
      <w:szCs w:val="15"/>
    </w:rPr>
  </w:style>
  <w:style w:type="character" w:styleId="14" w:customStyle="1">
    <w:name w:val="Заголовок №1_"/>
    <w:link w:val="112"/>
    <w:qFormat/>
    <w:rPr>
      <w:b/>
      <w:bCs/>
      <w:sz w:val="28"/>
      <w:szCs w:val="28"/>
      <w:shd w:fill="FFFFFF" w:val="clear"/>
    </w:rPr>
  </w:style>
  <w:style w:type="character" w:styleId="23" w:customStyle="1">
    <w:name w:val="Неразрешенное упоминание2"/>
    <w:basedOn w:val="DefaultParagraphFont"/>
    <w:qFormat/>
    <w:rPr>
      <w:color w:val="605E5C"/>
      <w:shd w:fill="E1DFDD" w:val="clear"/>
    </w:rPr>
  </w:style>
  <w:style w:type="character" w:styleId="111" w:customStyle="1">
    <w:name w:val="Стиль 1.1. Знак"/>
    <w:link w:val="113"/>
    <w:qFormat/>
    <w:rPr>
      <w:sz w:val="24"/>
      <w:szCs w:val="24"/>
    </w:rPr>
  </w:style>
  <w:style w:type="character" w:styleId="Linenumber1" w:customStyle="1">
    <w:name w:val="line number1"/>
    <w:qFormat/>
    <w:rPr/>
  </w:style>
  <w:style w:type="character" w:styleId="Linenumber2" w:customStyle="1">
    <w:name w:val="line number2"/>
    <w:qFormat/>
    <w:rPr/>
  </w:style>
  <w:style w:type="character" w:styleId="Linenumber3" w:customStyle="1">
    <w:name w:val="line number3"/>
    <w:qFormat/>
    <w:rPr/>
  </w:style>
  <w:style w:type="character" w:styleId="PlaceholderText">
    <w:name w:val="Placeholder Text"/>
    <w:basedOn w:val="DefaultParagraphFont"/>
    <w:qFormat/>
    <w:rPr>
      <w:color w:val="808080"/>
    </w:rPr>
  </w:style>
  <w:style w:type="character" w:styleId="Linenumber4" w:customStyle="1">
    <w:name w:val="line number4"/>
    <w:qFormat/>
    <w:rPr/>
  </w:style>
  <w:style w:type="character" w:styleId="Strong">
    <w:name w:val="Strong"/>
    <w:qFormat/>
    <w:rPr>
      <w:b/>
      <w:bCs/>
    </w:rPr>
  </w:style>
  <w:style w:type="character" w:styleId="Linenumber5" w:customStyle="1">
    <w:name w:val="line number5"/>
    <w:qFormat/>
    <w:rPr/>
  </w:style>
  <w:style w:type="character" w:styleId="Linenumber6" w:customStyle="1">
    <w:name w:val="line number6"/>
    <w:qFormat/>
    <w:rPr/>
  </w:style>
  <w:style w:type="character" w:styleId="Linenumber7" w:customStyle="1">
    <w:name w:val="line number7"/>
    <w:qFormat/>
    <w:rPr/>
  </w:style>
  <w:style w:type="character" w:styleId="Linenumber8" w:customStyle="1">
    <w:name w:val="line number8"/>
    <w:qFormat/>
    <w:rPr/>
  </w:style>
  <w:style w:type="character" w:styleId="Linenumber9" w:customStyle="1">
    <w:name w:val="line number9"/>
    <w:qFormat/>
    <w:rPr/>
  </w:style>
  <w:style w:type="character" w:styleId="Linenumber10" w:customStyle="1">
    <w:name w:val="line number10"/>
    <w:qFormat/>
    <w:rPr/>
  </w:style>
  <w:style w:type="character" w:styleId="Linenumber11" w:customStyle="1">
    <w:name w:val="line number11"/>
    <w:qFormat/>
    <w:rPr/>
  </w:style>
  <w:style w:type="character" w:styleId="Linenumber12" w:customStyle="1">
    <w:name w:val="line number12"/>
    <w:qFormat/>
    <w:rPr/>
  </w:style>
  <w:style w:type="character" w:styleId="Linenumber">
    <w:name w:val="line number"/>
    <w:qFormat/>
    <w:rPr/>
  </w:style>
  <w:style w:type="paragraph" w:styleId="Style16">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Indexheading1111" w:customStyle="1">
    <w:name w:val="index heading1111"/>
    <w:basedOn w:val="Title"/>
    <w:qFormat/>
    <w:pPr/>
    <w:rPr/>
  </w:style>
  <w:style w:type="paragraph" w:styleId="Caption11111" w:customStyle="1">
    <w:name w:val="caption11111"/>
    <w:basedOn w:val="Normal"/>
    <w:qFormat/>
    <w:pPr>
      <w:suppressLineNumbers/>
      <w:spacing w:before="120" w:after="120"/>
    </w:pPr>
    <w:rPr>
      <w:rFonts w:cs="Arial Unicode MS"/>
      <w:i/>
      <w:iCs/>
      <w:sz w:val="24"/>
      <w:szCs w:val="24"/>
    </w:rPr>
  </w:style>
  <w:style w:type="paragraph" w:styleId="Indexheading11111" w:customStyle="1">
    <w:name w:val="index heading11111"/>
    <w:basedOn w:val="Title"/>
    <w:qFormat/>
    <w:pPr/>
    <w:rPr/>
  </w:style>
  <w:style w:type="paragraph" w:styleId="Caption111111" w:customStyle="1">
    <w:name w:val="caption111111"/>
    <w:basedOn w:val="Normal"/>
    <w:qFormat/>
    <w:pPr>
      <w:suppressLineNumbers/>
      <w:spacing w:before="120" w:after="120"/>
    </w:pPr>
    <w:rPr>
      <w:rFonts w:cs="Arial Unicode MS"/>
      <w:i/>
      <w:iCs/>
      <w:sz w:val="24"/>
      <w:szCs w:val="24"/>
    </w:rPr>
  </w:style>
  <w:style w:type="paragraph" w:styleId="Indexheading111111" w:customStyle="1">
    <w:name w:val="index heading111111"/>
    <w:basedOn w:val="Title"/>
    <w:qFormat/>
    <w:pPr/>
    <w:rPr/>
  </w:style>
  <w:style w:type="paragraph" w:styleId="Caption1111111" w:customStyle="1">
    <w:name w:val="caption1111111"/>
    <w:basedOn w:val="Normal"/>
    <w:qFormat/>
    <w:pPr>
      <w:suppressLineNumbers/>
      <w:spacing w:before="120" w:after="120"/>
    </w:pPr>
    <w:rPr>
      <w:i/>
      <w:iCs/>
      <w:sz w:val="24"/>
      <w:szCs w:val="24"/>
    </w:rPr>
  </w:style>
  <w:style w:type="paragraph" w:styleId="Indexheading1111111" w:customStyle="1">
    <w:name w:val="index heading1111111"/>
    <w:basedOn w:val="Title"/>
    <w:qFormat/>
    <w:pPr/>
    <w:rPr/>
  </w:style>
  <w:style w:type="paragraph" w:styleId="Caption11111111" w:customStyle="1">
    <w:name w:val="caption11111111"/>
    <w:basedOn w:val="Normal"/>
    <w:qFormat/>
    <w:pPr>
      <w:suppressLineNumbers/>
      <w:spacing w:before="120" w:after="120"/>
    </w:pPr>
    <w:rPr>
      <w:rFonts w:cs="Arial Unicode MS"/>
      <w:i/>
      <w:iCs/>
      <w:sz w:val="24"/>
      <w:szCs w:val="24"/>
    </w:rPr>
  </w:style>
  <w:style w:type="paragraph" w:styleId="Indexheading11111111" w:customStyle="1">
    <w:name w:val="index heading11111111"/>
    <w:basedOn w:val="Title"/>
    <w:qFormat/>
    <w:pPr/>
    <w:rPr/>
  </w:style>
  <w:style w:type="paragraph" w:styleId="Caption111111111" w:customStyle="1">
    <w:name w:val="caption111111111"/>
    <w:basedOn w:val="Normal"/>
    <w:qFormat/>
    <w:pPr>
      <w:suppressLineNumbers/>
      <w:spacing w:before="120" w:after="120"/>
    </w:pPr>
    <w:rPr>
      <w:rFonts w:cs="Arial Unicode MS"/>
      <w:i/>
      <w:iCs/>
      <w:sz w:val="24"/>
      <w:szCs w:val="24"/>
    </w:rPr>
  </w:style>
  <w:style w:type="paragraph" w:styleId="Indexheading111111111" w:customStyle="1">
    <w:name w:val="index heading111111111"/>
    <w:basedOn w:val="Title"/>
    <w:qFormat/>
    <w:pPr/>
    <w:rPr/>
  </w:style>
  <w:style w:type="paragraph" w:styleId="Caption1111111111" w:customStyle="1">
    <w:name w:val="caption1111111111"/>
    <w:basedOn w:val="Normal"/>
    <w:qFormat/>
    <w:pPr>
      <w:suppressLineNumbers/>
      <w:spacing w:before="120" w:after="120"/>
    </w:pPr>
    <w:rPr>
      <w:i/>
      <w:iCs/>
      <w:sz w:val="24"/>
      <w:szCs w:val="24"/>
    </w:rPr>
  </w:style>
  <w:style w:type="paragraph" w:styleId="Indexheading1111111111" w:customStyle="1">
    <w:name w:val="index heading1111111111"/>
    <w:basedOn w:val="Title"/>
    <w:qFormat/>
    <w:pPr/>
    <w:rPr/>
  </w:style>
  <w:style w:type="paragraph" w:styleId="Caption11111111111" w:customStyle="1">
    <w:name w:val="caption11111111111"/>
    <w:basedOn w:val="Normal"/>
    <w:qFormat/>
    <w:pPr>
      <w:suppressLineNumbers/>
      <w:spacing w:before="120" w:after="120"/>
    </w:pPr>
    <w:rPr>
      <w:i/>
      <w:iCs/>
      <w:sz w:val="24"/>
      <w:szCs w:val="24"/>
    </w:rPr>
  </w:style>
  <w:style w:type="paragraph" w:styleId="Indexheading11111111111" w:customStyle="1">
    <w:name w:val="index heading11111111111"/>
    <w:basedOn w:val="Title"/>
    <w:qFormat/>
    <w:pPr/>
    <w:rPr/>
  </w:style>
  <w:style w:type="paragraph" w:styleId="Caption111111111111" w:customStyle="1">
    <w:name w:val="caption111111111111"/>
    <w:basedOn w:val="Normal"/>
    <w:qFormat/>
    <w:pPr>
      <w:suppressLineNumbers/>
      <w:spacing w:before="120" w:after="120"/>
    </w:pPr>
    <w:rPr>
      <w:i/>
      <w:iCs/>
      <w:sz w:val="24"/>
      <w:szCs w:val="24"/>
    </w:rPr>
  </w:style>
  <w:style w:type="paragraph" w:styleId="Indexheading111111111111" w:customStyle="1">
    <w:name w:val="index heading111111111111"/>
    <w:basedOn w:val="Title"/>
    <w:qFormat/>
    <w:pPr/>
    <w:rPr/>
  </w:style>
  <w:style w:type="paragraph" w:styleId="Caption1111111111111" w:customStyle="1">
    <w:name w:val="caption1111111111111"/>
    <w:basedOn w:val="Normal"/>
    <w:qFormat/>
    <w:pPr>
      <w:suppressLineNumbers/>
      <w:spacing w:before="120" w:after="120"/>
    </w:pPr>
    <w:rPr>
      <w:i/>
      <w:iCs/>
      <w:sz w:val="24"/>
      <w:szCs w:val="24"/>
    </w:rPr>
  </w:style>
  <w:style w:type="paragraph" w:styleId="Indexheading1111111111111" w:customStyle="1">
    <w:name w:val="index heading1111111111111"/>
    <w:basedOn w:val="Title"/>
    <w:qFormat/>
    <w:pPr/>
    <w:rPr/>
  </w:style>
  <w:style w:type="paragraph" w:styleId="Caption11111111111111" w:customStyle="1">
    <w:name w:val="caption11111111111111"/>
    <w:basedOn w:val="Normal"/>
    <w:qFormat/>
    <w:pPr>
      <w:suppressLineNumbers/>
      <w:spacing w:before="120" w:after="120"/>
    </w:pPr>
    <w:rPr>
      <w:i/>
      <w:iCs/>
      <w:sz w:val="24"/>
      <w:szCs w:val="24"/>
    </w:rPr>
  </w:style>
  <w:style w:type="paragraph" w:styleId="Indexheading11111111111111" w:customStyle="1">
    <w:name w:val="index heading11111111111111"/>
    <w:basedOn w:val="Title"/>
    <w:qFormat/>
    <w:pPr/>
    <w:rPr/>
  </w:style>
  <w:style w:type="paragraph" w:styleId="Caption111111111111111" w:customStyle="1">
    <w:name w:val="caption111111111111111"/>
    <w:basedOn w:val="Normal"/>
    <w:qFormat/>
    <w:pPr>
      <w:suppressLineNumbers/>
      <w:spacing w:before="120" w:after="120"/>
    </w:pPr>
    <w:rPr>
      <w:i/>
      <w:iCs/>
      <w:sz w:val="24"/>
      <w:szCs w:val="24"/>
    </w:rPr>
  </w:style>
  <w:style w:type="paragraph" w:styleId="Indexheading111111111111111" w:customStyle="1">
    <w:name w:val="index heading111111111111111"/>
    <w:basedOn w:val="Title"/>
    <w:qFormat/>
    <w:pPr/>
    <w:rPr/>
  </w:style>
  <w:style w:type="paragraph" w:styleId="Caption1111111111111111" w:customStyle="1">
    <w:name w:val="caption1111111111111111"/>
    <w:basedOn w:val="Normal"/>
    <w:qFormat/>
    <w:pPr>
      <w:suppressLineNumbers/>
      <w:spacing w:before="120" w:after="120"/>
    </w:pPr>
    <w:rPr>
      <w:i/>
      <w:iCs/>
      <w:sz w:val="24"/>
      <w:szCs w:val="24"/>
    </w:rPr>
  </w:style>
  <w:style w:type="paragraph" w:styleId="Indexheading1111111111111111" w:customStyle="1">
    <w:name w:val="index heading1111111111111111"/>
    <w:basedOn w:val="Title"/>
    <w:qFormat/>
    <w:pPr/>
    <w:rPr/>
  </w:style>
  <w:style w:type="paragraph" w:styleId="Caption11111111111111111" w:customStyle="1">
    <w:name w:val="caption11111111111111111"/>
    <w:basedOn w:val="Normal"/>
    <w:qFormat/>
    <w:pPr>
      <w:suppressLineNumbers/>
      <w:spacing w:before="120" w:after="120"/>
    </w:pPr>
    <w:rPr>
      <w:i/>
      <w:iCs/>
      <w:sz w:val="24"/>
      <w:szCs w:val="24"/>
    </w:rPr>
  </w:style>
  <w:style w:type="paragraph" w:styleId="Indexheading11111111111111111" w:customStyle="1">
    <w:name w:val="index heading11111111111111111"/>
    <w:basedOn w:val="Title"/>
    <w:qFormat/>
    <w:pPr/>
    <w:rPr/>
  </w:style>
  <w:style w:type="paragraph" w:styleId="Caption111111111111111111" w:customStyle="1">
    <w:name w:val="caption111111111111111111"/>
    <w:basedOn w:val="Normal"/>
    <w:qFormat/>
    <w:pPr>
      <w:suppressLineNumbers/>
      <w:spacing w:before="120" w:after="120"/>
    </w:pPr>
    <w:rPr>
      <w:i/>
      <w:iCs/>
      <w:sz w:val="24"/>
      <w:szCs w:val="24"/>
    </w:rPr>
  </w:style>
  <w:style w:type="paragraph" w:styleId="Indexheading111111111111111111" w:customStyle="1">
    <w:name w:val="index heading111111111111111111"/>
    <w:basedOn w:val="Title"/>
    <w:qFormat/>
    <w:pPr/>
    <w:rPr/>
  </w:style>
  <w:style w:type="paragraph" w:styleId="Caption1111111111111111111" w:customStyle="1">
    <w:name w:val="caption1111111111111111111"/>
    <w:basedOn w:val="Normal"/>
    <w:qFormat/>
    <w:pPr>
      <w:suppressLineNumbers/>
      <w:spacing w:before="120" w:after="120"/>
    </w:pPr>
    <w:rPr>
      <w:i/>
      <w:iCs/>
      <w:sz w:val="24"/>
      <w:szCs w:val="24"/>
    </w:rPr>
  </w:style>
  <w:style w:type="paragraph" w:styleId="Indexheading1111111111111111111" w:customStyle="1">
    <w:name w:val="index heading1111111111111111111"/>
    <w:basedOn w:val="Title"/>
    <w:qFormat/>
    <w:pPr/>
    <w:rPr/>
  </w:style>
  <w:style w:type="paragraph" w:styleId="Caption11111111111111111111" w:customStyle="1">
    <w:name w:val="caption11111111111111111111"/>
    <w:basedOn w:val="Normal"/>
    <w:qFormat/>
    <w:pPr>
      <w:suppressLineNumbers/>
      <w:spacing w:before="120" w:after="120"/>
    </w:pPr>
    <w:rPr>
      <w:i/>
      <w:iCs/>
      <w:sz w:val="24"/>
      <w:szCs w:val="24"/>
    </w:rPr>
  </w:style>
  <w:style w:type="paragraph" w:styleId="Indexheading11111111111111111111" w:customStyle="1">
    <w:name w:val="index heading11111111111111111111"/>
    <w:basedOn w:val="Title"/>
    <w:qFormat/>
    <w:pPr/>
    <w:rPr/>
  </w:style>
  <w:style w:type="paragraph" w:styleId="Style18" w:customStyle="1">
    <w:name w:val="Название раздела инструкции"/>
    <w:basedOn w:val="Normal"/>
    <w:autoRedefine/>
    <w:qFormat/>
    <w:pPr>
      <w:jc w:val="center"/>
    </w:pPr>
    <w:rPr>
      <w:b/>
    </w:rPr>
  </w:style>
  <w:style w:type="paragraph" w:styleId="Style19" w:customStyle="1">
    <w:name w:val="Раздел положения"/>
    <w:basedOn w:val="Normal"/>
    <w:autoRedefine/>
    <w:qFormat/>
    <w:pPr>
      <w:numPr>
        <w:ilvl w:val="0"/>
        <w:numId w:val="1"/>
      </w:numPr>
      <w:spacing w:before="80" w:after="80"/>
      <w:jc w:val="center"/>
    </w:pPr>
    <w:rPr>
      <w:b/>
      <w:sz w:val="32"/>
      <w:szCs w:val="32"/>
    </w:rPr>
  </w:style>
  <w:style w:type="paragraph" w:styleId="Style20" w:customStyle="1">
    <w:name w:val="Подраздел раздела положения"/>
    <w:basedOn w:val="Normal"/>
    <w:autoRedefine/>
    <w:qFormat/>
    <w:pPr>
      <w:numPr>
        <w:ilvl w:val="1"/>
        <w:numId w:val="1"/>
      </w:numPr>
      <w:spacing w:before="80" w:after="80"/>
      <w:jc w:val="both"/>
    </w:pPr>
    <w:rPr/>
  </w:style>
  <w:style w:type="paragraph" w:styleId="FootnoteText">
    <w:name w:val="Footnote Text"/>
    <w:basedOn w:val="Normal"/>
    <w:link w:val="Style5"/>
    <w:pPr/>
    <w:rPr>
      <w:sz w:val="20"/>
      <w:szCs w:val="20"/>
    </w:rPr>
  </w:style>
  <w:style w:type="paragraph" w:styleId="15" w:customStyle="1">
    <w:name w:val="Шапка 1"/>
    <w:basedOn w:val="Normal"/>
    <w:qFormat/>
    <w:pPr>
      <w:pBdr>
        <w:bottom w:val="thickThinSmallGap" w:sz="24" w:space="1" w:color="000000"/>
      </w:pBdr>
      <w:spacing w:before="0" w:after="240"/>
      <w:jc w:val="center"/>
    </w:pPr>
    <w:rPr>
      <w:sz w:val="22"/>
      <w:szCs w:val="22"/>
    </w:rPr>
  </w:style>
  <w:style w:type="paragraph" w:styleId="24" w:customStyle="1">
    <w:name w:val="Шапка 2"/>
    <w:basedOn w:val="Normal"/>
    <w:qFormat/>
    <w:pPr>
      <w:pBdr>
        <w:bottom w:val="thickThinSmallGap" w:sz="24" w:space="1" w:color="000000"/>
      </w:pBdr>
      <w:spacing w:before="0" w:after="120"/>
      <w:jc w:val="center"/>
    </w:pPr>
    <w:rPr>
      <w:b/>
      <w:sz w:val="22"/>
      <w:szCs w:val="22"/>
    </w:rPr>
  </w:style>
  <w:style w:type="paragraph" w:styleId="32" w:customStyle="1">
    <w:name w:val="Шапка 3"/>
    <w:basedOn w:val="Normal"/>
    <w:qFormat/>
    <w:pPr>
      <w:pBdr>
        <w:bottom w:val="thickThinSmallGap" w:sz="24" w:space="1" w:color="000000"/>
      </w:pBdr>
      <w:spacing w:before="240" w:after="360"/>
      <w:jc w:val="center"/>
    </w:pPr>
    <w:rPr>
      <w:b/>
      <w:sz w:val="24"/>
      <w:szCs w:val="24"/>
    </w:rPr>
  </w:style>
  <w:style w:type="paragraph" w:styleId="16" w:customStyle="1">
    <w:name w:val="Название1"/>
    <w:basedOn w:val="Normal"/>
    <w:link w:val="Style1"/>
    <w:qFormat/>
    <w:pPr>
      <w:jc w:val="center"/>
    </w:pPr>
    <w:rPr>
      <w:szCs w:val="20"/>
      <w:lang w:val="x-none" w:eastAsia="x-none"/>
    </w:rPr>
  </w:style>
  <w:style w:type="paragraph" w:styleId="Style21" w:customStyle="1">
    <w:name w:val="Колонтитул"/>
    <w:basedOn w:val="Normal"/>
    <w:qFormat/>
    <w:pPr/>
    <w:rPr/>
  </w:style>
  <w:style w:type="paragraph" w:styleId="Header">
    <w:name w:val="Header"/>
    <w:basedOn w:val="Normal"/>
    <w:link w:val="Style10"/>
    <w:pPr>
      <w:tabs>
        <w:tab w:val="clear" w:pos="708"/>
        <w:tab w:val="center" w:pos="4677" w:leader="none"/>
        <w:tab w:val="right" w:pos="9355" w:leader="none"/>
      </w:tabs>
    </w:pPr>
    <w:rPr>
      <w:sz w:val="24"/>
      <w:szCs w:val="24"/>
    </w:rPr>
  </w:style>
  <w:style w:type="paragraph" w:styleId="BodyTextIndent">
    <w:name w:val="Body Text Indent"/>
    <w:basedOn w:val="Normal"/>
    <w:pPr>
      <w:ind w:left="360"/>
    </w:pPr>
    <w:rPr>
      <w:sz w:val="24"/>
      <w:szCs w:val="24"/>
    </w:rPr>
  </w:style>
  <w:style w:type="paragraph" w:styleId="Footer">
    <w:name w:val="Footer"/>
    <w:basedOn w:val="Normal"/>
    <w:pPr>
      <w:tabs>
        <w:tab w:val="clear" w:pos="708"/>
        <w:tab w:val="center" w:pos="4677" w:leader="none"/>
        <w:tab w:val="right" w:pos="9355" w:leader="none"/>
      </w:tabs>
    </w:pPr>
    <w:rPr/>
  </w:style>
  <w:style w:type="paragraph" w:styleId="BodyTextIndent2">
    <w:name w:val="Body Text Indent 2"/>
    <w:basedOn w:val="Normal"/>
    <w:qFormat/>
    <w:pPr>
      <w:spacing w:lineRule="auto" w:line="480" w:before="0" w:after="120"/>
      <w:ind w:left="283"/>
    </w:pPr>
    <w:rPr/>
  </w:style>
  <w:style w:type="paragraph" w:styleId="BodyText3">
    <w:name w:val="Body Text 3"/>
    <w:basedOn w:val="Normal"/>
    <w:qFormat/>
    <w:pPr>
      <w:spacing w:before="0" w:after="120"/>
    </w:pPr>
    <w:rPr>
      <w:sz w:val="16"/>
      <w:szCs w:val="16"/>
    </w:rPr>
  </w:style>
  <w:style w:type="paragraph" w:styleId="BodyTextIndent3">
    <w:name w:val="Body Text Indent 3"/>
    <w:basedOn w:val="Normal"/>
    <w:qFormat/>
    <w:pPr>
      <w:spacing w:before="0" w:after="120"/>
      <w:ind w:left="283"/>
    </w:pPr>
    <w:rPr>
      <w:sz w:val="16"/>
      <w:szCs w:val="16"/>
    </w:rPr>
  </w:style>
  <w:style w:type="paragraph" w:styleId="BodyText2">
    <w:name w:val="Body Text 2"/>
    <w:basedOn w:val="Normal"/>
    <w:qFormat/>
    <w:pPr>
      <w:spacing w:lineRule="auto" w:line="480" w:before="0" w:after="120"/>
    </w:pPr>
    <w:rPr/>
  </w:style>
  <w:style w:type="paragraph" w:styleId="BlockText">
    <w:name w:val="Block Text"/>
    <w:basedOn w:val="Normal"/>
    <w:qFormat/>
    <w:pPr>
      <w:ind w:left="-567" w:right="-766"/>
      <w:jc w:val="center"/>
    </w:pPr>
    <w:rPr>
      <w:b/>
      <w:bCs/>
      <w:sz w:val="24"/>
      <w:szCs w:val="20"/>
    </w:rPr>
  </w:style>
  <w:style w:type="paragraph" w:styleId="Style22" w:customStyle="1">
    <w:name w:val="Подпункт"/>
    <w:basedOn w:val="Normal"/>
    <w:link w:val="11"/>
    <w:qFormat/>
    <w:pPr>
      <w:tabs>
        <w:tab w:val="clear" w:pos="708"/>
        <w:tab w:val="left" w:pos="1134" w:leader="none"/>
      </w:tabs>
      <w:snapToGrid w:val="false"/>
      <w:spacing w:lineRule="auto" w:line="360"/>
      <w:ind w:hanging="1134" w:left="1134"/>
      <w:jc w:val="both"/>
    </w:pPr>
    <w:rPr>
      <w:szCs w:val="20"/>
      <w:lang w:val="x-none" w:eastAsia="x-none"/>
    </w:rPr>
  </w:style>
  <w:style w:type="paragraph" w:styleId="25" w:customStyle="1">
    <w:name w:val="Пункт2"/>
    <w:basedOn w:val="Normal"/>
    <w:link w:val="22"/>
    <w:qFormat/>
    <w:pPr>
      <w:keepNext w:val="true"/>
      <w:tabs>
        <w:tab w:val="clear" w:pos="708"/>
        <w:tab w:val="left" w:pos="1134" w:leader="none"/>
      </w:tabs>
      <w:snapToGrid w:val="false"/>
      <w:spacing w:before="240" w:after="120"/>
      <w:ind w:hanging="1134" w:left="1134"/>
      <w:outlineLvl w:val="2"/>
    </w:pPr>
    <w:rPr>
      <w:b/>
      <w:szCs w:val="20"/>
    </w:rPr>
  </w:style>
  <w:style w:type="paragraph" w:styleId="TOC1">
    <w:name w:val="TOC 1"/>
    <w:basedOn w:val="Normal"/>
    <w:next w:val="Normal"/>
    <w:autoRedefine/>
    <w:pPr>
      <w:tabs>
        <w:tab w:val="clear" w:pos="708"/>
        <w:tab w:val="left" w:pos="560" w:leader="none"/>
        <w:tab w:val="right" w:pos="9629" w:leader="none"/>
      </w:tabs>
      <w:spacing w:before="360" w:after="0"/>
    </w:pPr>
    <w:rPr>
      <w:rFonts w:eastAsia="Calibri"/>
      <w:b/>
      <w:bCs/>
      <w:iCs/>
      <w:caps/>
    </w:rPr>
  </w:style>
  <w:style w:type="paragraph" w:styleId="TOC3">
    <w:name w:val="TOC 3"/>
    <w:basedOn w:val="Normal"/>
    <w:next w:val="Normal"/>
    <w:autoRedefine/>
    <w:pPr>
      <w:ind w:left="280"/>
    </w:pPr>
    <w:rPr>
      <w:rFonts w:ascii="Calibri" w:hAnsi="Calibri" w:cs="Calibri"/>
      <w:sz w:val="20"/>
      <w:szCs w:val="20"/>
    </w:rPr>
  </w:style>
  <w:style w:type="paragraph" w:styleId="Style23" w:customStyle="1">
    <w:name w:val="Раздел регламента"/>
    <w:basedOn w:val="Normal"/>
    <w:qFormat/>
    <w:pPr/>
    <w:rPr/>
  </w:style>
  <w:style w:type="paragraph" w:styleId="Style24" w:customStyle="1">
    <w:name w:val="Приложение к регламенту"/>
    <w:basedOn w:val="Normal"/>
    <w:qFormat/>
    <w:pPr>
      <w:jc w:val="right"/>
    </w:pPr>
    <w:rPr/>
  </w:style>
  <w:style w:type="paragraph" w:styleId="TOC2">
    <w:name w:val="TOC 2"/>
    <w:basedOn w:val="Normal"/>
    <w:next w:val="Normal"/>
    <w:autoRedefine/>
    <w:pPr>
      <w:spacing w:before="240" w:after="0"/>
    </w:pPr>
    <w:rPr>
      <w:rFonts w:ascii="Calibri" w:hAnsi="Calibri" w:cs="Calibri"/>
      <w:b/>
      <w:bCs/>
      <w:sz w:val="20"/>
      <w:szCs w:val="20"/>
    </w:rPr>
  </w:style>
  <w:style w:type="paragraph" w:styleId="BalloonText">
    <w:name w:val="Balloon Text"/>
    <w:basedOn w:val="Normal"/>
    <w:qFormat/>
    <w:pPr/>
    <w:rPr>
      <w:rFonts w:ascii="Tahoma" w:hAnsi="Tahoma" w:cs="Tahoma"/>
      <w:sz w:val="16"/>
      <w:szCs w:val="16"/>
    </w:rPr>
  </w:style>
  <w:style w:type="paragraph" w:styleId="Annotationtext">
    <w:name w:val="annotation text"/>
    <w:basedOn w:val="Normal"/>
    <w:link w:val="Style11"/>
    <w:qFormat/>
    <w:pPr/>
    <w:rPr>
      <w:sz w:val="20"/>
      <w:szCs w:val="20"/>
    </w:rPr>
  </w:style>
  <w:style w:type="paragraph" w:styleId="Annotationsubject">
    <w:name w:val="annotation subject"/>
    <w:basedOn w:val="Annotationtext"/>
    <w:next w:val="Annotationtext"/>
    <w:qFormat/>
    <w:pPr/>
    <w:rPr>
      <w:b/>
      <w:bCs/>
    </w:rPr>
  </w:style>
  <w:style w:type="paragraph" w:styleId="17" w:customStyle="1">
    <w:name w:val="Обычный (веб)1"/>
    <w:basedOn w:val="Normal"/>
    <w:qFormat/>
    <w:pPr>
      <w:spacing w:before="280" w:after="280"/>
    </w:pPr>
    <w:rPr>
      <w:rFonts w:ascii="Arial Unicode MS" w:hAnsi="Arial Unicode MS" w:eastAsia="Arial Unicode MS" w:cs="Arial Unicode MS"/>
      <w:sz w:val="24"/>
      <w:szCs w:val="24"/>
    </w:rPr>
  </w:style>
  <w:style w:type="paragraph" w:styleId="TOC9">
    <w:name w:val="TOC 9"/>
    <w:basedOn w:val="Normal"/>
    <w:next w:val="Normal"/>
    <w:autoRedefine/>
    <w:pPr>
      <w:ind w:left="1960"/>
    </w:pPr>
    <w:rPr>
      <w:rFonts w:ascii="Calibri" w:hAnsi="Calibri" w:cs="Calibri"/>
      <w:sz w:val="20"/>
      <w:szCs w:val="20"/>
    </w:rPr>
  </w:style>
  <w:style w:type="paragraph" w:styleId="TOC5">
    <w:name w:val="TOC 5"/>
    <w:basedOn w:val="Normal"/>
    <w:next w:val="Normal"/>
    <w:autoRedefine/>
    <w:pPr>
      <w:ind w:left="840"/>
    </w:pPr>
    <w:rPr>
      <w:rFonts w:ascii="Calibri" w:hAnsi="Calibri" w:cs="Calibri"/>
      <w:sz w:val="20"/>
      <w:szCs w:val="20"/>
    </w:rPr>
  </w:style>
  <w:style w:type="paragraph" w:styleId="TOC4">
    <w:name w:val="TOC 4"/>
    <w:basedOn w:val="Normal"/>
    <w:next w:val="Normal"/>
    <w:autoRedefine/>
    <w:pPr>
      <w:ind w:left="560"/>
    </w:pPr>
    <w:rPr>
      <w:rFonts w:ascii="Calibri" w:hAnsi="Calibri" w:cs="Calibri"/>
      <w:sz w:val="20"/>
      <w:szCs w:val="20"/>
    </w:rPr>
  </w:style>
  <w:style w:type="paragraph" w:styleId="26" w:customStyle="1">
    <w:name w:val="Раздел положения 2"/>
    <w:basedOn w:val="Normal"/>
    <w:qFormat/>
    <w:pPr>
      <w:pageBreakBefore/>
      <w:jc w:val="both"/>
      <w:outlineLvl w:val="0"/>
    </w:pPr>
    <w:rPr>
      <w:b/>
    </w:rPr>
  </w:style>
  <w:style w:type="paragraph" w:styleId="Style25" w:customStyle="1">
    <w:name w:val="Знак Знак Знак Знак Знак Знак Знак Знак Знак"/>
    <w:basedOn w:val="Normal"/>
    <w:qFormat/>
    <w:pPr>
      <w:spacing w:lineRule="exact" w:line="240" w:before="0" w:after="160"/>
      <w:jc w:val="both"/>
    </w:pPr>
    <w:rPr>
      <w:rFonts w:ascii="Verdana" w:hAnsi="Verdana" w:cs="Verdana"/>
      <w:sz w:val="22"/>
      <w:szCs w:val="22"/>
      <w:lang w:val="en-US" w:eastAsia="en-US"/>
    </w:rPr>
  </w:style>
  <w:style w:type="paragraph" w:styleId="NoSpacing">
    <w:name w:val="No Spacing"/>
    <w:basedOn w:val="Normal"/>
    <w:qFormat/>
    <w:pPr>
      <w:spacing w:lineRule="auto" w:line="360"/>
    </w:pPr>
    <w:rPr>
      <w:rFonts w:eastAsia="Calibri"/>
      <w:sz w:val="24"/>
      <w:szCs w:val="24"/>
    </w:rPr>
  </w:style>
  <w:style w:type="paragraph" w:styleId="Caption111111111111111111111" w:customStyle="1">
    <w:name w:val="caption111111111111111111111"/>
    <w:basedOn w:val="Normal"/>
    <w:next w:val="Normal"/>
    <w:qFormat/>
    <w:pPr/>
    <w:rPr>
      <w:rFonts w:eastAsia="Calibri"/>
      <w:b/>
      <w:bCs/>
      <w:color w:val="4F81BD"/>
      <w:sz w:val="18"/>
      <w:szCs w:val="18"/>
    </w:rPr>
  </w:style>
  <w:style w:type="paragraph" w:styleId="Subtitle">
    <w:name w:val="Subtitle"/>
    <w:basedOn w:val="Normal"/>
    <w:next w:val="Normal"/>
    <w:link w:val="Style2"/>
    <w:qFormat/>
    <w:pPr>
      <w:ind w:firstLine="709" w:left="1066"/>
    </w:pPr>
    <w:rPr>
      <w:rFonts w:ascii="Cambria" w:hAnsi="Cambria"/>
      <w:i/>
      <w:iCs/>
      <w:color w:val="4F81BD"/>
      <w:spacing w:val="15"/>
      <w:sz w:val="24"/>
      <w:szCs w:val="24"/>
      <w:lang w:val="x-none" w:eastAsia="x-none"/>
    </w:rPr>
  </w:style>
  <w:style w:type="paragraph" w:styleId="ListParagraph">
    <w:name w:val="List Paragraph"/>
    <w:basedOn w:val="Normal"/>
    <w:link w:val="Style7"/>
    <w:qFormat/>
    <w:pPr>
      <w:spacing w:before="0" w:after="0"/>
      <w:ind w:left="720"/>
      <w:contextualSpacing/>
    </w:pPr>
    <w:rPr>
      <w:rFonts w:eastAsia="Calibri"/>
      <w:sz w:val="24"/>
      <w:szCs w:val="24"/>
    </w:rPr>
  </w:style>
  <w:style w:type="paragraph" w:styleId="Quote">
    <w:name w:val="Quote"/>
    <w:basedOn w:val="Normal"/>
    <w:next w:val="Normal"/>
    <w:link w:val="21"/>
    <w:qFormat/>
    <w:pPr/>
    <w:rPr>
      <w:rFonts w:ascii="Calibri" w:hAnsi="Calibri" w:eastAsia="Calibri"/>
      <w:i/>
      <w:iCs/>
      <w:color w:val="000000"/>
      <w:sz w:val="20"/>
      <w:szCs w:val="20"/>
      <w:lang w:val="x-none" w:eastAsia="x-none"/>
    </w:rPr>
  </w:style>
  <w:style w:type="paragraph" w:styleId="IntenseQuote">
    <w:name w:val="Intense Quote"/>
    <w:basedOn w:val="Normal"/>
    <w:next w:val="Normal"/>
    <w:link w:val="Style3"/>
    <w:qFormat/>
    <w:pPr>
      <w:pBdr>
        <w:bottom w:val="single" w:sz="4" w:space="4" w:color="4F81BD"/>
      </w:pBdr>
      <w:spacing w:before="200" w:after="280"/>
      <w:ind w:left="936" w:right="936"/>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E-mailSignature">
    <w:name w:val="E-mail Signature"/>
    <w:basedOn w:val="Normal"/>
    <w:link w:val="Style4"/>
    <w:qFormat/>
    <w:pPr/>
    <w:rPr>
      <w:rFonts w:eastAsia="Calibri"/>
      <w:sz w:val="24"/>
      <w:szCs w:val="24"/>
      <w:lang w:val="x-none" w:eastAsia="x-none"/>
    </w:rPr>
  </w:style>
  <w:style w:type="paragraph" w:styleId="Style26" w:customStyle="1">
    <w:name w:val="Знак"/>
    <w:basedOn w:val="Normal"/>
    <w:qFormat/>
    <w:pPr>
      <w:spacing w:lineRule="exact" w:line="240" w:before="0" w:after="160"/>
    </w:pPr>
    <w:rPr>
      <w:rFonts w:ascii="Verdana" w:hAnsi="Verdana" w:cs="Verdana"/>
      <w:sz w:val="20"/>
      <w:szCs w:val="20"/>
      <w:lang w:val="en-US" w:eastAsia="en-US"/>
    </w:rPr>
  </w:style>
  <w:style w:type="paragraph" w:styleId="33" w:customStyle="1">
    <w:name w:val="Нумерованный список ур3"/>
    <w:basedOn w:val="Normal"/>
    <w:qFormat/>
    <w:pPr>
      <w:numPr>
        <w:ilvl w:val="2"/>
        <w:numId w:val="2"/>
      </w:numPr>
      <w:jc w:val="both"/>
    </w:pPr>
    <w:rPr>
      <w:rFonts w:ascii="Garamond" w:hAnsi="Garamond"/>
      <w:sz w:val="24"/>
      <w:szCs w:val="20"/>
    </w:rPr>
  </w:style>
  <w:style w:type="paragraph" w:styleId="311" w:customStyle="1">
    <w:name w:val="Список 31"/>
    <w:basedOn w:val="Normal"/>
    <w:qFormat/>
    <w:pPr>
      <w:numPr>
        <w:ilvl w:val="0"/>
        <w:numId w:val="2"/>
      </w:numPr>
      <w:spacing w:before="120" w:after="0"/>
      <w:jc w:val="both"/>
    </w:pPr>
    <w:rPr>
      <w:rFonts w:ascii="Garamond" w:hAnsi="Garamond"/>
      <w:sz w:val="24"/>
      <w:szCs w:val="20"/>
    </w:rPr>
  </w:style>
  <w:style w:type="paragraph" w:styleId="27" w:customStyle="1">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Revision">
    <w:name w:val="Revision"/>
    <w:qFormat/>
    <w:pPr>
      <w:widowControl/>
      <w:suppressAutoHyphens w:val="true"/>
      <w:bidi w:val="0"/>
      <w:spacing w:before="0" w:after="0"/>
      <w:jc w:val="left"/>
    </w:pPr>
    <w:rPr>
      <w:rFonts w:eastAsia="Calibri" w:ascii="Times New Roman" w:hAnsi="Times New Roman" w:cs="Times New Roman"/>
      <w:color w:val="auto"/>
      <w:kern w:val="0"/>
      <w:sz w:val="24"/>
      <w:szCs w:val="24"/>
      <w:lang w:val="ru-RU" w:eastAsia="ru-RU" w:bidi="ar-SA"/>
    </w:rPr>
  </w:style>
  <w:style w:type="paragraph" w:styleId="ConsPlusNormal" w:customStyle="1">
    <w:name w:val="ConsPlusNormal"/>
    <w:qFormat/>
    <w:pPr>
      <w:widowControl w:val="false"/>
      <w:suppressAutoHyphens w:val="tru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34" w:customStyle="1">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Style27" w:customStyle="1">
    <w:name w:val="Пункт"/>
    <w:basedOn w:val="Normal"/>
    <w:qFormat/>
    <w:pPr>
      <w:widowControl w:val="false"/>
      <w:tabs>
        <w:tab w:val="clear" w:pos="708"/>
        <w:tab w:val="left" w:pos="1134" w:leader="none"/>
      </w:tabs>
      <w:spacing w:lineRule="auto" w:line="360" w:before="120" w:after="0"/>
      <w:ind w:hanging="1134" w:left="1134" w:right="800"/>
      <w:jc w:val="both"/>
    </w:pPr>
    <w:rPr>
      <w:rFonts w:ascii="Arial" w:hAnsi="Arial"/>
      <w:b/>
      <w:i/>
      <w:szCs w:val="20"/>
    </w:rPr>
  </w:style>
  <w:style w:type="paragraph" w:styleId="18" w:customStyle="1">
    <w:name w:val="Абзац списка1"/>
    <w:basedOn w:val="Normal"/>
    <w:qFormat/>
    <w:pPr>
      <w:spacing w:lineRule="auto" w:line="276" w:before="0" w:after="200"/>
      <w:ind w:left="720"/>
      <w:contextualSpacing/>
    </w:pPr>
    <w:rPr>
      <w:rFonts w:ascii="Calibri" w:hAnsi="Calibri"/>
      <w:sz w:val="22"/>
      <w:szCs w:val="22"/>
      <w:lang w:eastAsia="en-US"/>
    </w:rPr>
  </w:style>
  <w:style w:type="paragraph" w:styleId="Style28" w:customStyle="1">
    <w:name w:val="Таблица"/>
    <w:basedOn w:val="Normal"/>
    <w:qFormat/>
    <w:pPr>
      <w:keepNext w:val="true"/>
      <w:spacing w:before="60" w:after="60"/>
      <w:jc w:val="center"/>
    </w:pPr>
    <w:rPr>
      <w:rFonts w:eastAsia="Calibri"/>
      <w:b/>
      <w:sz w:val="24"/>
      <w:szCs w:val="24"/>
      <w:lang w:val="x-none" w:eastAsia="x-none"/>
    </w:rPr>
  </w:style>
  <w:style w:type="paragraph" w:styleId="Style29" w:customStyle="1">
    <w:name w:val="Таблица шапка"/>
    <w:basedOn w:val="Normal"/>
    <w:qFormat/>
    <w:pPr>
      <w:keepNext w:val="true"/>
      <w:spacing w:before="40" w:after="40"/>
      <w:ind w:left="57" w:right="57"/>
    </w:pPr>
    <w:rPr>
      <w:sz w:val="22"/>
      <w:szCs w:val="26"/>
    </w:rPr>
  </w:style>
  <w:style w:type="paragraph" w:styleId="Style30" w:customStyle="1">
    <w:name w:val="Подподпункт"/>
    <w:basedOn w:val="Style22"/>
    <w:link w:val="Style9"/>
    <w:qFormat/>
    <w:pPr>
      <w:tabs>
        <w:tab w:val="clear" w:pos="1134"/>
        <w:tab w:val="left" w:pos="5104" w:leader="none"/>
      </w:tabs>
      <w:snapToGrid w:val="true"/>
      <w:spacing w:lineRule="auto" w:line="240" w:before="120" w:after="0"/>
      <w:ind w:hanging="567" w:left="5104"/>
    </w:pPr>
    <w:rPr>
      <w:sz w:val="26"/>
      <w:szCs w:val="26"/>
      <w:lang w:val="ru-RU" w:eastAsia="ru-RU"/>
    </w:rPr>
  </w:style>
  <w:style w:type="paragraph" w:styleId="Style31" w:customStyle="1">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28" w:customStyle="1">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35" w:customStyle="1">
    <w:name w:val="УРОВЕНЬ_Абзац_тип3"/>
    <w:basedOn w:val="ListParagraph"/>
    <w:link w:val="31"/>
    <w:qFormat/>
    <w:pPr>
      <w:numPr>
        <w:ilvl w:val="7"/>
        <w:numId w:val="4"/>
      </w:numPr>
      <w:spacing w:lineRule="exact" w:line="360" w:before="120" w:after="0"/>
      <w:contextualSpacing w:val="false"/>
      <w:jc w:val="both"/>
    </w:pPr>
    <w:rPr>
      <w:sz w:val="26"/>
      <w:szCs w:val="28"/>
      <w:lang w:eastAsia="en-US"/>
    </w:rPr>
  </w:style>
  <w:style w:type="paragraph" w:styleId="Style32" w:customStyle="1">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19" w:customStyle="1">
    <w:name w:val="Стиль Заголовок 1 + по ширине"/>
    <w:basedOn w:val="Heading1"/>
    <w:qFormat/>
    <w:pPr>
      <w:keepLines/>
      <w:tabs>
        <w:tab w:val="clear" w:pos="708"/>
        <w:tab w:val="left" w:pos="567" w:leader="none"/>
      </w:tabs>
      <w:spacing w:before="480" w:after="240"/>
      <w:ind w:hanging="567" w:left="567"/>
      <w:jc w:val="both"/>
    </w:pPr>
    <w:rPr>
      <w:rFonts w:ascii="Arial" w:hAnsi="Arial" w:eastAsia="Times New Roman"/>
      <w:bCs/>
      <w:kern w:val="2"/>
      <w:sz w:val="40"/>
      <w:szCs w:val="20"/>
      <w:lang w:val="ru-RU" w:eastAsia="ru-RU"/>
    </w:rPr>
  </w:style>
  <w:style w:type="paragraph" w:styleId="EndnoteText">
    <w:name w:val="Endnote Text"/>
    <w:basedOn w:val="Normal"/>
    <w:link w:val="Style12"/>
    <w:pPr/>
    <w:rPr>
      <w:sz w:val="20"/>
      <w:szCs w:val="20"/>
    </w:rPr>
  </w:style>
  <w:style w:type="paragraph" w:styleId="29" w:customStyle="1">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Style33" w:customStyle="1">
    <w:name w:val="Таблица текст"/>
    <w:basedOn w:val="Normal"/>
    <w:qFormat/>
    <w:pPr>
      <w:spacing w:before="40" w:after="40"/>
      <w:ind w:left="57" w:right="57"/>
    </w:pPr>
    <w:rPr>
      <w:sz w:val="24"/>
      <w:szCs w:val="26"/>
    </w:rPr>
  </w:style>
  <w:style w:type="paragraph" w:styleId="NormalWeb">
    <w:name w:val="Normal (Web)"/>
    <w:basedOn w:val="Normal"/>
    <w:qFormat/>
    <w:pPr>
      <w:spacing w:before="280" w:after="280"/>
    </w:pPr>
    <w:rPr>
      <w:sz w:val="24"/>
      <w:szCs w:val="24"/>
    </w:rPr>
  </w:style>
  <w:style w:type="paragraph" w:styleId="110" w:customStyle="1">
    <w:name w:val="УРОВЕНЬ_1."/>
    <w:basedOn w:val="ListParagraph"/>
    <w:link w:val="12"/>
    <w:qFormat/>
    <w:pPr>
      <w:keepNext w:val="true"/>
      <w:keepLines/>
      <w:spacing w:lineRule="auto" w:line="276" w:before="240" w:after="120"/>
      <w:ind w:left="0"/>
      <w:contextualSpacing w:val="false"/>
      <w:jc w:val="both"/>
      <w:outlineLvl w:val="0"/>
    </w:pPr>
    <w:rPr>
      <w:caps/>
      <w:sz w:val="28"/>
      <w:szCs w:val="28"/>
      <w:lang w:eastAsia="en-US"/>
    </w:rPr>
  </w:style>
  <w:style w:type="paragraph" w:styleId="TOC6">
    <w:name w:val="TOC 6"/>
    <w:basedOn w:val="Normal"/>
    <w:next w:val="Normal"/>
    <w:autoRedefine/>
    <w:pPr>
      <w:ind w:left="1120"/>
    </w:pPr>
    <w:rPr>
      <w:rFonts w:ascii="Calibri" w:hAnsi="Calibri" w:cs="Calibri"/>
      <w:sz w:val="20"/>
      <w:szCs w:val="20"/>
    </w:rPr>
  </w:style>
  <w:style w:type="paragraph" w:styleId="TOC7">
    <w:name w:val="TOC 7"/>
    <w:basedOn w:val="Normal"/>
    <w:next w:val="Normal"/>
    <w:autoRedefine/>
    <w:pPr>
      <w:ind w:left="1400"/>
    </w:pPr>
    <w:rPr>
      <w:rFonts w:ascii="Calibri" w:hAnsi="Calibri" w:cs="Calibri"/>
      <w:sz w:val="20"/>
      <w:szCs w:val="20"/>
    </w:rPr>
  </w:style>
  <w:style w:type="paragraph" w:styleId="TOC8">
    <w:name w:val="TOC 8"/>
    <w:basedOn w:val="Normal"/>
    <w:next w:val="Normal"/>
    <w:autoRedefine/>
    <w:pPr>
      <w:ind w:left="1680"/>
    </w:pPr>
    <w:rPr>
      <w:rFonts w:ascii="Calibri" w:hAnsi="Calibri" w:cs="Calibri"/>
      <w:sz w:val="20"/>
      <w:szCs w:val="20"/>
    </w:rPr>
  </w:style>
  <w:style w:type="paragraph" w:styleId="Style34" w:customStyle="1">
    <w:name w:val="Содержимое врезки"/>
    <w:basedOn w:val="Normal"/>
    <w:qFormat/>
    <w:pPr/>
    <w:rPr/>
  </w:style>
  <w:style w:type="paragraph" w:styleId="Style35" w:customStyle="1">
    <w:name w:val="Содержимое таблицы"/>
    <w:basedOn w:val="Normal"/>
    <w:qFormat/>
    <w:pPr>
      <w:widowControl w:val="false"/>
      <w:suppressLineNumbers/>
    </w:pPr>
    <w:rPr/>
  </w:style>
  <w:style w:type="paragraph" w:styleId="Style36" w:customStyle="1">
    <w:name w:val="Заголовок таблицы"/>
    <w:basedOn w:val="Style35"/>
    <w:qFormat/>
    <w:pPr>
      <w:jc w:val="center"/>
    </w:pPr>
    <w:rPr>
      <w:b/>
      <w:bCs/>
    </w:rPr>
  </w:style>
  <w:style w:type="paragraph" w:styleId="112" w:customStyle="1">
    <w:name w:val="Заголовок №1"/>
    <w:basedOn w:val="Normal"/>
    <w:link w:val="14"/>
    <w:qFormat/>
    <w:pPr>
      <w:shd w:val="clear" w:color="auto" w:fill="FFFFFF"/>
      <w:spacing w:lineRule="atLeast" w:line="240" w:before="0" w:after="1020"/>
      <w:ind w:hanging="520"/>
      <w:jc w:val="center"/>
      <w:outlineLvl w:val="0"/>
    </w:pPr>
    <w:rPr>
      <w:b/>
      <w:bCs/>
    </w:rPr>
  </w:style>
  <w:style w:type="paragraph" w:styleId="113" w:customStyle="1">
    <w:name w:val="Стиль 1.1."/>
    <w:link w:val="111"/>
    <w:autoRedefine/>
    <w:qFormat/>
    <w:pPr>
      <w:widowControl/>
      <w:suppressAutoHyphens w:val="true"/>
      <w:bidi w:val="0"/>
      <w:spacing w:before="0" w:after="0"/>
      <w:ind w:left="-83"/>
      <w:jc w:val="both"/>
    </w:pPr>
    <w:rPr>
      <w:rFonts w:ascii="Times New Roman" w:hAnsi="Times New Roman" w:eastAsia="Times New Roman" w:cs="Times New Roman"/>
      <w:color w:val="auto"/>
      <w:kern w:val="0"/>
      <w:sz w:val="24"/>
      <w:szCs w:val="24"/>
      <w:lang w:val="ru-RU" w:eastAsia="ru-RU" w:bidi="ar-SA"/>
    </w:rPr>
  </w:style>
  <w:style w:type="numbering" w:styleId="NoList" w:default="1">
    <w:name w:val="No List"/>
    <w:uiPriority w:val="99"/>
    <w:semiHidden/>
    <w:unhideWhenUsed/>
    <w:qFormat/>
  </w:style>
  <w:style w:type="numbering" w:styleId="114" w:customStyle="1">
    <w:name w:val="Стиль1"/>
    <w:qFormat/>
  </w:style>
  <w:style w:type="numbering" w:styleId="210" w:customStyle="1">
    <w:name w:val="Стиль2"/>
    <w:qFormat/>
  </w:style>
  <w:style w:type="numbering" w:styleId="8588091381" w:customStyle="1">
    <w:name w:val="8588091381"/>
    <w:qFormat/>
  </w:style>
  <w:style w:type="numbering" w:styleId="41537319651" w:customStyle="1">
    <w:name w:val="41537319651"/>
    <w:qFormat/>
  </w:style>
  <w:style w:type="table" w:default="1" w:styleId="a5">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yperlink" Target="https://reestr.minsvyaz.ru/reestr/" TargetMode="Externa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header" Target="header6.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Application>AlterOffice/2026.2.0.0$Linux_X86_64 LibreOffice_project/bc4ef1adf80b36c7a6365f8ed6cbf29021361edd</Application>
  <AppVersion>15.0000</AppVersion>
  <Pages>54</Pages>
  <Words>12616</Words>
  <Characters>91767</Characters>
  <CharactersWithSpaces>103417</CharactersWithSpaces>
  <Paragraphs>818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2026-04-23T07:54:00Z</dcterms:created>
  <dc:creator>Быстров Олег Геннадьевич</dc:creator>
  <dc:description/>
  <dc:language>ru-RU</dc:language>
  <cp:lastModifiedBy>zelentsovsn@corp.gidroogk.com</cp:lastModifiedBy>
  <cp:lastPrinted>2025-05-23T12:19:00Z</cp:lastPrinted>
  <dcterms:modified xsi:type="dcterms:W3CDTF">2026-09-29T17:47:19Z</dcterms:modified>
  <cp:revision>33</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