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szCs w:val="24"/>
        </w:rPr>
      </w:pPr>
      <w:r>
        <w:rPr>
          <w:rFonts w:cs="Times New Roman"/>
          <w:b/>
          <w:color w:val="000000"/>
          <w:szCs w:val="24"/>
        </w:rPr>
        <w:t>ТЕХНИЧЕСКИЕ ТРЕБОВАНИЯ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rFonts w:cs="Times New Roman"/>
          <w:b/>
          <w:color w:val="000000"/>
          <w:szCs w:val="24"/>
          <w:shd w:fill="FFFF00" w:val="clear"/>
        </w:rPr>
      </w:pPr>
      <w:r>
        <w:rPr>
          <w:rFonts w:cs="Times New Roman"/>
          <w:b/>
          <w:color w:val="000000"/>
          <w:szCs w:val="24"/>
          <w:shd w:fill="FFFF00" w:val="clear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rFonts w:cs="Times New Roman" w:ascii="Times New Roman;Times;serif" w:hAnsi="Times New Roman;Times;serif"/>
          <w:color w:val="000000"/>
          <w:szCs w:val="24"/>
          <w:shd w:fill="auto" w:val="clear"/>
        </w:rPr>
        <w:t xml:space="preserve">ОКПД2: </w:t>
      </w:r>
      <w:r>
        <w:rPr>
          <w:rFonts w:cs="Times New Roman" w:ascii="Times New Roman;Times;serif" w:hAnsi="Times New Roman;Times;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27.40.39.113 П</w:t>
      </w:r>
      <w:r>
        <w:rPr>
          <w:rFonts w:cs="Times New Roman" w:ascii="Times New Roman;Times;serif" w:hAnsi="Times New Roman;Times;serif"/>
          <w:color w:val="000000"/>
          <w:szCs w:val="24"/>
          <w:shd w:fill="auto" w:val="clear"/>
        </w:rPr>
        <w:t>оставка светодиодных светильников для выполнения работ на Новосибирской ГЭС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rFonts w:cs="Times New Roman"/>
          <w:color w:val="000000"/>
          <w:szCs w:val="24"/>
          <w:shd w:fill="auto" w:val="clear"/>
        </w:rPr>
        <w:t>(Лот № 0160-РЕМ ДОХ-2026-ГРВКК-СШФ</w:t>
      </w:r>
      <w:r>
        <w:rPr>
          <w:rFonts w:eastAsia="Geneva" w:cs="Times New Roman"/>
          <w:color w:val="000000"/>
          <w:szCs w:val="24"/>
          <w:shd w:fill="auto" w:val="clear"/>
        </w:rPr>
        <w:t>)</w:t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  <w:r>
        <w:br w:type="page"/>
      </w:r>
    </w:p>
    <w:p>
      <w:pPr>
        <w:pStyle w:val="Heading4"/>
        <w:numPr>
          <w:ilvl w:val="0"/>
          <w:numId w:val="5"/>
        </w:numPr>
        <w:tabs>
          <w:tab w:val="clear" w:pos="709"/>
          <w:tab w:val="left" w:pos="0" w:leader="none"/>
        </w:tabs>
        <w:ind w:hanging="360" w:left="426"/>
        <w:jc w:val="center"/>
        <w:rPr/>
      </w:pPr>
      <w:r>
        <w:rPr>
          <w:color w:val="000000"/>
        </w:rPr>
        <w:t>Общие сведения</w:t>
      </w:r>
    </w:p>
    <w:p>
      <w:pPr>
        <w:pStyle w:val="Normal"/>
        <w:tabs>
          <w:tab w:val="clear" w:pos="720"/>
          <w:tab w:val="left" w:pos="0" w:leader="none"/>
        </w:tabs>
        <w:ind w:hanging="360" w:left="426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Heading4"/>
        <w:numPr>
          <w:ilvl w:val="1"/>
          <w:numId w:val="6"/>
        </w:numPr>
        <w:ind w:firstLine="709" w:left="0"/>
        <w:rPr/>
      </w:pPr>
      <w:bookmarkStart w:id="0" w:name="_Toc46743506"/>
      <w:bookmarkStart w:id="1" w:name="_Toc75446568"/>
      <w:bookmarkStart w:id="2" w:name="_Toc75446569"/>
      <w:bookmarkEnd w:id="2"/>
      <w:r>
        <w:rPr>
          <w:color w:val="000000"/>
        </w:rPr>
        <w:t>Наименование закупаемой продукции</w:t>
      </w:r>
      <w:bookmarkEnd w:id="0"/>
      <w:bookmarkEnd w:id="1"/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both"/>
        <w:outlineLvl w:val="0"/>
        <w:rPr>
          <w:szCs w:val="24"/>
        </w:rPr>
      </w:pPr>
      <w:r>
        <w:rPr>
          <w:rFonts w:cs="Times New Roman" w:ascii="Times New Roman;Times;serif" w:hAnsi="Times New Roman;Times;serif"/>
          <w:color w:val="000000"/>
          <w:szCs w:val="24"/>
          <w:lang w:val="x-none"/>
        </w:rPr>
        <w:tab/>
      </w:r>
      <w:r>
        <w:rPr>
          <w:rFonts w:cs="Times New Roman" w:ascii="Times New Roman;Times;serif" w:hAnsi="Times New Roman;Times;serif"/>
          <w:color w:val="000000"/>
          <w:szCs w:val="24"/>
          <w:shd w:fill="auto" w:val="clear"/>
          <w:lang w:val="x-none"/>
        </w:rPr>
        <w:t>ОКПД2: 27.40.39.113 Поставка светодиодных светильников для выполнения работ на Новосибирской ГЭС</w:t>
      </w:r>
      <w:r>
        <w:rPr>
          <w:color w:val="000000"/>
          <w:szCs w:val="24"/>
        </w:rPr>
        <w:t xml:space="preserve"> (далее – продукция).</w:t>
      </w:r>
    </w:p>
    <w:p>
      <w:pPr>
        <w:pStyle w:val="Normal"/>
        <w:ind w:firstLine="419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Heading4"/>
        <w:numPr>
          <w:ilvl w:val="1"/>
          <w:numId w:val="6"/>
        </w:numPr>
        <w:ind w:firstLine="709" w:left="0"/>
        <w:rPr/>
      </w:pPr>
      <w:bookmarkStart w:id="3" w:name="_Toc46743507"/>
      <w:bookmarkStart w:id="4" w:name="_Toc75446569_Копия_1"/>
      <w:bookmarkEnd w:id="4"/>
      <w:r>
        <w:rPr>
          <w:color w:val="000000"/>
        </w:rPr>
        <w:t xml:space="preserve">Цель </w:t>
      </w:r>
      <w:bookmarkEnd w:id="3"/>
      <w:r>
        <w:rPr>
          <w:color w:val="000000"/>
        </w:rPr>
        <w:t xml:space="preserve">использования закупаемой продукции </w:t>
      </w:r>
    </w:p>
    <w:p>
      <w:pPr>
        <w:pStyle w:val="Heading4"/>
        <w:rPr/>
      </w:pPr>
      <w:r>
        <w:rPr>
          <w:rStyle w:val="Style"/>
          <w:b/>
          <w:i w:val="false"/>
          <w:color w:val="000000"/>
          <w:shd w:fill="FFFFFF" w:val="clear"/>
        </w:rPr>
        <w:t>Исполнение договора:</w:t>
      </w:r>
    </w:p>
    <w:p>
      <w:pPr>
        <w:pStyle w:val="Normal"/>
        <w:ind w:firstLine="454"/>
        <w:jc w:val="both"/>
        <w:rPr/>
      </w:pPr>
      <w:r>
        <w:rPr>
          <w:rStyle w:val="Style"/>
          <w:b w:val="false"/>
          <w:bCs w:val="false"/>
          <w:i w:val="false"/>
          <w:color w:val="000000"/>
          <w:szCs w:val="24"/>
          <w:shd w:fill="FFFFFF" w:val="clear"/>
        </w:rPr>
        <w:t xml:space="preserve">Исполнение обязательств по Договорам подряда: </w:t>
      </w:r>
    </w:p>
    <w:p>
      <w:pPr>
        <w:pStyle w:val="Normal"/>
        <w:ind w:firstLine="454"/>
        <w:jc w:val="both"/>
        <w:rPr/>
      </w:pPr>
      <w:r>
        <w:rPr>
          <w:color w:val="000000"/>
        </w:rPr>
        <w:t xml:space="preserve">№ </w:t>
      </w:r>
      <w:r>
        <w:rPr>
          <w:color w:val="000000"/>
        </w:rPr>
        <w:t>8-ТПиР-2025 от 29.07.2025 «Монтаж и наладка оборудования системы маслохозяйства Новосибирской ГЭС в рамках инвестиционного проекта I_T-1260-022»;</w:t>
      </w:r>
    </w:p>
    <w:p>
      <w:pPr>
        <w:pStyle w:val="Normal"/>
        <w:ind w:firstLine="454"/>
        <w:jc w:val="both"/>
        <w:rPr/>
      </w:pPr>
      <w:r>
        <w:rPr>
          <w:color w:val="000000"/>
        </w:rPr>
        <w:t xml:space="preserve">№ </w:t>
      </w:r>
      <w:r>
        <w:rPr>
          <w:color w:val="000000"/>
        </w:rPr>
        <w:t>4-РЕМ-2023 от 11.10.2023 «Капитальный и текущий ремонт основного и вспомогательного оборудования, зданий и сооружений Филиала ПАО «РусГидро»-«Новосибирская ГЭС»</w:t>
      </w:r>
      <w:r>
        <w:rPr>
          <w:rStyle w:val="Style"/>
          <w:b w:val="false"/>
          <w:i w:val="false"/>
          <w:color w:val="000000"/>
          <w:szCs w:val="24"/>
          <w:shd w:fill="auto" w:val="clear"/>
        </w:rPr>
        <w:t xml:space="preserve"> заключенный между ф</w:t>
      </w:r>
      <w:r>
        <w:rPr/>
        <w:t>илиалом ПАО «РусГидро»-«Новосибирская ГЭС» и АО «Гидроремонт-ВКК».</w:t>
      </w:r>
    </w:p>
    <w:p>
      <w:pPr>
        <w:pStyle w:val="Normal"/>
        <w:ind w:firstLine="454"/>
        <w:rPr>
          <w:rFonts w:cs="Times New Roman"/>
          <w:bCs/>
          <w:color w:val="000000"/>
          <w:sz w:val="16"/>
          <w:szCs w:val="16"/>
          <w:shd w:fill="FFFFFF" w:val="clear"/>
        </w:rPr>
      </w:pPr>
      <w:r>
        <w:rPr>
          <w:rFonts w:cs="Times New Roman"/>
          <w:bCs/>
          <w:color w:val="000000"/>
          <w:sz w:val="16"/>
          <w:szCs w:val="16"/>
          <w:shd w:fill="FFFFFF" w:val="clear"/>
        </w:rPr>
      </w:r>
    </w:p>
    <w:p>
      <w:pPr>
        <w:pStyle w:val="Heading1"/>
        <w:numPr>
          <w:ilvl w:val="0"/>
          <w:numId w:val="5"/>
        </w:numPr>
        <w:tabs>
          <w:tab w:val="clear" w:pos="0"/>
          <w:tab w:val="clear" w:pos="709"/>
        </w:tabs>
        <w:ind w:hanging="360" w:left="426"/>
        <w:jc w:val="center"/>
        <w:rPr>
          <w:sz w:val="24"/>
          <w:szCs w:val="24"/>
        </w:rPr>
      </w:pPr>
      <w:bookmarkStart w:id="5" w:name="_Toc75446573"/>
      <w:bookmarkStart w:id="6" w:name="_Toc51339693"/>
      <w:r>
        <w:rPr>
          <w:color w:val="000000"/>
          <w:sz w:val="24"/>
          <w:szCs w:val="24"/>
        </w:rPr>
        <w:t>Требования к продукции</w:t>
      </w:r>
      <w:bookmarkEnd w:id="5"/>
      <w:bookmarkEnd w:id="6"/>
    </w:p>
    <w:p>
      <w:pPr>
        <w:pStyle w:val="Normal"/>
        <w:rPr>
          <w:rFonts w:cs="Times New Roman"/>
          <w:color w:val="000000"/>
          <w:sz w:val="16"/>
          <w:szCs w:val="16"/>
          <w:lang w:eastAsia="x-none"/>
        </w:rPr>
      </w:pPr>
      <w:r>
        <w:rPr>
          <w:rFonts w:cs="Times New Roman"/>
          <w:color w:val="000000"/>
          <w:sz w:val="16"/>
          <w:szCs w:val="16"/>
          <w:lang w:eastAsia="x-none"/>
        </w:rPr>
      </w:r>
    </w:p>
    <w:p>
      <w:pPr>
        <w:pStyle w:val="Heading4"/>
        <w:numPr>
          <w:ilvl w:val="1"/>
          <w:numId w:val="5"/>
        </w:numPr>
        <w:tabs>
          <w:tab w:val="clear" w:pos="0"/>
          <w:tab w:val="left" w:pos="709" w:leader="none"/>
        </w:tabs>
        <w:ind w:hanging="360" w:left="1134"/>
        <w:rPr/>
      </w:pPr>
      <w:bookmarkStart w:id="7" w:name="_Toc75446574"/>
      <w:r>
        <w:rPr>
          <w:color w:val="000000"/>
        </w:rPr>
        <w:t xml:space="preserve">Требования к объемам и срокам </w:t>
      </w:r>
      <w:r>
        <w:rPr>
          <w:color w:val="000000"/>
          <w:lang w:val="ru-RU"/>
        </w:rPr>
        <w:t>поставки</w:t>
      </w:r>
      <w:bookmarkEnd w:id="7"/>
    </w:p>
    <w:p>
      <w:pPr>
        <w:pStyle w:val="Heading3"/>
        <w:numPr>
          <w:ilvl w:val="2"/>
          <w:numId w:val="5"/>
        </w:numPr>
        <w:tabs>
          <w:tab w:val="clear" w:pos="0"/>
          <w:tab w:val="left" w:pos="709" w:leader="none"/>
        </w:tabs>
        <w:ind w:firstLine="709" w:left="0"/>
        <w:rPr/>
      </w:pPr>
      <w:bookmarkStart w:id="8" w:name="_Toc75446575"/>
      <w:r>
        <w:rPr>
          <w:color w:val="000000"/>
        </w:rPr>
        <w:t>Перечень и объем закупаемой продукции</w:t>
      </w:r>
      <w:bookmarkEnd w:id="8"/>
    </w:p>
    <w:p>
      <w:pPr>
        <w:pStyle w:val="Normal"/>
        <w:rPr>
          <w:rFonts w:cs="Times New Roman"/>
          <w:color w:val="000000"/>
          <w:sz w:val="16"/>
          <w:szCs w:val="16"/>
          <w:lang w:val="x-none" w:eastAsia="x-none"/>
        </w:rPr>
      </w:pPr>
      <w:r>
        <w:rPr>
          <w:rFonts w:cs="Times New Roman"/>
          <w:color w:val="000000"/>
          <w:sz w:val="16"/>
          <w:szCs w:val="16"/>
          <w:lang w:val="x-none" w:eastAsia="x-none"/>
        </w:rPr>
      </w:r>
    </w:p>
    <w:p>
      <w:pPr>
        <w:pStyle w:val="Normal"/>
        <w:jc w:val="both"/>
        <w:rPr>
          <w:szCs w:val="24"/>
        </w:rPr>
      </w:pPr>
      <w:bookmarkStart w:id="9" w:name="_Toc75446576"/>
      <w:bookmarkStart w:id="10" w:name="_Toc51339695"/>
      <w:r>
        <w:rPr>
          <w:rFonts w:cs="Times New Roman"/>
          <w:color w:val="000000"/>
          <w:szCs w:val="24"/>
        </w:rPr>
        <w:t xml:space="preserve">Таблица 1. Перечень </w:t>
      </w:r>
      <w:bookmarkEnd w:id="10"/>
      <w:r>
        <w:rPr>
          <w:rFonts w:cs="Times New Roman"/>
          <w:color w:val="000000"/>
          <w:szCs w:val="24"/>
        </w:rPr>
        <w:t>и объем закупаемой продукци</w:t>
      </w:r>
      <w:bookmarkEnd w:id="9"/>
      <w:r>
        <w:rPr>
          <w:rFonts w:cs="Times New Roman"/>
          <w:color w:val="000000"/>
          <w:szCs w:val="24"/>
        </w:rPr>
        <w:t>и</w:t>
      </w:r>
    </w:p>
    <w:tbl>
      <w:tblPr>
        <w:tblW w:w="964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6"/>
        <w:gridCol w:w="7102"/>
        <w:gridCol w:w="996"/>
        <w:gridCol w:w="948"/>
      </w:tblGrid>
      <w:tr>
        <w:trPr>
          <w:trHeight w:val="691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п/п</w:t>
            </w:r>
          </w:p>
        </w:tc>
        <w:tc>
          <w:tcPr>
            <w:tcW w:w="7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Наименование продукции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</w:rPr>
              <w:t>Ед</w:t>
            </w:r>
            <w:r>
              <w:rPr>
                <w:rFonts w:cs="Times New Roman"/>
                <w:color w:val="000000"/>
                <w:szCs w:val="24"/>
                <w:lang w:val="en-US"/>
              </w:rPr>
              <w:t>.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  <w:lang w:val="en-US"/>
              </w:rPr>
              <w:t>и</w:t>
            </w:r>
            <w:r>
              <w:rPr>
                <w:rFonts w:cs="Times New Roman"/>
                <w:color w:val="000000"/>
                <w:szCs w:val="24"/>
              </w:rPr>
              <w:t>зм</w:t>
            </w:r>
            <w:r>
              <w:rPr>
                <w:rFonts w:cs="Times New Roman"/>
                <w:color w:val="000000"/>
                <w:szCs w:val="24"/>
                <w:lang w:val="en-US"/>
              </w:rPr>
              <w:t>.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Кол</w:t>
            </w:r>
            <w:r>
              <w:rPr>
                <w:rFonts w:cs="Times New Roman"/>
                <w:color w:val="000000"/>
                <w:szCs w:val="24"/>
                <w:lang w:val="en-US"/>
              </w:rPr>
              <w:t>-</w:t>
            </w:r>
            <w:r>
              <w:rPr>
                <w:rFonts w:cs="Times New Roman"/>
                <w:color w:val="000000"/>
                <w:szCs w:val="24"/>
              </w:rPr>
              <w:t>во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7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4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0" w:left="0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</w:r>
          </w:p>
        </w:tc>
        <w:tc>
          <w:tcPr>
            <w:tcW w:w="7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Светодиодный взрывозащищенный светильник, с концевой клеммной коробкой, с креплением скоба, с кабельным вводом под металлорукав с Ду 20 мм, ООО ТД "ФОКУС"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</w:rPr>
              <w:t>шт</w:t>
            </w:r>
            <w:r>
              <w:rPr>
                <w:color w:val="000000"/>
                <w:sz w:val="22"/>
                <w:lang w:val="en-US"/>
              </w:rPr>
              <w:t>.</w:t>
            </w:r>
          </w:p>
        </w:tc>
        <w:tc>
          <w:tcPr>
            <w:tcW w:w="9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0" w:left="0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</w:r>
          </w:p>
        </w:tc>
        <w:tc>
          <w:tcPr>
            <w:tcW w:w="7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Светодиодный светильник, накладной, с матовым рессеивателем, ООО ТД "ФОКУС"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</w:rPr>
              <w:t>шт</w:t>
            </w:r>
            <w:r>
              <w:rPr>
                <w:color w:val="000000"/>
                <w:sz w:val="22"/>
                <w:lang w:val="en-US"/>
              </w:rPr>
              <w:t>.</w:t>
            </w:r>
          </w:p>
        </w:tc>
        <w:tc>
          <w:tcPr>
            <w:tcW w:w="9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13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0" w:left="0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</w:r>
          </w:p>
        </w:tc>
        <w:tc>
          <w:tcPr>
            <w:tcW w:w="7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 TL-PROM TRADE 55S L1517 IP65 5K УТ000010775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9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0" w:left="0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</w:r>
          </w:p>
        </w:tc>
        <w:tc>
          <w:tcPr>
            <w:tcW w:w="7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 TL-PROM TRADE 37S L1150 IP65 5K УТ000011209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9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0" w:left="0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</w:r>
          </w:p>
        </w:tc>
        <w:tc>
          <w:tcPr>
            <w:tcW w:w="7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 TL-PROM TRADE 17S L417 IP65 5K УТ000011693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9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0" w:left="0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</w:r>
          </w:p>
        </w:tc>
        <w:tc>
          <w:tcPr>
            <w:tcW w:w="7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светодиодный, (УСС-9 Д2Ех)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9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0" w:left="0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</w:r>
          </w:p>
        </w:tc>
        <w:tc>
          <w:tcPr>
            <w:tcW w:w="7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светодиодный, (XLD-FL90-WHS-220-115-02)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9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0" w:left="0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</w:r>
          </w:p>
        </w:tc>
        <w:tc>
          <w:tcPr>
            <w:tcW w:w="7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Промышленный светодиодный светильник, (INDUSTRY.9-030)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9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Heading3"/>
        <w:numPr>
          <w:ilvl w:val="2"/>
          <w:numId w:val="5"/>
        </w:numPr>
        <w:tabs>
          <w:tab w:val="clear" w:pos="0"/>
          <w:tab w:val="left" w:pos="709" w:leader="none"/>
        </w:tabs>
        <w:ind w:firstLine="709" w:left="0"/>
        <w:rPr/>
      </w:pPr>
      <w:bookmarkStart w:id="11" w:name="_Toc75446578"/>
      <w:bookmarkStart w:id="12" w:name="_Toc51339696"/>
      <w:r>
        <w:rPr>
          <w:color w:val="000000"/>
        </w:rPr>
        <w:t xml:space="preserve">Требования </w:t>
      </w:r>
      <w:bookmarkEnd w:id="12"/>
      <w:r>
        <w:rPr>
          <w:color w:val="000000"/>
        </w:rPr>
        <w:t xml:space="preserve">к срокам поставки продукции </w:t>
      </w:r>
      <w:bookmarkEnd w:id="11"/>
    </w:p>
    <w:p>
      <w:pPr>
        <w:pStyle w:val="Normal"/>
        <w:rPr>
          <w:szCs w:val="24"/>
        </w:rPr>
      </w:pPr>
      <w:bookmarkStart w:id="13" w:name="_Toc75446579"/>
      <w:bookmarkStart w:id="14" w:name="_Toc50125127"/>
      <w:bookmarkStart w:id="15" w:name="_Toc51339697"/>
      <w:r>
        <w:rPr>
          <w:rFonts w:cs="Times New Roman"/>
          <w:color w:val="000000"/>
          <w:szCs w:val="24"/>
          <w:lang w:eastAsia="x-none"/>
        </w:rPr>
        <w:t xml:space="preserve">Таблица 2. </w:t>
      </w:r>
      <w:bookmarkStart w:id="16" w:name="_Hlk50465284"/>
      <w:r>
        <w:rPr>
          <w:rFonts w:cs="Times New Roman"/>
          <w:color w:val="000000"/>
          <w:szCs w:val="24"/>
          <w:lang w:eastAsia="x-none"/>
        </w:rPr>
        <w:t xml:space="preserve">Требования по срокам </w:t>
      </w:r>
      <w:bookmarkEnd w:id="14"/>
      <w:bookmarkEnd w:id="15"/>
      <w:bookmarkEnd w:id="16"/>
      <w:r>
        <w:rPr>
          <w:rFonts w:cs="Times New Roman"/>
          <w:color w:val="000000"/>
          <w:szCs w:val="24"/>
          <w:lang w:eastAsia="x-none"/>
        </w:rPr>
        <w:t>поставки продукции</w:t>
      </w:r>
      <w:bookmarkEnd w:id="13"/>
      <w:r>
        <w:rPr>
          <w:rFonts w:cs="Times New Roman"/>
          <w:color w:val="000000"/>
          <w:szCs w:val="24"/>
          <w:lang w:eastAsia="x-none"/>
        </w:rPr>
        <w:t xml:space="preserve"> </w:t>
      </w:r>
    </w:p>
    <w:tbl>
      <w:tblPr>
        <w:tblW w:w="9944" w:type="dxa"/>
        <w:jc w:val="left"/>
        <w:tblInd w:w="-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91"/>
        <w:gridCol w:w="4800"/>
        <w:gridCol w:w="1771"/>
        <w:gridCol w:w="2481"/>
      </w:tblGrid>
      <w:tr>
        <w:trPr/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№ </w:t>
            </w:r>
            <w:r>
              <w:rPr>
                <w:rFonts w:cs="Times New Roman"/>
                <w:color w:val="000000"/>
                <w:szCs w:val="24"/>
              </w:rPr>
              <w:t>п/п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Наименование продукции / партии продукции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4</w:t>
            </w:r>
          </w:p>
        </w:tc>
      </w:tr>
      <w:tr>
        <w:trPr>
          <w:trHeight w:val="925" w:hRule="atLeast"/>
        </w:trPr>
        <w:tc>
          <w:tcPr>
            <w:tcW w:w="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right="170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1.</w:t>
            </w:r>
          </w:p>
        </w:tc>
        <w:tc>
          <w:tcPr>
            <w:tcW w:w="4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900" w:leader="none"/>
              </w:tabs>
              <w:spacing w:lineRule="auto" w:line="276"/>
              <w:ind w:hanging="0" w:left="0"/>
              <w:jc w:val="center"/>
              <w:outlineLvl w:val="0"/>
              <w:rPr>
                <w:szCs w:val="24"/>
              </w:rPr>
            </w:pPr>
            <w:r>
              <w:rPr>
                <w:rFonts w:cs="Times New Roman" w:ascii="Times New Roman;Times;serif" w:hAnsi="Times New Roman;Times;serif"/>
                <w:color w:val="000000"/>
                <w:szCs w:val="24"/>
                <w:shd w:fill="auto" w:val="clear"/>
                <w:lang w:val="x-none"/>
              </w:rPr>
              <w:t>ОКПД2: 27.40.39.113 Поставка светодиодных светильников для выполнения работ на Новосибирской ГЭС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С даты подписания договора</w:t>
            </w:r>
          </w:p>
        </w:tc>
        <w:tc>
          <w:tcPr>
            <w:tcW w:w="2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 течение </w:t>
            </w:r>
            <w:r>
              <w:rPr>
                <w:rFonts w:cs="Times New Roman"/>
                <w:color w:val="000000"/>
                <w:szCs w:val="24"/>
              </w:rPr>
              <w:t>9</w:t>
            </w:r>
            <w:r>
              <w:rPr>
                <w:rFonts w:cs="Times New Roman"/>
                <w:color w:val="000000"/>
                <w:szCs w:val="24"/>
                <w:shd w:fill="auto" w:val="clear"/>
              </w:rPr>
              <w:t>0</w:t>
            </w:r>
            <w:r>
              <w:rPr>
                <w:rFonts w:cs="Times New Roman"/>
                <w:color w:val="000000"/>
                <w:szCs w:val="24"/>
              </w:rPr>
              <w:t xml:space="preserve"> календарных дней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418" w:right="707" w:gutter="0" w:header="0" w:top="567" w:footer="78" w:bottom="567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ListParagraph"/>
        <w:numPr>
          <w:ilvl w:val="1"/>
          <w:numId w:val="5"/>
        </w:numPr>
        <w:rPr>
          <w:b/>
          <w:color w:val="000000"/>
          <w:lang w:eastAsia="x-none"/>
        </w:rPr>
      </w:pPr>
      <w:r>
        <w:rPr>
          <w:rFonts w:cs="Times New Roman"/>
          <w:b/>
          <w:bCs/>
          <w:color w:val="000000"/>
          <w:szCs w:val="24"/>
          <w:lang w:eastAsia="x-none"/>
        </w:rPr>
        <w:t>Требования к качеству продукции</w:t>
      </w:r>
    </w:p>
    <w:p>
      <w:pPr>
        <w:pStyle w:val="Normal"/>
        <w:ind w:firstLine="432"/>
        <w:jc w:val="both"/>
        <w:rPr>
          <w:b w:val="false"/>
          <w:bCs w:val="false"/>
        </w:rPr>
      </w:pPr>
      <w:r>
        <w:rPr>
          <w:rFonts w:cs="Times New Roman"/>
          <w:b w:val="false"/>
          <w:bCs w:val="false"/>
          <w:i/>
          <w:color w:val="000000"/>
          <w:szCs w:val="24"/>
          <w:lang w:eastAsia="x-none"/>
        </w:rPr>
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p>
      <w:pPr>
        <w:pStyle w:val="Normal"/>
        <w:ind w:firstLine="432"/>
        <w:jc w:val="both"/>
        <w:rPr>
          <w:bCs/>
          <w:i/>
          <w:i/>
          <w:szCs w:val="24"/>
          <w:lang w:eastAsia="x-none"/>
        </w:rPr>
      </w:pPr>
      <w:r>
        <w:rPr>
          <w:bCs/>
          <w:i/>
          <w:szCs w:val="24"/>
          <w:lang w:eastAsia="x-none"/>
        </w:rPr>
      </w:r>
    </w:p>
    <w:p>
      <w:pPr>
        <w:pStyle w:val="ListParagraph"/>
        <w:numPr>
          <w:ilvl w:val="0"/>
          <w:numId w:val="0"/>
        </w:numPr>
        <w:spacing w:before="0" w:after="0"/>
        <w:ind w:hanging="0" w:left="1077"/>
        <w:contextualSpacing/>
        <w:rPr>
          <w:rFonts w:cs="Times New Roman"/>
          <w:color w:val="000000"/>
          <w:sz w:val="16"/>
          <w:szCs w:val="16"/>
          <w:lang w:eastAsia="x-none"/>
        </w:rPr>
      </w:pPr>
      <w:r>
        <w:rPr>
          <w:rFonts w:cs="Times New Roman"/>
          <w:color w:val="000000"/>
          <w:sz w:val="16"/>
          <w:szCs w:val="16"/>
          <w:lang w:eastAsia="x-none"/>
        </w:rPr>
      </w:r>
    </w:p>
    <w:p>
      <w:pPr>
        <w:pStyle w:val="Normal"/>
        <w:widowControl/>
        <w:suppressAutoHyphens w:val="true"/>
        <w:overflowPunct w:val="true"/>
        <w:bidi w:val="0"/>
        <w:spacing w:before="0" w:after="0"/>
        <w:ind w:hanging="0" w:left="283" w:right="340"/>
        <w:jc w:val="left"/>
        <w:rPr>
          <w:szCs w:val="24"/>
        </w:rPr>
      </w:pPr>
      <w:r>
        <w:rPr>
          <w:rFonts w:cs="Times New Roman"/>
          <w:color w:val="000000"/>
          <w:szCs w:val="24"/>
          <w:lang w:eastAsia="x-none"/>
        </w:rPr>
        <w:tab/>
      </w:r>
      <w:bookmarkStart w:id="17" w:name="_Toc75446582"/>
      <w:r>
        <w:rPr>
          <w:rFonts w:cs="Times New Roman"/>
          <w:color w:val="000000"/>
          <w:szCs w:val="24"/>
          <w:lang w:eastAsia="x-none"/>
        </w:rPr>
        <w:t xml:space="preserve">Таблица 3. </w:t>
      </w:r>
      <w:bookmarkEnd w:id="17"/>
      <w:r>
        <w:rPr>
          <w:rFonts w:cs="Times New Roman"/>
          <w:color w:val="000000"/>
          <w:sz w:val="24"/>
          <w:szCs w:val="24"/>
          <w:lang w:eastAsia="x-none"/>
        </w:rPr>
        <w:t xml:space="preserve">Наименование продукции (Таблицы 1): </w:t>
      </w:r>
      <w:r>
        <w:rPr>
          <w:rFonts w:cs="Times New Roman" w:ascii="Times New Roman;Times;serif" w:hAnsi="Times New Roman;Times;serif"/>
          <w:color w:val="000000"/>
          <w:sz w:val="24"/>
          <w:szCs w:val="24"/>
          <w:shd w:fill="auto" w:val="clear"/>
          <w:lang w:val="x-none" w:eastAsia="x-none"/>
        </w:rPr>
        <w:t>ОКПД2: 27.40.39.113 Поставка светодиодных светильников для выполнения работ на Новосибирской ГЭС</w:t>
      </w:r>
    </w:p>
    <w:tbl>
      <w:tblPr>
        <w:tblW w:w="1453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047"/>
        <w:gridCol w:w="2318"/>
        <w:gridCol w:w="3000"/>
        <w:gridCol w:w="2326"/>
        <w:gridCol w:w="2041"/>
        <w:gridCol w:w="2129"/>
      </w:tblGrid>
      <w:tr>
        <w:trPr>
          <w:trHeight w:val="1241" w:hRule="atLeast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2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Требование заказчика</w:t>
            </w:r>
          </w:p>
        </w:tc>
        <w:tc>
          <w:tcPr>
            <w:tcW w:w="4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DotumChe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7</w:t>
            </w:r>
          </w:p>
        </w:tc>
      </w:tr>
      <w:tr>
        <w:trPr>
          <w:trHeight w:val="23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8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Требования к техническим и функциональным характеристикам</w:t>
            </w:r>
          </w:p>
        </w:tc>
      </w:tr>
      <w:tr>
        <w:trPr>
          <w:trHeight w:val="215" w:hRule="atLeast"/>
        </w:trPr>
        <w:tc>
          <w:tcPr>
            <w:tcW w:w="6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204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overflowPunct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Светодиодный взрывозащищенный светильник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Производитель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ТД "ФОКУС"</w:t>
            </w:r>
          </w:p>
        </w:tc>
        <w:tc>
          <w:tcPr>
            <w:tcW w:w="2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Серия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ПСС 30 1Ех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Мощность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Вт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Напряжение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Степень защиты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Маркировка взрывозащиты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1Ex mb II</w:t>
            </w: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T6 Gc X 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Ex tb IIIC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Комплект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Концевая клеммная коробка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Крепление скоба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Кабельный ввод под металлорукав с Ду 20 мм.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204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Светодиодный светильник, накладной, с матовым рессеивателем</w:t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Производитель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ООО ТД "ФОКУС"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Название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СПО-12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lang w:val="en-US"/>
              </w:rPr>
              <w:t>Напряжение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220</w:t>
            </w:r>
            <w:r>
              <w:rPr>
                <w:color w:val="000000"/>
                <w:sz w:val="22"/>
                <w:lang w:val="en-US"/>
              </w:rPr>
              <w:t xml:space="preserve"> </w:t>
            </w:r>
            <w:r>
              <w:rPr>
                <w:color w:val="000000"/>
                <w:sz w:val="22"/>
              </w:rPr>
              <w:t>В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lang w:val="en-US"/>
              </w:rPr>
              <w:t>Мощность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13</w:t>
            </w:r>
            <w:r>
              <w:rPr>
                <w:color w:val="000000"/>
                <w:sz w:val="22"/>
                <w:lang w:val="en-US"/>
              </w:rPr>
              <w:t xml:space="preserve"> </w:t>
            </w:r>
            <w:r>
              <w:rPr>
                <w:color w:val="000000"/>
                <w:sz w:val="22"/>
              </w:rPr>
              <w:t>Вт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Световой поток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1530</w:t>
            </w:r>
            <w:r>
              <w:rPr>
                <w:color w:val="000000"/>
                <w:sz w:val="22"/>
                <w:lang w:val="en-US"/>
              </w:rPr>
              <w:t xml:space="preserve"> </w:t>
            </w:r>
            <w:r>
              <w:rPr>
                <w:color w:val="000000"/>
                <w:sz w:val="22"/>
              </w:rPr>
              <w:t>лм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lang w:val="en-US"/>
              </w:rPr>
              <w:t>Степень защиты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IP</w:t>
            </w:r>
            <w:r>
              <w:rPr>
                <w:color w:val="000000"/>
                <w:sz w:val="22"/>
                <w:lang w:val="en-US"/>
              </w:rPr>
              <w:t xml:space="preserve"> </w:t>
            </w:r>
            <w:r>
              <w:rPr>
                <w:color w:val="000000"/>
                <w:sz w:val="22"/>
              </w:rPr>
              <w:t>50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1.3</w:t>
            </w:r>
          </w:p>
        </w:tc>
        <w:tc>
          <w:tcPr>
            <w:tcW w:w="204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overflowPunct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>Светильник светодиодный</w:t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Серия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TL-PROM TRADE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Мощность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55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Вт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Рабочее напряжение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176-264В AC /</w:t>
            </w:r>
          </w:p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250-370В DC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Артикул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УТ000010775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Рассеиватель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Прозрачный (S)</w:t>
            </w:r>
          </w:p>
        </w:tc>
        <w:tc>
          <w:tcPr>
            <w:tcW w:w="23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Степень защиты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IP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65</w:t>
            </w:r>
          </w:p>
        </w:tc>
        <w:tc>
          <w:tcPr>
            <w:tcW w:w="23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Цветовая температура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5000 К</w:t>
            </w:r>
          </w:p>
        </w:tc>
        <w:tc>
          <w:tcPr>
            <w:tcW w:w="23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Длина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1517 мм.</w:t>
            </w:r>
          </w:p>
        </w:tc>
        <w:tc>
          <w:tcPr>
            <w:tcW w:w="23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1.4</w:t>
            </w:r>
          </w:p>
        </w:tc>
        <w:tc>
          <w:tcPr>
            <w:tcW w:w="204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>Светильник светодиодный</w:t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Серия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TL-PROM TRADE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Мощность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37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Вт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Напряжение питания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198-242</w:t>
            </w:r>
            <w:r>
              <w:rPr>
                <w:lang w:val="en-US"/>
              </w:rPr>
              <w:t xml:space="preserve"> </w:t>
            </w:r>
            <w:r>
              <w:rPr/>
              <w:t>В АС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Артикул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УТ000011209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Рассеиватель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Прозрачный (S)</w:t>
            </w:r>
          </w:p>
        </w:tc>
        <w:tc>
          <w:tcPr>
            <w:tcW w:w="23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Степень защиты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IP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65</w:t>
            </w:r>
          </w:p>
        </w:tc>
        <w:tc>
          <w:tcPr>
            <w:tcW w:w="23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Цветовая температура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5000 К</w:t>
            </w:r>
          </w:p>
        </w:tc>
        <w:tc>
          <w:tcPr>
            <w:tcW w:w="23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Длина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1150 мм.</w:t>
            </w:r>
          </w:p>
        </w:tc>
        <w:tc>
          <w:tcPr>
            <w:tcW w:w="23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1.5</w:t>
            </w:r>
          </w:p>
        </w:tc>
        <w:tc>
          <w:tcPr>
            <w:tcW w:w="204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>Светильник светодиодный</w:t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Серия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TL-PROM TRADE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Мощность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17 Вт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>
                <w:top w:val="single" w:sz="2" w:space="0" w:color="EBEBEB"/>
                <w:left w:val="single" w:sz="2" w:space="11" w:color="EBEBEB"/>
              </w:pBdr>
              <w:jc w:val="center"/>
              <w:rPr>
                <w:lang w:val="en-US"/>
              </w:rPr>
            </w:pPr>
            <w:r>
              <w:rPr>
                <w:lang w:val="en-US"/>
              </w:rPr>
              <w:t>Напряжение питания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>
                <w:top w:val="single" w:sz="2" w:space="0" w:color="EBEBEB"/>
                <w:left w:val="single" w:sz="2" w:space="11" w:color="EBEBEB"/>
              </w:pBdr>
              <w:jc w:val="center"/>
              <w:rPr>
                <w:lang w:val="en-US"/>
              </w:rPr>
            </w:pPr>
            <w:r>
              <w:rPr>
                <w:lang w:val="en-US"/>
              </w:rPr>
              <w:t>176-264 B AC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Артикул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УТ000011693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Рассеиватель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Прозрачный (S)</w:t>
            </w:r>
          </w:p>
        </w:tc>
        <w:tc>
          <w:tcPr>
            <w:tcW w:w="23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Степень защиты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IP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65</w:t>
            </w:r>
          </w:p>
        </w:tc>
        <w:tc>
          <w:tcPr>
            <w:tcW w:w="23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Цветовая температура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5000 К</w:t>
            </w:r>
          </w:p>
        </w:tc>
        <w:tc>
          <w:tcPr>
            <w:tcW w:w="23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Длина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417 мм.</w:t>
            </w:r>
          </w:p>
        </w:tc>
        <w:tc>
          <w:tcPr>
            <w:tcW w:w="23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1.6</w:t>
            </w:r>
          </w:p>
        </w:tc>
        <w:tc>
          <w:tcPr>
            <w:tcW w:w="204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>Светильник светодиодный</w:t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Производитель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lang w:val="en-US"/>
              </w:rPr>
              <w:t>ООО ТД "ФОКУС"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Артикул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УСС-9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Тип кривой силы света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 </w:t>
            </w:r>
            <w:r>
              <w:rPr>
                <w:lang w:val="en-US"/>
              </w:rPr>
              <w:t>Зона взрывозащиты по пыли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2Ех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Степень защиты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IP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67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Напряжение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12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В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Мощность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11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Вт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1.7</w:t>
            </w:r>
          </w:p>
        </w:tc>
        <w:tc>
          <w:tcPr>
            <w:tcW w:w="204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>Светильник светодиодный</w:t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Артикул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XLD-FL90-WHS-220-115-02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Степень защиты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IP66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Напряжение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220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В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Мощность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160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Вт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1.8</w:t>
            </w:r>
          </w:p>
        </w:tc>
        <w:tc>
          <w:tcPr>
            <w:tcW w:w="204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>Промышленный светодиодный светильник</w:t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Серия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INDUSTRY.9-030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Степень защиты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IP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66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Напряжение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220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В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23" w:hRule="atLeast"/>
        </w:trPr>
        <w:tc>
          <w:tcPr>
            <w:tcW w:w="6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Мощность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30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Вт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/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151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8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151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Место поставки</w:t>
            </w:r>
          </w:p>
        </w:tc>
        <w:tc>
          <w:tcPr>
            <w:tcW w:w="5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000000"/>
                <w:sz w:val="24"/>
                <w:szCs w:val="24"/>
              </w:rPr>
              <w:t>Производственный участок АО «Гидроремонт-ВКК» в г. Новосибирск, 630056, Новосибирская обл., г. Новосибирск, ул. Новоморская, д. 4 (территория Новосибирской ГЭС).</w:t>
            </w:r>
          </w:p>
        </w:tc>
        <w:tc>
          <w:tcPr>
            <w:tcW w:w="2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151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Приемка продукции</w:t>
            </w:r>
          </w:p>
        </w:tc>
        <w:tc>
          <w:tcPr>
            <w:tcW w:w="5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000000"/>
                <w:sz w:val="24"/>
                <w:szCs w:val="24"/>
              </w:rPr>
              <w:t>Приемка продукции осуществляется только в рабочие дни с 9-00 до 11-00 и с 13-00 до 16-00.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151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151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8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i w:val="false"/>
                <w:i w:val="false"/>
                <w:iCs w:val="false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1137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Сроки гарантии</w:t>
            </w:r>
          </w:p>
        </w:tc>
        <w:tc>
          <w:tcPr>
            <w:tcW w:w="5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20"/>
                <w:tab w:val="left" w:pos="1134" w:leader="none"/>
                <w:tab w:val="left" w:pos="1276" w:leader="none"/>
              </w:tabs>
              <w:suppressAutoHyphens w:val="true"/>
              <w:overflowPunct w:val="false"/>
              <w:bidi w:val="0"/>
              <w:spacing w:before="0" w:after="120"/>
              <w:ind w:hanging="0" w:left="0" w:right="0"/>
              <w:jc w:val="both"/>
              <w:rPr/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На позиции №№1.2, 1.3, 1.4, 1.5, 1.6 настоящих технических требований - не менее 60 месяцев с даты подписания сторонами ТОРГ-12 (УПД).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20"/>
                <w:tab w:val="left" w:pos="1134" w:leader="none"/>
                <w:tab w:val="left" w:pos="1276" w:leader="none"/>
              </w:tabs>
              <w:suppressAutoHyphens w:val="true"/>
              <w:overflowPunct w:val="false"/>
              <w:bidi w:val="0"/>
              <w:spacing w:before="0" w:after="120"/>
              <w:ind w:hanging="0" w:left="0" w:right="0"/>
              <w:jc w:val="both"/>
              <w:rPr/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На позиции №№1.1, 1.7 1.8 настоящих технических требований - не менее 36 месяцев с даты подписания сторонами ТОРГ-12 (УПД).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151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0"/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138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i w:val="false"/>
                <w:i w:val="false"/>
                <w:iCs w:val="false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151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en-US"/>
              </w:rPr>
              <w:t>4.1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5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(форма ТОРГ-12) или универсальный передаточный документ (УПД) на продукцию в 2-х экз., транспортную накладную.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151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113" w:right="0"/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138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i w:val="false"/>
                <w:i w:val="false"/>
                <w:iCs w:val="false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151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en-US"/>
              </w:rPr>
              <w:t>5.1</w:t>
            </w:r>
          </w:p>
        </w:tc>
        <w:tc>
          <w:tcPr>
            <w:tcW w:w="7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cs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000000"/>
                <w:sz w:val="24"/>
                <w:szCs w:val="24"/>
              </w:rPr>
              <w:t>Продукция должна быть новой, ранее не использовавшейся.</w:t>
            </w:r>
          </w:p>
          <w:p>
            <w:pPr>
              <w:pStyle w:val="ListParagraph"/>
              <w:widowControl w:val="false"/>
              <w:ind w:hanging="0" w:left="0" w:right="0"/>
              <w:rPr>
                <w:rFonts w:cs="Times New Roman"/>
                <w:bCs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i w:val="false"/>
                <w:iCs w:val="false"/>
                <w:color w:val="000000"/>
                <w:sz w:val="24"/>
                <w:szCs w:val="24"/>
              </w:rPr>
              <w:t>Способ укладки и транспортировки продукции должен предотвратить его повреждение или порчу во время перевозки и погрузке/разгрузке, а также воздействие осадков во время перевозки и при открытом хранении. 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2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151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right="0"/>
              <w:jc w:val="center"/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en-US"/>
              </w:rPr>
              <w:t>5.2</w:t>
            </w:r>
          </w:p>
        </w:tc>
        <w:tc>
          <w:tcPr>
            <w:tcW w:w="736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cs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000000"/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-//-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0" w:right="0"/>
              <w:jc w:val="center"/>
              <w:rPr>
                <w:rFonts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</w:tr>
    </w:tbl>
    <w:p>
      <w:pPr>
        <w:pStyle w:val="Heading1"/>
        <w:ind w:hanging="0" w:left="1080"/>
        <w:rPr>
          <w:b w:val="false"/>
        </w:rPr>
      </w:pPr>
      <w:r>
        <w:rPr>
          <w:b w:val="false"/>
        </w:rPr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566" w:gutter="0" w:header="0" w:top="567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altName w:val="Times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7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6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7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436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ahoma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tabs>
        <w:tab w:val="clear" w:pos="0"/>
        <w:tab w:val="clear" w:pos="709"/>
      </w:tabs>
      <w:ind w:hanging="432" w:left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20"/>
        <w:tab w:val="left" w:pos="0" w:leader="none"/>
        <w:tab w:val="left" w:pos="709" w:leader="none"/>
      </w:tabs>
      <w:ind w:firstLine="709"/>
      <w:outlineLvl w:val="2"/>
    </w:pPr>
    <w:rPr>
      <w:rFonts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1" w:customStyle="1">
    <w:name w:val="Strong1"/>
    <w:qFormat/>
    <w:rPr>
      <w:b/>
      <w:bCs/>
    </w:rPr>
  </w:style>
  <w:style w:type="character" w:styleId="Style10" w:customStyle="1">
    <w:name w:val="Название Знак"/>
    <w:link w:val="1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3" w:customStyle="1">
    <w:name w:val="Цитата 2 Знак"/>
    <w:basedOn w:val="DefaultParagraphFont"/>
    <w:link w:val="Quote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qFormat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6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Pr/>
  </w:style>
  <w:style w:type="character" w:styleId="Style14" w:customStyle="1">
    <w:name w:val="Абзац списка Знак"/>
    <w:link w:val="ListParagraph"/>
    <w:qFormat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3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4" w:customStyle="1">
    <w:name w:val="Пункт2 Знак"/>
    <w:link w:val="26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Pr/>
  </w:style>
  <w:style w:type="character" w:styleId="Value" w:customStyle="1">
    <w:name w:val="value"/>
    <w:qFormat/>
    <w:rPr/>
  </w:style>
  <w:style w:type="character" w:styleId="C-gruppedpropsprop-value" w:customStyle="1">
    <w:name w:val="c-gruppedprops__prop-value"/>
    <w:basedOn w:val="DefaultParagraphFont"/>
    <w:qFormat/>
    <w:rPr/>
  </w:style>
  <w:style w:type="character" w:styleId="Label" w:customStyle="1">
    <w:name w:val="label"/>
    <w:basedOn w:val="DefaultParagraphFont"/>
    <w:qFormat/>
    <w:rPr/>
  </w:style>
  <w:style w:type="character" w:styleId="Strong2" w:customStyle="1">
    <w:name w:val="Strong2"/>
    <w:qFormat/>
    <w:rPr>
      <w:b/>
      <w:bCs/>
    </w:rPr>
  </w:style>
  <w:style w:type="character" w:styleId="Strong">
    <w:name w:val="Strong"/>
    <w:uiPriority w:val="22"/>
    <w:qFormat/>
    <w:rPr>
      <w:b/>
      <w:bCs/>
    </w:rPr>
  </w:style>
  <w:style w:type="character" w:styleId="Style18" w:customStyle="1">
    <w:name w:val="Маркеры"/>
    <w:qFormat/>
    <w:rPr>
      <w:rFonts w:ascii="OpenSymbol" w:hAnsi="OpenSymbol" w:eastAsia="OpenSymbol" w:cs="OpenSymbol"/>
    </w:rPr>
  </w:style>
  <w:style w:type="character" w:styleId="Extrafieldsname" w:customStyle="1">
    <w:name w:val="extra_fields_name"/>
    <w:basedOn w:val="DefaultParagraphFont"/>
    <w:qFormat/>
    <w:rsid w:val="00c163dc"/>
    <w:rPr/>
  </w:style>
  <w:style w:type="character" w:styleId="Extrafieldsvalue" w:customStyle="1">
    <w:name w:val="extra_fields_value"/>
    <w:basedOn w:val="DefaultParagraphFont"/>
    <w:qFormat/>
    <w:rsid w:val="00c163dc"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Caption1111111111" w:customStyle="1">
    <w:name w:val="caption1111111111"/>
    <w:basedOn w:val="Normal"/>
    <w:next w:val="Normal"/>
    <w:qFormat/>
    <w:pPr/>
    <w:rPr>
      <w:rFonts w:cs="Times New Roman"/>
      <w:b/>
      <w:bCs/>
      <w:color w:val="4F81BD"/>
      <w:sz w:val="18"/>
      <w:szCs w:val="18"/>
      <w:lang w:eastAsia="ru-RU"/>
    </w:rPr>
  </w:style>
  <w:style w:type="paragraph" w:styleId="Indexheading1111111111" w:customStyle="1">
    <w:name w:val="index heading1111111111"/>
    <w:basedOn w:val="Title"/>
    <w:qFormat/>
    <w:pPr/>
    <w:rPr/>
  </w:style>
  <w:style w:type="paragraph" w:styleId="Style21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2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3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rFonts w:eastAsia="Times New Roman" w:cs="Times New Roman"/>
      <w:sz w:val="22"/>
      <w:szCs w:val="26"/>
      <w:lang w:eastAsia="ru-RU"/>
    </w:rPr>
  </w:style>
  <w:style w:type="paragraph" w:styleId="Style24" w:customStyle="1">
    <w:name w:val="Название раздела инструкции"/>
    <w:basedOn w:val="Normal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pPr>
      <w:ind w:hanging="0" w:left="36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pPr>
      <w:spacing w:lineRule="auto" w:line="480" w:before="0" w:after="120"/>
      <w:ind w:hanging="0" w:left="283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6" w:customStyle="1">
    <w:name w:val="Подпункт"/>
    <w:basedOn w:val="Normal"/>
    <w:link w:val="11"/>
    <w:qFormat/>
    <w:pPr>
      <w:tabs>
        <w:tab w:val="clear" w:pos="720"/>
        <w:tab w:val="left" w:pos="1134" w:leader="none"/>
      </w:tabs>
      <w:snapToGrid w:val="false"/>
      <w:spacing w:lineRule="auto" w:line="360"/>
      <w:ind w:hanging="1134" w:left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hanging="1134" w:left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pPr>
      <w:ind w:hanging="0" w:left="280"/>
    </w:pPr>
    <w:rPr>
      <w:rFonts w:eastAsia="Times New Roman" w:cs="Calibri"/>
      <w:sz w:val="20"/>
      <w:szCs w:val="20"/>
      <w:lang w:eastAsia="ru-RU"/>
    </w:rPr>
  </w:style>
  <w:style w:type="paragraph" w:styleId="Style27" w:customStyle="1">
    <w:name w:val="Раздел регламента"/>
    <w:basedOn w:val="Normal"/>
    <w:qFormat/>
    <w:pPr/>
    <w:rPr>
      <w:rFonts w:eastAsia="Times New Roman" w:cs="Times New Roman"/>
      <w:sz w:val="28"/>
      <w:szCs w:val="28"/>
      <w:lang w:eastAsia="ru-RU"/>
    </w:rPr>
  </w:style>
  <w:style w:type="paragraph" w:styleId="Style28" w:customStyle="1">
    <w:name w:val="Приложение к регламенту"/>
    <w:basedOn w:val="Normal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pPr>
      <w:spacing w:before="240" w:after="0"/>
    </w:pPr>
    <w:rPr>
      <w:rFonts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qFormat/>
    <w:pPr/>
    <w:rPr>
      <w:rFonts w:ascii="Tahoma" w:hAnsi="Tahoma" w:eastAsia="Times New Roman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pPr>
      <w:ind w:hanging="0" w:left="196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pPr>
      <w:ind w:hanging="0" w:left="84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pPr>
      <w:ind w:hanging="0" w:left="560"/>
    </w:pPr>
    <w:rPr>
      <w:rFonts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9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qFormat/>
    <w:pPr>
      <w:ind w:firstLine="709" w:left="1066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qFormat/>
    <w:pPr>
      <w:ind w:hanging="0" w:left="708"/>
    </w:pPr>
    <w:rPr/>
  </w:style>
  <w:style w:type="paragraph" w:styleId="Quote">
    <w:name w:val="Quote"/>
    <w:basedOn w:val="Normal"/>
    <w:next w:val="Normal"/>
    <w:link w:val="23"/>
    <w:qFormat/>
    <w:pPr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qFormat/>
    <w:pPr>
      <w:keepLines/>
      <w:tabs>
        <w:tab w:val="clear" w:pos="0"/>
        <w:tab w:val="left" w:pos="709" w:leader="none"/>
      </w:tabs>
      <w:spacing w:before="480" w:after="0"/>
      <w:ind w:hanging="360" w:left="3196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qFormat/>
    <w:pPr/>
    <w:rPr>
      <w:rFonts w:cs="Times New Roman"/>
      <w:szCs w:val="24"/>
      <w:lang w:val="x-none" w:eastAsia="x-none"/>
    </w:rPr>
  </w:style>
  <w:style w:type="paragraph" w:styleId="Style30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overflowPunct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1" w:customStyle="1">
    <w:name w:val="Пункт"/>
    <w:basedOn w:val="Normal"/>
    <w:qFormat/>
    <w:pPr>
      <w:widowControl w:val="false"/>
      <w:tabs>
        <w:tab w:val="clear" w:pos="720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 w:eastAsia="Times New Roman" w:cs="Times New Roman"/>
      <w:sz w:val="22"/>
    </w:rPr>
  </w:style>
  <w:style w:type="paragraph" w:styleId="Style32" w:customStyle="1">
    <w:name w:val="Таблица"/>
    <w:basedOn w:val="Normal"/>
    <w:qFormat/>
    <w:pPr>
      <w:keepNext w:val="true"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styleId="Style33" w:customStyle="1">
    <w:name w:val="Подподпункт"/>
    <w:basedOn w:val="Style26"/>
    <w:link w:val="Style15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pPr>
      <w:numPr>
        <w:ilvl w:val="3"/>
        <w:numId w:val="3"/>
      </w:numPr>
      <w:spacing w:lineRule="exact" w:line="360" w:before="120" w:after="0"/>
      <w:ind w:hanging="648" w:left="1728"/>
      <w:jc w:val="both"/>
      <w:outlineLvl w:val="3"/>
    </w:pPr>
    <w:rPr>
      <w:sz w:val="26"/>
      <w:szCs w:val="28"/>
    </w:rPr>
  </w:style>
  <w:style w:type="paragraph" w:styleId="-" w:customStyle="1">
    <w:name w:val="УРОВЕНЬ_-"/>
    <w:basedOn w:val="ListParagraph"/>
    <w:qFormat/>
    <w:pPr>
      <w:numPr>
        <w:ilvl w:val="4"/>
        <w:numId w:val="3"/>
      </w:numPr>
      <w:spacing w:lineRule="exact" w:line="360" w:before="120" w:after="0"/>
      <w:ind w:hanging="792" w:left="2232"/>
      <w:jc w:val="both"/>
      <w:outlineLvl w:val="4"/>
    </w:pPr>
    <w:rPr>
      <w:sz w:val="26"/>
      <w:szCs w:val="28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3"/>
      </w:numPr>
      <w:spacing w:lineRule="exact" w:line="360" w:before="120" w:after="0"/>
      <w:ind w:hanging="1080" w:left="3240"/>
      <w:jc w:val="both"/>
    </w:pPr>
    <w:rPr>
      <w:sz w:val="26"/>
      <w:szCs w:val="28"/>
    </w:rPr>
  </w:style>
  <w:style w:type="paragraph" w:styleId="37" w:customStyle="1">
    <w:name w:val="УРОВЕНЬ_Абзац_тип3"/>
    <w:basedOn w:val="ListParagraph"/>
    <w:link w:val="33"/>
    <w:qFormat/>
    <w:pPr>
      <w:numPr>
        <w:ilvl w:val="7"/>
        <w:numId w:val="3"/>
      </w:numPr>
      <w:spacing w:lineRule="exact" w:line="360" w:before="120" w:after="0"/>
      <w:jc w:val="both"/>
    </w:pPr>
    <w:rPr>
      <w:sz w:val="26"/>
      <w:szCs w:val="28"/>
    </w:rPr>
  </w:style>
  <w:style w:type="paragraph" w:styleId="Style35" w:customStyle="1">
    <w:name w:val="УРОВЕНЬ_Подпись"/>
    <w:basedOn w:val="ListParagraph"/>
    <w:qFormat/>
    <w:pPr>
      <w:keepNext w:val="true"/>
      <w:numPr>
        <w:ilvl w:val="5"/>
        <w:numId w:val="3"/>
      </w:numPr>
      <w:spacing w:lineRule="exact" w:line="360" w:before="120" w:after="120"/>
      <w:ind w:hanging="936" w:left="2736"/>
      <w:jc w:val="right"/>
      <w:outlineLvl w:val="3"/>
    </w:pPr>
    <w:rPr>
      <w:sz w:val="26"/>
      <w:szCs w:val="28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6" w:customStyle="1">
    <w:name w:val="Таблица текст"/>
    <w:basedOn w:val="Normal"/>
    <w:qFormat/>
    <w:pPr>
      <w:spacing w:before="40" w:after="40"/>
      <w:ind w:hanging="0" w:left="57" w:right="57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hanging="0" w:left="0"/>
      <w:jc w:val="both"/>
      <w:outlineLvl w:val="0"/>
    </w:pPr>
    <w:rPr>
      <w:caps/>
      <w:sz w:val="28"/>
      <w:szCs w:val="28"/>
    </w:rPr>
  </w:style>
  <w:style w:type="paragraph" w:styleId="TOC6">
    <w:name w:val="TOC 6"/>
    <w:basedOn w:val="Normal"/>
    <w:next w:val="Normal"/>
    <w:autoRedefine/>
    <w:pPr>
      <w:ind w:hanging="0" w:left="112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pPr>
      <w:ind w:hanging="0" w:left="140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pPr>
      <w:ind w:hanging="0" w:left="168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Style37" w:customStyle="1">
    <w:name w:val="Знак Знак 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pPr>
      <w:keepNext w:val="true"/>
      <w:keepLines/>
      <w:tabs>
        <w:tab w:val="clear" w:pos="720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pPr>
      <w:tabs>
        <w:tab w:val="clear" w:pos="720"/>
        <w:tab w:val="left" w:pos="1391" w:leader="none"/>
      </w:tabs>
      <w:ind w:hanging="851" w:left="139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pPr>
      <w:widowControl w:val="false"/>
      <w:suppressAutoHyphens w:val="true"/>
      <w:overflowPunct w:val="true"/>
      <w:bidi w:val="0"/>
      <w:spacing w:lineRule="auto" w:line="300" w:before="0" w:after="0"/>
      <w:ind w:hanging="0"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8" w:customStyle="1">
    <w:name w:val="Пункт договора"/>
    <w:basedOn w:val="Normal"/>
    <w:qFormat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9" w:customStyle="1">
    <w:name w:val="Подпункт договора"/>
    <w:basedOn w:val="Normal"/>
    <w:qFormat/>
    <w:pPr>
      <w:tabs>
        <w:tab w:val="clear" w:pos="720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0" w:customStyle="1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111" w:customStyle="1">
    <w:name w:val="Знак Знак Знак Знак1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211" w:customStyle="1">
    <w:name w:val="Обычный2"/>
    <w:qFormat/>
    <w:pPr>
      <w:widowControl w:val="false"/>
      <w:suppressAutoHyphens w:val="true"/>
      <w:overflowPunct w:val="true"/>
      <w:bidi w:val="0"/>
      <w:spacing w:lineRule="auto" w:line="300" w:before="0" w:after="0"/>
      <w:ind w:hanging="0"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Jss308" w:customStyle="1">
    <w:name w:val="jss308"/>
    <w:basedOn w:val="Normal"/>
    <w:qFormat/>
    <w:pPr>
      <w:suppressAutoHyphens w:val="false"/>
      <w:spacing w:before="280" w:after="280"/>
    </w:pPr>
    <w:rPr>
      <w:rFonts w:eastAsia="Times New Roman" w:cs="Times New Roman"/>
      <w:szCs w:val="24"/>
      <w:lang w:eastAsia="ru-RU"/>
    </w:rPr>
  </w:style>
  <w:style w:type="paragraph" w:styleId="Style4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 w:customStyle="1">
    <w:name w:val="Заголовок таблицы"/>
    <w:basedOn w:val="Style41"/>
    <w:qFormat/>
    <w:pPr>
      <w:jc w:val="center"/>
    </w:pPr>
    <w:rPr>
      <w:b/>
      <w:bCs/>
    </w:rPr>
  </w:style>
  <w:style w:type="paragraph" w:styleId="Style43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qFormat/>
  </w:style>
  <w:style w:type="numbering" w:styleId="212" w:customStyle="1">
    <w:name w:val="Стиль2"/>
    <w:qFormat/>
  </w:style>
  <w:style w:type="numbering" w:styleId="113" w:customStyle="1">
    <w:name w:val="Нет списка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CD565-2056-4A57-AF56-3AD279D6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15168</TotalTime>
  <Application>AlterOffice/2026.2.0.0$Linux_X86_64 LibreOffice_project/bc4ef1adf80b36c7a6365f8ed6cbf29021361edd</Application>
  <AppVersion>15.0000</AppVersion>
  <Pages>7</Pages>
  <Words>1078</Words>
  <Characters>7230</Characters>
  <CharactersWithSpaces>8001</CharactersWithSpaces>
  <Paragraphs>309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2023-12-07T06:27:00Z</dcterms:created>
  <dc:creator>Вашкевич Ольга Владимировна</dc:creator>
  <dc:description/>
  <dc:language>ru-RU</dc:language>
  <cp:lastModifiedBy/>
  <cp:lastPrinted>2024-07-22T18:15:00Z</cp:lastPrinted>
  <dcterms:modified xsi:type="dcterms:W3CDTF">2026-10-02T16:53:19Z</dcterms:modified>
  <cp:revision>1989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