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1"/>
        <w:widowControl/>
        <w:jc w:val="end"/>
        <w:rPr/>
      </w:pPr>
      <w:r>
        <w:rPr/>
      </w:r>
      <w:bookmarkStart w:id="0" w:name="_GoBack"/>
      <w:bookmarkStart w:id="1" w:name="_GoBack"/>
      <w:bookmarkEnd w:id="1"/>
    </w:p>
    <w:p>
      <w:pPr>
        <w:pStyle w:val="ConsPlusNormal1"/>
        <w:widowControl/>
        <w:jc w:val="end"/>
        <w:rPr/>
      </w:pPr>
      <w:r>
        <w:rPr/>
      </w:r>
    </w:p>
    <w:p>
      <w:pPr>
        <w:pStyle w:val="Normal"/>
        <w:keepNext w:val="true"/>
        <w:jc w:val="center"/>
        <w:rPr>
          <w:b/>
          <w:caps/>
        </w:rPr>
      </w:pPr>
      <w:r>
        <w:rPr>
          <w:b/>
          <w:caps/>
        </w:rPr>
        <w:t>ТЕХНИЧЕСКОЕ ЗАДАНИЕ</w:t>
      </w:r>
    </w:p>
    <w:p>
      <w:pPr>
        <w:pStyle w:val="19"/>
        <w:numPr>
          <w:ilvl w:val="0"/>
          <w:numId w:val="0"/>
        </w:numPr>
        <w:tabs>
          <w:tab w:val="left" w:pos="708" w:leader="none"/>
        </w:tabs>
        <w:spacing w:before="0" w:after="0"/>
        <w:ind w:hanging="0" w:start="0"/>
        <w:jc w:val="center"/>
        <w:rPr/>
      </w:pPr>
      <w:r>
        <w:rPr>
          <w:sz w:val="22"/>
        </w:rPr>
        <w:t xml:space="preserve"> </w:t>
      </w:r>
      <w:r>
        <w:rPr>
          <w:sz w:val="22"/>
        </w:rPr>
        <w:t>на Выполнение работ по капитальному ремонту наружного освещения города Нижнего Новгорода на участке: улица Черниговская (от Канавинского моста до Метромоста), в том числе пусконаладочные работы, утилизация, вынос в натуру осей трассы кабельной линии и составление исполнительной съемки</w:t>
      </w:r>
    </w:p>
    <w:p>
      <w:pPr>
        <w:pStyle w:val="Normal"/>
        <w:keepNext w:val="true"/>
        <w:jc w:val="center"/>
        <w:rPr>
          <w:b/>
          <w:caps/>
          <w:sz w:val="21"/>
        </w:rPr>
      </w:pPr>
      <w:r>
        <w:rPr>
          <w:b/>
          <w:caps/>
          <w:sz w:val="21"/>
        </w:rPr>
      </w:r>
    </w:p>
    <w:tbl>
      <w:tblPr>
        <w:tblW w:w="10661" w:type="dxa"/>
        <w:jc w:val="start"/>
        <w:tblInd w:w="-31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710"/>
        <w:gridCol w:w="3118"/>
        <w:gridCol w:w="6833"/>
      </w:tblGrid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объекта закупки 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9"/>
              <w:numPr>
                <w:ilvl w:val="0"/>
                <w:numId w:val="0"/>
              </w:numPr>
              <w:tabs>
                <w:tab w:val="left" w:pos="708" w:leader="none"/>
              </w:tabs>
              <w:spacing w:before="0" w:after="0"/>
              <w:ind w:hanging="0" w:start="0"/>
              <w:rPr>
                <w:sz w:val="22"/>
              </w:rPr>
            </w:pPr>
            <w:r>
              <w:rPr>
                <w:sz w:val="22"/>
              </w:rPr>
              <w:t>Выполнение работ по капитальному ремонту наружного освещения города Нижнего Новгорода на участке: улица Черниговская (от Канавинского моста до Метромоста), в том числе пусконаладочные работы, утилизация, вынос в натуру осей трассы кабельной линии и составление исполнительной съемки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6.1.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Общие требования к выполнению работ, их качеству, в том числе к технологии производства работ, методам производства работ, организационно-технологической схеме производства работ, безопасности выполняемых работ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  <w:shd w:fill="F8D957" w:val="clear"/>
              </w:rPr>
            </w:pPr>
            <w:r>
              <w:rPr>
                <w:sz w:val="22"/>
              </w:rPr>
              <w:t>Объем, содержание работ по капитальному ремонту сетей наружного освещения и другие, предъявляемые к работам требования должны соответствовать утвержденной Проектной документации  (приложение № 1 к Заданию) и ведомости объемов работ (приложение № 2 к Заданию).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 xml:space="preserve">Используемые в локальных сметных расчетах ссылки на товарные знаки (при наличии) обусловлены требованиями Приказа Минстроя России от 04.08.2020 № 421/пр «Об утверждении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установлены с целью обоснования стоимости работ и не устанавливают требований к материалам, применяемым при выполнении работ. 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 xml:space="preserve">Используемые в Проектной документации  (приложение № 1 к Заданию) ссылки на товарные знаки (при наличии) обусловлены требованиями Положения о составе проектной документации и требованиях к их содержанию, утвержденного Постановлением Правительства Российской Федерации от 16 февраля 2008 года № 87 «О составе разделов проектной документации и требованиях к их содержанию», необходимостью описания проектных решений. 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При наличии ссылок на товарные знаки в Проектной документации, указанные товарные знаки подразумевает возможность их замены на эквивалентные (соответствующие или превосходящие по качественным характеристикам). 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Если Подрядчик предлагает использовать при выполнении работ материалы (комплектующие и оборудование), не предусмотренные Проектной документацией, то применение таких материалов допускается в случае, если они являются эквивалентами материалам, указанным в Проектной документации.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Отклонение параметров объекта от Проектной документации, необходимость которого выявилась в процессе производства работ, допускается только по согласованию с Заказчиком (изменение номенклатуры используемых материалов, изделий, конструкций и оборудования допустимо без изменения сметной стоимости работ).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Работы должны быть выполнены качественно, с соблюдением всех требований законодательства Российской Федерации и Нижегородской области, в том числе действующих норм, правил и государственных стандартов.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Подрядчик должен обеспечивать соответствие результатов работ требованиям качества, безопасности жизни и здоровья, а также иным требованиям сертификации, безопасности, лицензирования, установленным действующим законодательством Российской Федерации, в том числе действующими нормами, правилами и государственными стандартами.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Требуемое качество работ, результата работ и их надежность, должны обеспечиваться Подрядчиком путем осуществления комплекса технических, экономических и организационных мер эффективного контроля на всех стадиях выполнения работ. Подрядчик обязан безвозмездно исправить по требованию Заказчика все выявленные недостатки, в согласованные сроки. Для проверки соответствия качества выполненных работ требованиям, установленным договором, Заказчик вправе привлекать независимых экспертов.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Техническая документация (технические условия, технические свидетельства, ГОСТ, СНиП, стандарт организации и пр.)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(с внесенными корректировками, изменениями, дополнениями и др.).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  <w:highlight w:val="yellow"/>
              </w:rPr>
            </w:pPr>
            <w:r>
              <w:rPr>
                <w:sz w:val="22"/>
              </w:rPr>
              <w:t>В случае выхода актуализированной версии документов применяется актуальная редакция, а также при разночтении наименования ГОСТов следует руководствоваться действующими государственными стандартами.</w:t>
            </w:r>
          </w:p>
        </w:tc>
      </w:tr>
      <w:tr>
        <w:trPr>
          <w:trHeight w:val="558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Порядок выполнения работ: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1.</w:t>
              <w:tab/>
              <w:t>Выполнение строительно-монтажных работ (СМР), пусконаладочных работ, работ по благоустройству территории, топографических работ с соблюдением сроков согласно Графику производства работ (Приложение № 3 к Заданию).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Перед выполнением строительно-монтажных работ необходимо выполнить вынос в натуру осей трассы ЛЭП. После выполнения строительно-монтажных работ необходимо выполнить пуско-наладочные работы, утилизацию, исполнительную съемку линий наружного освещения с внесением трасс в базу ГИСОГД НО в М 1:500.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2.</w:t>
              <w:tab/>
              <w:t>Сдача исполнительной документации Заказчику в полном объеме.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3.</w:t>
              <w:tab/>
              <w:t>Сдача объекта капитального ремонта Заказчику.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Правила контроля и приемки работ.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Контроль и приемка работ осуществляется в соответствии с условиями </w:t>
            </w:r>
            <w:r>
              <w:rPr>
                <w:sz w:val="22"/>
              </w:rPr>
              <w:t>Договора</w:t>
            </w:r>
            <w:r>
              <w:rPr>
                <w:sz w:val="22"/>
              </w:rPr>
              <w:t>, действующим законодательством и действующими регламентами.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  <w:shd w:fill="F8D957" w:val="clear"/>
              </w:rPr>
            </w:pPr>
            <w:r>
              <w:rPr>
                <w:sz w:val="22"/>
              </w:rPr>
              <w:t>1.</w:t>
              <w:tab/>
              <w:t xml:space="preserve">Все работы выполняются в соответствии с </w:t>
            </w:r>
            <w:r>
              <w:rPr>
                <w:sz w:val="22"/>
                <w:shd w:fill="F8D957" w:val="clear"/>
              </w:rPr>
              <w:t>Ведомостью объемов работ, Локальными сметными расчетами, Сводным сметным расчетом, с соблюдением требований ПУЭ, ПТЭ и СНиП.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2.</w:t>
              <w:tab/>
              <w:t>Работы должны быть выполнены в полном объеме, с надлежащим качеством и в установленные сроки. Порядок выполнения работ должен осуществляться в соответствии с Графиком производства работ (Приложение № 3 к Заданию), при этом должна соблюдаться последовательность, установленная строительными нормами и правилами для данных видов работ с соблюдением технологического процесса для производства указанных работ.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3.</w:t>
              <w:tab/>
              <w:t>Контроль качества выполненных работ осуществляется совместно со стороны Подрядчика и со стороны Заказчика с проведением освидетельствования скрытых работ.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4.</w:t>
              <w:tab/>
              <w:t xml:space="preserve">До начала выполнения работ по </w:t>
            </w:r>
            <w:r>
              <w:rPr>
                <w:sz w:val="22"/>
              </w:rPr>
              <w:t>Договору</w:t>
            </w:r>
            <w:r>
              <w:rPr>
                <w:sz w:val="22"/>
              </w:rPr>
              <w:t xml:space="preserve"> Заказчик и Подрядчик проводят комиссионный выход на объект, с целью ознакомления Подрядчика с Объектом.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5.</w:t>
              <w:tab/>
              <w:t>Перед началом выполнения работ Подрядчик должен назначить приказом от лица своей организации ответственного производителя работ, ответственных представителей за соблюдение правил пожарной безопасности, соблюдение правил техники безопасности на Объекте и предоставить заверенную копию приказа Заказчику.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Приказ должен содержать следующие сведения: Ф.И.О. ответственного лица, занимаемую должность, срок полномочий, с приложением доверенностей с правом подписания актов выполненных работ, актов скрытых работ, с правом получения предписаний, претензий, уведомлений.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Запрещается выполнение работ на Объекте, без прохождения инструктажа по технике безопасности, пожарной и электротехнической безопасности персонала Подрядчика. Проведение инструктажей осуществляется на территории МБУ «Инженерные сети», сотрудниками МБУ «Инженерные сети». 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Представитель Подрядчика, ответственный за проведение работ на Объекте, обязан постоянно присутствовать на Объекте во время проведения работ.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6.</w:t>
              <w:tab/>
              <w:t>Для выполнения работ Подрядчиком должны привлекаться только квалифицированный персонал для выполнения работ, а именно: сотрудники электротехнического персонала (ремонтный, оперативно-ремонтный) с группой допуска не ниже 3 по электробезопасности до 1000 В, в соответствии с правилами по охране труда при эксплуатации электроустановок; прошедшие обучение по выполнению работы на высоте с применением средств подмащивания (вышки, люльки, лестницы), на площадках с защитными ограждениями высотой 1,1 м и более.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Не допускается привлечение (в том числе субподрядными организациями) иногородних и иностранных рабочих без соответствующей регистрации и разрешения на привлечение иностранной рабочей силы, когда такие обязанности установлены действующим законодательством РФ.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7.</w:t>
              <w:tab/>
              <w:t xml:space="preserve">При выполнении работ и принятии строительных и технологических решений Подрядчиком должны неукоснительно соблюдаться требования к производству работ. 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8.</w:t>
              <w:tab/>
              <w:t xml:space="preserve">Работы должны выполняться оборудованием, материалами и иным подсобным инвентарем Подрядчика. Все оборудование и материалы, используемые при проведении ремонта объекта, должны иметь сертификаты соответствия Госстандарта России, санитарно-эпидемиологические заключения, сертификаты пожарной безопасности и т.д. 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9.</w:t>
              <w:tab/>
              <w:t>Во время производства работ Подрядчик обязан выставить защитные ограждения, а также обозначить место производства работ соответствующими дорожными знаками, и световой сигнализацией. Ответственность за безопасное производство работ на объекте несет Подрядчик.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10.</w:t>
              <w:tab/>
              <w:t>В ходе выполнения работ должна быть обеспечена целостность существующих планировочных решений, инженерных и коммуникационных систем.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11.</w:t>
              <w:tab/>
              <w:t>Не допускается причинять ущерб смежным территориям, а также загромождать и загрязнять строительными материалами и (или) отходами смежные территории.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12.</w:t>
              <w:tab/>
              <w:t>Подрядчик выполняет работы на Объекте с соблюдением порядка и чистоты на прилегающих территориях. Любые перемещения материалов и мусора осуществляется в полной упаковке, не допускающей просыпания или проливания жидких и сыпучих веществ.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13.</w:t>
              <w:tab/>
              <w:t>Заказчик не предоставляет складское помещение Подрядчику.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14.</w:t>
              <w:tab/>
              <w:t>Работы выполняются в стесненных условиях - при отсутствии условий для складирования материалов и оборудования при большом количестве зеленых насаждений в зоне производства работ, подлежащих сохранению и подземных инженерных сооружений, подлежащих охране.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15.</w:t>
              <w:tab/>
              <w:t>Риск случайной гибели результата работ до его приемки Заказчиком несет Подрядчик.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16.</w:t>
              <w:tab/>
              <w:t>Подрядчик несет ответственность за сохранность всех поставленных материалов и оборудования до момента сдачи готового Объекта.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17.</w:t>
              <w:tab/>
              <w:t>В случае повреждения инженерных систем, произошедших по причине производимых подрядчиком работ, все расходы и работы по их восстановлению берет на себя Подрядчик и осуществляет их до момента сдачи-приемки работ на Объекте.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18.</w:t>
              <w:tab/>
              <w:t>Подрядчик своими силами решает все вопросы, по допуску, согласованию, присоединению сетей и прочее, с другими организациями, которые могу возникнуть в ходе выполнения работ.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19.</w:t>
              <w:tab/>
              <w:t>Заказчик силами технических служб ведет проверку и наблюдение за ходом, объемами и качеством работ, выполняемых подрядчиком, за качеством применяемых материалов, не вмешиваясь в его хозяйственную деятельность. В случае выявления грубых нарушений в технологическом процессе, качестве применяемых материалов Заказчик имеет право приостановить выполнение работ до устранения подрядчиком выявленных нарушений. Заказчик имеет право в процессе производства работ потребовать документы, подтверждающие качество и экологическую безопасность применяемых материалов, в случае их отсутствия или несоответствия приостановить работы.</w:t>
            </w:r>
          </w:p>
          <w:p>
            <w:pPr>
              <w:pStyle w:val="Normal"/>
              <w:spacing w:before="0" w:after="60"/>
              <w:jc w:val="both"/>
              <w:rPr>
                <w:sz w:val="22"/>
                <w:highlight w:val="yellow"/>
              </w:rPr>
            </w:pPr>
            <w:r>
              <w:rPr>
                <w:sz w:val="22"/>
              </w:rPr>
              <w:t>20.</w:t>
              <w:tab/>
              <w:t>При нарушении подрядчиком правил производства работ, приведших в результате к санкциям надзорных органов и прочим материальным затратам Заказчика все убытки покрываются за счет виновной стороны.</w:t>
            </w:r>
          </w:p>
        </w:tc>
      </w:tr>
      <w:tr>
        <w:trPr>
          <w:trHeight w:val="558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Результат работ 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Результатами работ являются выполненные работы по капитальному ремонту наружного освещения города Нижнего Новгорода на участке: улица Черниговская (от Канавинского моста до Метромоста), в том числе пусконаладочные работы, утилизация, вынос в натуру осей трассы кабельной линии и составление исполнительной съемки, соответствующие требованиям Градостроительного кодекса РФ, техническим регламентам, санитарным нормам, требованиям пожарной безопасности и нормативно-технической документации, а также требованиям Договора.</w:t>
            </w:r>
          </w:p>
        </w:tc>
      </w:tr>
      <w:tr>
        <w:trPr>
          <w:trHeight w:val="558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6.3.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Сдача исполнительной документации Заказчику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До формирования структурированного документа о приемке Подрядчик в полном объеме передает Заказчику исполнительную документацию, включающую: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Приказы о назначении ответственного за производство работ, строительный контроль;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Акт технической готовности электромонтажных работ;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Ведомость смонтированного электрического оборудования;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Акт демонтированного оборудования;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Акт оценки качества выполненных работ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Акты освидетельствования скрытых работ и установленных конструкций;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Исполнительная схема прокладки СНО;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Исполнительная съемка с отметкой Государственной информационной системы обеспечения градостроительной деятельности (ГИСОГД);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Схемы установки оборудования;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Разрезы траншей /благоустройства;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Профили проколов;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Журнал прокладки кабелей;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Протокол испытаний;</w:t>
            </w:r>
          </w:p>
          <w:p>
            <w:pPr>
              <w:pStyle w:val="Normal"/>
              <w:spacing w:before="0" w:after="20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Сертификат качества на материалы;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Сертификат соответствия на материалы;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Паспорта на материалы;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ind w:hanging="720" w:start="7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Талоны на утилизацию;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•</w:t>
            </w:r>
            <w:r>
              <w:rPr>
                <w:sz w:val="22"/>
              </w:rPr>
              <w:tab/>
              <w:t>Паспорта и техническую документацию на оборудование (в т.ч. инструкцию по эксплуатации) с указанием гарантийного срока на каждый вид оборудования.</w:t>
            </w:r>
          </w:p>
        </w:tc>
      </w:tr>
      <w:tr>
        <w:trPr>
          <w:trHeight w:val="558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6.4.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Требования к качественным характеристикам работ, требования к функциональным характеристикам товаров (материалов, оборудования), подлежащих использованию при выполнении работ: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tabs>
                <w:tab w:val="clear" w:pos="708"/>
                <w:tab w:val="left" w:pos="0" w:leader="none"/>
                <w:tab w:val="left" w:pos="1134" w:leader="none"/>
              </w:tabs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Все используемые для выполнения работ материалы и оборудование должны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качество.</w:t>
            </w:r>
          </w:p>
          <w:p>
            <w:pPr>
              <w:pStyle w:val="Normal"/>
              <w:keepLines/>
              <w:tabs>
                <w:tab w:val="clear" w:pos="708"/>
                <w:tab w:val="left" w:pos="0" w:leader="none"/>
                <w:tab w:val="left" w:pos="1134" w:leader="none"/>
              </w:tabs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Применяемые материалы и оборудование должны быть новыми, в заводской комплектации и упаковке, ранее не используемыми, не восстановленными и не собранными из восстановленных компонентов, соответствовать заявленным техническим характеристикам, комплектными, серийными.</w:t>
            </w:r>
          </w:p>
          <w:p>
            <w:pPr>
              <w:pStyle w:val="Normal"/>
              <w:keepLines/>
              <w:tabs>
                <w:tab w:val="clear" w:pos="708"/>
                <w:tab w:val="left" w:pos="0" w:leader="none"/>
                <w:tab w:val="left" w:pos="1134" w:leader="none"/>
              </w:tabs>
              <w:spacing w:before="0" w:after="60"/>
              <w:jc w:val="both"/>
              <w:rPr>
                <w:sz w:val="22"/>
              </w:rPr>
            </w:pPr>
            <w:r>
              <w:rPr>
                <w:sz w:val="22"/>
              </w:rPr>
              <w:t>Используемые на объекте материалы и оборудование должны быть аттестованы и соответствовать техническим требованиям: ГОСТ, ТУ. Данные технические требования должны быть аналогичны требованиям, предъявляемым при аттестации данного вида оборудования.</w:t>
            </w:r>
          </w:p>
          <w:p>
            <w:pPr>
              <w:pStyle w:val="Normal"/>
              <w:keepLines/>
              <w:tabs>
                <w:tab w:val="clear" w:pos="708"/>
                <w:tab w:val="left" w:pos="0" w:leader="none"/>
                <w:tab w:val="left" w:pos="1134" w:leader="none"/>
              </w:tabs>
              <w:spacing w:before="0" w:after="60"/>
              <w:jc w:val="both"/>
              <w:rPr>
                <w:sz w:val="22"/>
                <w:highlight w:val="yellow"/>
              </w:rPr>
            </w:pPr>
            <w:r>
              <w:rPr>
                <w:sz w:val="22"/>
                <w:highlight w:val="yellow"/>
              </w:rPr>
            </w:r>
          </w:p>
          <w:p>
            <w:pPr>
              <w:pStyle w:val="ListParagraph"/>
              <w:spacing w:lineRule="auto" w:line="240" w:before="0" w:after="6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техническим характеристикам оборудования:</w:t>
            </w:r>
          </w:p>
          <w:tbl>
            <w:tblPr>
              <w:tblW w:w="6719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noHBand="0" w:noVBand="1" w:firstColumn="1" w:lastRow="0" w:lastColumn="0" w:firstRow="1"/>
            </w:tblPr>
            <w:tblGrid>
              <w:gridCol w:w="481"/>
              <w:gridCol w:w="1560"/>
              <w:gridCol w:w="1843"/>
              <w:gridCol w:w="2835"/>
            </w:tblGrid>
            <w:tr>
              <w:trPr/>
              <w:tc>
                <w:tcPr>
                  <w:tcW w:w="48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№ </w:t>
                  </w:r>
                  <w:r>
                    <w:rPr>
                      <w:b/>
                      <w:sz w:val="18"/>
                    </w:rPr>
                    <w:t>п/п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Наименование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Показатель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Максимальные и (или) минимальные значения показателей, а также значения показателей, которые не могут изменяться</w:t>
                  </w:r>
                </w:p>
              </w:tc>
            </w:tr>
            <w:tr>
              <w:trPr/>
              <w:tc>
                <w:tcPr>
                  <w:tcW w:w="48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2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3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4</w:t>
                  </w:r>
                </w:p>
              </w:tc>
            </w:tr>
            <w:tr>
              <w:trPr/>
              <w:tc>
                <w:tcPr>
                  <w:tcW w:w="481" w:type="dxa"/>
                  <w:vMerge w:val="restart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Светильник GALAD Галеон S LED-60-ШБ/У50 (9200/740/RAL7040/0/ORS2/GEN1) (или эквивалент)</w:t>
                  </w:r>
                </w:p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Мощность, Вт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55 и не более 65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Тип источника света</w:t>
                  </w:r>
                </w:p>
              </w:tc>
              <w:tc>
                <w:tcPr>
                  <w:tcW w:w="2835" w:type="dxa"/>
                  <w:tcBorders>
                    <w:top w:val="single" w:sz="8" w:space="0" w:color="000000"/>
                    <w:start w:val="single" w:sz="8" w:space="0" w:color="000000"/>
                    <w:bottom w:val="single" w:sz="8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LED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Индекс цветопередачи, CRI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70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708"/>
                      <w:tab w:val="left" w:pos="0" w:leader="none"/>
                    </w:tabs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Световой поток, лм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9 200 и не более 11 000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Коэффициент мощности, cos </w:t>
                  </w:r>
                  <w:r>
                    <w:rPr>
                      <w:rFonts w:ascii="Symbol" w:hAnsi="Symbol"/>
                      <w:sz w:val="18"/>
                    </w:rPr>
                    <w:t>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0,95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Цветовая температура, К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3 800 и не более 4 200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Степень защиты светильника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IP66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Максимальный срок службы источника света, час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100 000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Тип КСС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ШБ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Масса, кг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более 7,6</w:t>
                  </w:r>
                </w:p>
              </w:tc>
            </w:tr>
            <w:tr>
              <w:trPr/>
              <w:tc>
                <w:tcPr>
                  <w:tcW w:w="481" w:type="dxa"/>
                  <w:vMerge w:val="restart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Светильник GALAD Урбан M LED-160-ШБ/У50 (24000/740/RAL7040/0/ORS2/GEN1) (или эквивалент)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 xml:space="preserve">Мощность, Вт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155 и не более 165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>Тип источника света</w:t>
                  </w:r>
                </w:p>
              </w:tc>
              <w:tc>
                <w:tcPr>
                  <w:tcW w:w="2835" w:type="dxa"/>
                  <w:tcBorders>
                    <w:top w:val="single" w:sz="8" w:space="0" w:color="000000"/>
                    <w:start w:val="single" w:sz="8" w:space="0" w:color="000000"/>
                    <w:bottom w:val="single" w:sz="8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LED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>Индекс цветопередачи, CRI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70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 xml:space="preserve">Световой поток, лм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24 000 и не более 26 000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 xml:space="preserve">Коэффициент мощности, cos </w:t>
                  </w:r>
                  <w:r>
                    <w:rPr>
                      <w:rFonts w:ascii="Symbol" w:hAnsi="Symbol"/>
                      <w:sz w:val="18"/>
                    </w:rPr>
                    <w:t>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0,95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 xml:space="preserve">Цветовая температура, К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4 800 и не более 5 200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>Степень защиты светильника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IP66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>Максимальный срок службы источника света, час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не менее 100 000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>Тип КСС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  <w:highlight w:val="white"/>
                    </w:rPr>
                    <w:t>ШБ</w:t>
                  </w:r>
                </w:p>
              </w:tc>
            </w:tr>
            <w:tr>
              <w:trPr/>
              <w:tc>
                <w:tcPr>
                  <w:tcW w:w="481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560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sz w:val="18"/>
                      <w:highlight w:val="white"/>
                    </w:rPr>
                  </w:pPr>
                  <w:r>
                    <w:rPr>
                      <w:sz w:val="18"/>
                    </w:rPr>
                    <w:t>Масса, кг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center"/>
                    <w:rPr>
                      <w:sz w:val="18"/>
                      <w:highlight w:val="yellow"/>
                    </w:rPr>
                  </w:pPr>
                  <w:r>
                    <w:rPr>
                      <w:sz w:val="18"/>
                      <w:highlight w:val="white"/>
                    </w:rPr>
                    <w:t>не более 10</w:t>
                  </w:r>
                </w:p>
              </w:tc>
            </w:tr>
          </w:tbl>
          <w:p>
            <w:pPr>
              <w:pStyle w:val="ListParagraph"/>
              <w:spacing w:lineRule="auto" w:line="240" w:before="0" w:after="60"/>
              <w:ind w:start="0"/>
              <w:contextualSpacing/>
              <w:jc w:val="both"/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i/>
                <w:highlight w:val="yellow"/>
              </w:rPr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40" w:before="0" w:after="200"/>
              <w:ind w:start="0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Примечание: вышеуказанные требования заданы только в отношении наиболее значимого для заказчика оборудования. Качество остальных материалов, содержащихся в локальном сметном расчете техническом задании должно отвечать требованиям соответствующих нормативных документов (ГОСТ, СНиП и пр.).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Требования к гарантийному сроку на товары, работы, услуги и (или) объему предоставления гарантий его качества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40"/>
              <w:ind w:star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Гарантия качества предоставляется на все произведенные работы и использованные в ходе производства работ материалы, изделия, конструкции и оборудование и составляет не менее 60 (шестидесяти) месяцев. </w:t>
            </w:r>
          </w:p>
          <w:p>
            <w:pPr>
              <w:pStyle w:val="ListParagraph"/>
              <w:spacing w:lineRule="auto" w:line="240"/>
              <w:ind w:star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Если в период гарантийного срока обнаружатся недостатки или дефекты, то Подрядчик обязан направить своего представителя для участия в составлении акта, фиксирующего дефекты и (в случае, если не докажет отсутствие своей вины) обязан устранить их за свой счет в сроки, согласованные Сторонами, но не более 7 календарных дней. Гарантийный срок в этом случае продлевается на период устранения дефектов.</w:t>
            </w:r>
          </w:p>
          <w:p>
            <w:pPr>
              <w:pStyle w:val="ListParagraph"/>
              <w:spacing w:lineRule="auto" w:line="240"/>
              <w:ind w:star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Началом срока гарантии следует считать следующий день после подписания структурированного документа о приемке.</w:t>
            </w:r>
          </w:p>
          <w:p>
            <w:pPr>
              <w:pStyle w:val="ListParagraph"/>
              <w:spacing w:lineRule="auto" w:line="240"/>
              <w:ind w:star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(уклонения) Подрядчика от устранения недостатков или дефектов, Заказчик вправе:</w:t>
            </w:r>
          </w:p>
          <w:p>
            <w:pPr>
              <w:pStyle w:val="ListParagraph"/>
              <w:spacing w:lineRule="auto" w:line="240"/>
              <w:ind w:star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Провести экспертизу, как своими силами, так и с помощью привлеченных экспертов. При этом расходы на экспертизу несет Подрядчик, за исключением случаев, когда экспертизой установлено отсутствие нарушений Подрядчиком условий </w:t>
            </w:r>
            <w:r>
              <w:rPr>
                <w:rFonts w:ascii="Times New Roman" w:hAnsi="Times New Roman"/>
              </w:rPr>
              <w:t>Договора</w:t>
            </w:r>
            <w:r>
              <w:rPr>
                <w:rFonts w:ascii="Times New Roman" w:hAnsi="Times New Roman"/>
              </w:rPr>
              <w:t xml:space="preserve"> или причинной связи между действиями Подрядчика и обнаруженными недостатками.</w:t>
            </w:r>
          </w:p>
          <w:p>
            <w:pPr>
              <w:pStyle w:val="ListParagraph"/>
              <w:spacing w:lineRule="auto" w:line="240" w:before="0" w:after="200"/>
              <w:ind w:start="0"/>
              <w:contextualSpacing/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2. Устранить недостатки или дефекты своими силами или с помощью третьих лиц, с возложением причинённых расходов и убытков на Подрядчика.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Объем выполняемых работ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5 условных единиц.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Место выполнения работы 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город Нижний Новгород, ул. Черниговская (от Канавинского моста до Метромоста).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Срок исполнения </w:t>
            </w:r>
            <w:r>
              <w:rPr>
                <w:b/>
                <w:sz w:val="22"/>
              </w:rPr>
              <w:t>Договора</w:t>
            </w:r>
            <w:r>
              <w:rPr>
                <w:b/>
                <w:sz w:val="22"/>
              </w:rPr>
              <w:t xml:space="preserve"> (отдельных этапов исполнения </w:t>
            </w:r>
            <w:r>
              <w:rPr>
                <w:b/>
                <w:sz w:val="22"/>
              </w:rPr>
              <w:t>Договора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Срок выполнения работ: с даты заключения Договора по 07.06.2027 (включительно). </w:t>
            </w:r>
          </w:p>
          <w:p>
            <w:pPr>
              <w:pStyle w:val="Normal"/>
              <w:widowControl w:val="false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Подрядчик имеет право досрочно выполнить работы и сдать объект Заказчику.</w:t>
            </w:r>
          </w:p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Срок приемки выполненных работ: в течение 30 (Тридцати) рабочих дней, следующих за днем поступления документа о приемке. </w:t>
            </w:r>
          </w:p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Срок исполнения договора: договор действует по 31 декабря 2027 года включительно, а в части оплаты – до полного исполнения своих обязательств Сторонами.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11.1.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Порядок формирования цены договора: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color w:val="0000FF"/>
                <w:sz w:val="22"/>
              </w:rPr>
            </w:pPr>
            <w:r>
              <w:rPr>
                <w:sz w:val="22"/>
              </w:rPr>
              <w:t>Цена Договора включает в себя прибыль Подрядчика, уплату налогов, сборов, других обязательных платежей и иных расходов Подрядчика, связанных с выполнением всего комплекса обязательств по Договору.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11.3.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Источник финансирования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Собственные средства Заказчика.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11.4.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валюты в соответствии с общероссийским классификатором валют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Российский рубль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11.5.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Не предусмотрено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Форма, сроки и порядок оплаты работ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Оплата фактически выполненных работ производится Заказчиком в безналичном порядке путем перечисления денежных средств с лицевого счета Заказчика  на расчетный счет Подрядчика:</w:t>
            </w:r>
          </w:p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промежуточная оплата выполненных работ осуществляется в течение 7 (Семи) рабочих дней с даты подписания Заказчиком   документа о приемке выполненных работ. Основанием для осуществления платежа служит  документ о приемке, при условии, что работа выполнена надлежащим образом и в установленный </w:t>
            </w:r>
            <w:r>
              <w:rPr>
                <w:sz w:val="22"/>
              </w:rPr>
              <w:t>Договором</w:t>
            </w:r>
            <w:r>
              <w:rPr>
                <w:sz w:val="22"/>
              </w:rPr>
              <w:t xml:space="preserve"> срок;</w:t>
            </w:r>
          </w:p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- окончательная оплата выполненных работ осуществляется в течение 7 (Семи) рабочих дней с даты подписания Заказчиком структурированного документа о приемке выполненных работ. Основанием для осуществления платежа служит структурированный документ о приемке, при условии, что работа выполнена надлежащим образом и в установленный договором срок.</w:t>
            </w:r>
          </w:p>
          <w:p>
            <w:pPr>
              <w:pStyle w:val="Normal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Сумма, подлежащая уплате заказчиком юридическим лицам или физическим лицам, в том числе зарегистрированным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      </w:r>
            <w:r>
              <w:rPr>
                <w:i/>
                <w:sz w:val="22"/>
              </w:rPr>
              <w:t>Договора</w:t>
            </w:r>
            <w:r>
              <w:rPr>
                <w:i/>
                <w:sz w:val="22"/>
              </w:rPr>
      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      </w:r>
          </w:p>
        </w:tc>
      </w:tr>
      <w:tr>
        <w:trPr>
          <w:trHeight w:val="558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12.1.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Размер аванса (если предусмотрена выплата аванса)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i/>
                <w:sz w:val="22"/>
              </w:rPr>
            </w:pPr>
            <w:r>
              <w:rPr>
                <w:sz w:val="22"/>
              </w:rPr>
              <w:t>Авансирование не предусмотрено.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Размер обеспечения гарантийных обязательств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Не установлено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Информация о банковском сопровождении </w:t>
            </w:r>
            <w:r>
              <w:rPr>
                <w:b/>
                <w:sz w:val="22"/>
              </w:rPr>
              <w:t>Договора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i/>
                <w:sz w:val="22"/>
              </w:rPr>
            </w:pPr>
            <w:r>
              <w:rPr>
                <w:sz w:val="22"/>
              </w:rPr>
              <w:t>Не требуется</w:t>
            </w:r>
          </w:p>
        </w:tc>
      </w:tr>
      <w:tr>
        <w:trPr>
          <w:trHeight w:val="692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17.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color w:val="FF0000"/>
                <w:sz w:val="22"/>
              </w:rPr>
            </w:pPr>
            <w:r>
              <w:rPr>
                <w:b/>
                <w:sz w:val="22"/>
              </w:rPr>
              <w:t xml:space="preserve">Информация о казначейском сопровождении 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Не требуется</w:t>
            </w:r>
          </w:p>
        </w:tc>
      </w:tr>
      <w:tr>
        <w:trPr>
          <w:trHeight w:val="1051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Информация о возможности одностороннего отказа от исполнения </w:t>
            </w:r>
            <w:r>
              <w:rPr>
                <w:b/>
                <w:sz w:val="22"/>
              </w:rPr>
              <w:t>Договора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i/>
                <w:sz w:val="22"/>
              </w:rPr>
            </w:pPr>
            <w:r>
              <w:rPr>
                <w:sz w:val="22"/>
              </w:rPr>
              <w:t>Установлена</w:t>
            </w:r>
          </w:p>
        </w:tc>
      </w:tr>
      <w:tr>
        <w:trPr>
          <w:trHeight w:val="1501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Возможные виды работ, которые подрядчик обязан выполнить самостоятельно без привлечения других лиц к исполнению своих обязательств по </w:t>
            </w:r>
            <w:r>
              <w:rPr>
                <w:b/>
                <w:sz w:val="22"/>
              </w:rPr>
              <w:t>Договору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Не предусмотрено</w:t>
            </w:r>
          </w:p>
        </w:tc>
      </w:tr>
    </w:tbl>
    <w:p>
      <w:pPr>
        <w:pStyle w:val="Normal"/>
        <w:jc w:val="both"/>
        <w:rPr>
          <w:sz w:val="21"/>
        </w:rPr>
      </w:pPr>
      <w:r>
        <w:rPr>
          <w:sz w:val="21"/>
        </w:rPr>
      </w:r>
    </w:p>
    <w:p>
      <w:pPr>
        <w:pStyle w:val="Normal"/>
        <w:jc w:val="both"/>
        <w:rPr>
          <w:sz w:val="21"/>
        </w:rPr>
      </w:pPr>
      <w:r>
        <w:rPr>
          <w:sz w:val="21"/>
        </w:rPr>
      </w:r>
    </w:p>
    <w:p>
      <w:pPr>
        <w:pStyle w:val="Normal"/>
        <w:jc w:val="both"/>
        <w:rPr>
          <w:sz w:val="21"/>
        </w:rPr>
      </w:pPr>
      <w:r>
        <w:rPr>
          <w:sz w:val="21"/>
        </w:rPr>
      </w:r>
    </w:p>
    <w:p>
      <w:pPr>
        <w:pStyle w:val="Normal"/>
        <w:jc w:val="both"/>
        <w:rPr>
          <w:sz w:val="21"/>
        </w:rPr>
      </w:pPr>
      <w:r>
        <w:rPr>
          <w:sz w:val="21"/>
        </w:rPr>
      </w:r>
    </w:p>
    <w:p>
      <w:pPr>
        <w:pStyle w:val="Normal"/>
        <w:jc w:val="both"/>
        <w:rPr>
          <w:sz w:val="21"/>
        </w:rPr>
      </w:pPr>
      <w:r>
        <w:rPr>
          <w:sz w:val="21"/>
        </w:rPr>
      </w:r>
    </w:p>
    <w:p>
      <w:pPr>
        <w:pStyle w:val="Normal"/>
        <w:jc w:val="both"/>
        <w:rPr>
          <w:sz w:val="21"/>
        </w:rPr>
      </w:pPr>
      <w:r>
        <w:rPr>
          <w:sz w:val="21"/>
        </w:rPr>
      </w:r>
    </w:p>
    <w:p>
      <w:pPr>
        <w:pStyle w:val="Normal"/>
        <w:spacing w:before="0" w:after="200"/>
        <w:jc w:val="center"/>
        <w:rPr>
          <w:b/>
          <w:sz w:val="22"/>
        </w:rPr>
      </w:pPr>
      <w:r>
        <w:rPr>
          <w:b/>
          <w:sz w:val="22"/>
        </w:rPr>
        <w:t>ПЕРЕЧЕНЬ НОРМАТИВНО – ТЕХНИЧЕСКОЙ ДОКУМЕНТАЦИИ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Решение Городской Думы города Нижнего Новгорода от 27 мая 2026 года № 123 «О Правилах благоустройства территории муниципального образования город Нижний Новгород»;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Закон Нижегородской области от 10 сентября 2010 г. N 144-З "Об обеспечении чистоты и порядка на территории Нижегородской области";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СП 82.13330.2016 «СНиП III-10-75 Благоустройство территорий» (Приказ Минстроя России от 16 декабря 2016 г. № 972/пр);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ПУЭ. Правила устройства электроустановок, 6-е, 7-е издание;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ПТЭ. Правила технической эксплуатации электрических станций и сетей РФ;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РД 153-34.3-03.285-2002. Правила безопасности при строительстве линий электропередачи и производстве электромонтажных работ;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СП 52.13330.2016 актуализированной редакции СНиП23-05-95*;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СП 76.13330.2016 актуализированной редакции СНиП 3.05.06-85. Электротехнические устройства;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СП 48.13330.2019 Организация строительства СНиП 12-01-2004;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СНиП 12-03-2001. Безопасность труда в строительстве;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СП 70.13330.2012. Несущие и ограждающие конструкции;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>СП 76.13330.2016. Электротехнические устройства.</w:t>
      </w:r>
    </w:p>
    <w:p>
      <w:pPr>
        <w:pStyle w:val="Normal"/>
        <w:spacing w:before="0" w:after="200"/>
        <w:jc w:val="both"/>
        <w:rPr>
          <w:sz w:val="22"/>
        </w:rPr>
      </w:pPr>
      <w:r>
        <w:rPr>
          <w:sz w:val="22"/>
        </w:rPr>
        <w:t xml:space="preserve">Приведенный перечень стандартов и правил не является исчерпывающим: применению подлежат все правила и стандарты, обязательные к применению в соответствии с законодательством.   </w:t>
      </w:r>
    </w:p>
    <w:p>
      <w:pPr>
        <w:pStyle w:val="Normal"/>
        <w:jc w:val="both"/>
        <w:rPr>
          <w:sz w:val="21"/>
        </w:rPr>
      </w:pPr>
      <w:r>
        <w:rPr>
          <w:sz w:val="21"/>
        </w:rPr>
      </w:r>
    </w:p>
    <w:p>
      <w:pPr>
        <w:pStyle w:val="Normal"/>
        <w:jc w:val="both"/>
        <w:rPr>
          <w:sz w:val="21"/>
        </w:rPr>
      </w:pPr>
      <w:r>
        <w:rPr>
          <w:sz w:val="21"/>
        </w:rPr>
      </w:r>
    </w:p>
    <w:p>
      <w:pPr>
        <w:pStyle w:val="Normal"/>
        <w:jc w:val="both"/>
        <w:rPr>
          <w:sz w:val="21"/>
        </w:rPr>
      </w:pPr>
      <w:r>
        <w:rPr>
          <w:sz w:val="21"/>
        </w:rPr>
      </w:r>
    </w:p>
    <w:sectPr>
      <w:type w:val="nextPage"/>
      <w:pgSz w:w="11906" w:h="16838"/>
      <w:pgMar w:left="1134" w:right="850" w:gutter="0" w:header="0" w:top="567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2"/>
    <w:uiPriority w:val="9"/>
    <w:qFormat/>
    <w:pPr>
      <w:keepNext w:val="true"/>
      <w:keepLines/>
      <w:spacing w:lineRule="auto" w:line="276" w:before="240" w:after="0"/>
      <w:outlineLvl w:val="0"/>
    </w:pPr>
    <w:rPr>
      <w:rFonts w:ascii="Cambria" w:hAnsi="Cambria" w:asciiTheme="majorHAnsi" w:hAnsiTheme="majorHAnsi"/>
      <w:color w:themeColor="accent1" w:themeShade="bf" w:val="365F91"/>
      <w:sz w:val="32"/>
    </w:rPr>
  </w:style>
  <w:style w:type="paragraph" w:styleId="Heading2">
    <w:name w:val="heading 2"/>
    <w:basedOn w:val="Normal"/>
    <w:next w:val="Normal"/>
    <w:link w:val="22"/>
    <w:uiPriority w:val="9"/>
    <w:qFormat/>
    <w:pPr>
      <w:keepNext w:val="true"/>
      <w:keepLines/>
      <w:spacing w:lineRule="auto" w:line="276" w:before="200" w:after="0"/>
      <w:outlineLvl w:val="1"/>
    </w:pPr>
    <w:rPr>
      <w:rFonts w:ascii="Cambria" w:hAnsi="Cambria" w:asciiTheme="majorHAnsi" w:hAnsiTheme="majorHAnsi"/>
      <w:b/>
      <w:color w:themeColor="accent1" w:val="4F81BD"/>
      <w:sz w:val="26"/>
    </w:rPr>
  </w:style>
  <w:style w:type="paragraph" w:styleId="Heading3">
    <w:name w:val="heading 3"/>
    <w:basedOn w:val="Normal"/>
    <w:next w:val="Normal"/>
    <w:link w:val="3"/>
    <w:uiPriority w:val="9"/>
    <w:qFormat/>
    <w:pPr>
      <w:keepNext w:val="true"/>
      <w:keepLines/>
      <w:spacing w:before="40" w:after="0"/>
      <w:outlineLvl w:val="2"/>
    </w:pPr>
    <w:rPr>
      <w:rFonts w:ascii="Cambria" w:hAnsi="Cambria" w:asciiTheme="majorHAnsi" w:hAnsiTheme="majorHAnsi"/>
      <w:color w:themeColor="accent1" w:themeShade="7f" w:val="243F60"/>
    </w:rPr>
  </w:style>
  <w:style w:type="paragraph" w:styleId="Heading4">
    <w:name w:val="heading 4"/>
    <w:next w:val="Normal"/>
    <w:link w:val="41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>
      <w:rFonts w:ascii="Times New Roman" w:hAnsi="Times New Roman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Style9" w:customStyle="1">
    <w:name w:val="Абзац списка Знак"/>
    <w:basedOn w:val="1"/>
    <w:link w:val="ListParagraph"/>
    <w:qFormat/>
    <w:rPr>
      <w:rFonts w:ascii="Calibri" w:hAnsi="Calibri" w:asciiTheme="minorHAnsi" w:hAnsiTheme="minorHAnsi"/>
      <w:sz w:val="22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" w:customStyle="1">
    <w:name w:val="Заголовок 3 Знак"/>
    <w:basedOn w:val="1"/>
    <w:qFormat/>
    <w:rPr>
      <w:rFonts w:ascii="Cambria" w:hAnsi="Cambria" w:asciiTheme="majorHAnsi" w:hAnsiTheme="majorHAnsi"/>
      <w:color w:themeColor="accent1" w:themeShade="7f" w:val="243F60"/>
      <w:sz w:val="24"/>
    </w:rPr>
  </w:style>
  <w:style w:type="character" w:styleId="11" w:customStyle="1">
    <w:name w:val="Заголовок 1 Знак1"/>
    <w:basedOn w:val="DefaultParagraphFont"/>
    <w:link w:val="111"/>
    <w:qFormat/>
    <w:rPr>
      <w:rFonts w:ascii="Arial" w:hAnsi="Arial"/>
      <w:b/>
      <w:sz w:val="32"/>
    </w:rPr>
  </w:style>
  <w:style w:type="character" w:styleId="Style10" w:customStyle="1">
    <w:name w:val="Текст примечания Знак"/>
    <w:basedOn w:val="1"/>
    <w:qFormat/>
    <w:rPr>
      <w:rFonts w:ascii="Calibri" w:hAnsi="Calibri" w:asciiTheme="minorHAnsi" w:hAnsiTheme="minorHAnsi"/>
      <w:sz w:val="20"/>
    </w:rPr>
  </w:style>
  <w:style w:type="character" w:styleId="CommentReference">
    <w:name w:val="annotation reference"/>
    <w:basedOn w:val="DefaultParagraphFont"/>
    <w:link w:val="17"/>
    <w:qFormat/>
    <w:rPr>
      <w:sz w:val="16"/>
    </w:rPr>
  </w:style>
  <w:style w:type="character" w:styleId="Style11" w:customStyle="1">
    <w:name w:val="Тема примечания Знак"/>
    <w:basedOn w:val="Style10"/>
    <w:link w:val="annotationsubject"/>
    <w:qFormat/>
    <w:rPr>
      <w:rFonts w:ascii="Calibri" w:hAnsi="Calibri" w:asciiTheme="minorHAnsi" w:hAnsiTheme="minorHAnsi"/>
      <w:b/>
      <w:sz w:val="20"/>
    </w:rPr>
  </w:style>
  <w:style w:type="character" w:styleId="Style12" w:customStyle="1">
    <w:name w:val="Основной"/>
    <w:basedOn w:val="1"/>
    <w:link w:val="18"/>
    <w:qFormat/>
    <w:rPr>
      <w:rFonts w:ascii="Times New Roman" w:hAnsi="Times New Roman"/>
      <w:sz w:val="28"/>
    </w:rPr>
  </w:style>
  <w:style w:type="character" w:styleId="TimesNewRoman" w:customStyle="1">
    <w:name w:val="Основной текст + Times New Roman"/>
    <w:link w:val="TimesNewRoman1"/>
    <w:qFormat/>
    <w:rPr>
      <w:rFonts w:ascii="Times New Roman" w:hAnsi="Times New Roman"/>
      <w:strike w:val="false"/>
      <w:dstrike w:val="false"/>
      <w:color w:val="000000"/>
      <w:spacing w:val="4"/>
      <w:sz w:val="15"/>
      <w:u w:val="none"/>
    </w:rPr>
  </w:style>
  <w:style w:type="character" w:styleId="Style13" w:customStyle="1">
    <w:name w:val="Текст ТД"/>
    <w:basedOn w:val="1"/>
    <w:link w:val="19"/>
    <w:qFormat/>
    <w:rPr>
      <w:rFonts w:ascii="Times New Roman" w:hAnsi="Times New Roman"/>
      <w:sz w:val="24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311" w:customStyle="1">
    <w:name w:val="Заголовок 3 Знак1"/>
    <w:link w:val="3111"/>
    <w:qFormat/>
    <w:rPr>
      <w:rFonts w:ascii="Arial" w:hAnsi="Arial"/>
      <w:b/>
      <w:sz w:val="24"/>
    </w:rPr>
  </w:style>
  <w:style w:type="character" w:styleId="TimesNewRoman2" w:customStyle="1">
    <w:name w:val="Основной текст + Times New Roman2"/>
    <w:link w:val="TimesNewRoman21"/>
    <w:qFormat/>
    <w:rPr>
      <w:rFonts w:ascii="Times New Roman" w:hAnsi="Times New Roman"/>
      <w:color w:val="000000"/>
      <w:spacing w:val="4"/>
      <w:sz w:val="15"/>
      <w:u w:val="none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21" w:customStyle="1">
    <w:name w:val="Основной текст 2 Знак"/>
    <w:basedOn w:val="1"/>
    <w:link w:val="BodyText2"/>
    <w:qFormat/>
    <w:rPr>
      <w:rFonts w:ascii="Calibri" w:hAnsi="Calibri" w:asciiTheme="minorHAnsi" w:hAnsiTheme="minorHAnsi"/>
      <w:sz w:val="22"/>
    </w:rPr>
  </w:style>
  <w:style w:type="character" w:styleId="12" w:customStyle="1">
    <w:name w:val="Заголовок 1 Знак"/>
    <w:basedOn w:val="1"/>
    <w:qFormat/>
    <w:rPr>
      <w:rFonts w:ascii="Cambria" w:hAnsi="Cambria" w:asciiTheme="majorHAnsi" w:hAnsiTheme="majorHAnsi"/>
      <w:color w:themeColor="accent1" w:themeShade="bf" w:val="365F91"/>
      <w:sz w:val="32"/>
    </w:rPr>
  </w:style>
  <w:style w:type="character" w:styleId="Style14" w:customStyle="1">
    <w:name w:val="Основной текст Знак"/>
    <w:basedOn w:val="1"/>
    <w:qFormat/>
    <w:rPr>
      <w:rFonts w:ascii="Times New Roman" w:hAnsi="Times New Roman"/>
      <w:sz w:val="24"/>
    </w:rPr>
  </w:style>
  <w:style w:type="character" w:styleId="13" w:customStyle="1">
    <w:name w:val="Абзац списка1"/>
    <w:basedOn w:val="1"/>
    <w:link w:val="112"/>
    <w:qFormat/>
    <w:rPr>
      <w:rFonts w:ascii="Times New Roman" w:hAnsi="Times New Roman"/>
      <w:sz w:val="24"/>
    </w:rPr>
  </w:style>
  <w:style w:type="character" w:styleId="Hyperlink">
    <w:name w:val="Hyperlink"/>
    <w:basedOn w:val="DefaultParagraphFont"/>
    <w:link w:val="110"/>
    <w:rPr>
      <w:color w:themeColor="hyperlink" w:val="0000FF"/>
      <w:u w:val="single"/>
    </w:rPr>
  </w:style>
  <w:style w:type="character" w:styleId="Footnote" w:customStyle="1">
    <w:name w:val="Footnote"/>
    <w:basedOn w:val="1"/>
    <w:link w:val="Footnote1"/>
    <w:qFormat/>
    <w:rPr>
      <w:rFonts w:ascii="Times New Roman" w:hAnsi="Times New Roman"/>
      <w:sz w:val="20"/>
    </w:rPr>
  </w:style>
  <w:style w:type="character" w:styleId="ConsPlusNormal" w:customStyle="1">
    <w:name w:val="ConsPlusNormal"/>
    <w:link w:val="ConsPlusNormal1"/>
    <w:qFormat/>
    <w:rPr>
      <w:rFonts w:ascii="Times New Roman" w:hAnsi="Times New Roman"/>
      <w:sz w:val="24"/>
    </w:rPr>
  </w:style>
  <w:style w:type="character" w:styleId="14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15" w:customStyle="1">
    <w:name w:val="Неразрешенное упоминание1"/>
    <w:basedOn w:val="DefaultParagraphFont"/>
    <w:link w:val="113"/>
    <w:qFormat/>
    <w:rPr>
      <w:color w:val="605E5C"/>
      <w:shd w:fill="E1DFDD" w:val="clear"/>
    </w:rPr>
  </w:style>
  <w:style w:type="character" w:styleId="user">
    <w:name w:val="Символ сноски (user)"/>
    <w:basedOn w:val="DefaultParagraphFont"/>
    <w:link w:val="114"/>
    <w:qFormat/>
    <w:rPr>
      <w:vertAlign w:val="superscript"/>
    </w:rPr>
  </w:style>
  <w:style w:type="character" w:styleId="Style1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6" w:customStyle="1">
    <w:name w:val="Текст выноски Знак"/>
    <w:basedOn w:val="1"/>
    <w:link w:val="BalloonText"/>
    <w:qFormat/>
    <w:rPr>
      <w:rFonts w:ascii="Tahoma" w:hAnsi="Tahoma"/>
      <w:sz w:val="16"/>
    </w:rPr>
  </w:style>
  <w:style w:type="character" w:styleId="Style17" w:customStyle="1">
    <w:name w:val="Подзаголовок Знак"/>
    <w:qFormat/>
    <w:rPr>
      <w:rFonts w:ascii="XO Thames" w:hAnsi="XO Thames"/>
      <w:i/>
      <w:sz w:val="24"/>
    </w:rPr>
  </w:style>
  <w:style w:type="character" w:styleId="Style18" w:customStyle="1">
    <w:name w:val="Название Знак"/>
    <w:qFormat/>
    <w:rPr>
      <w:rFonts w:ascii="XO Thames" w:hAnsi="XO Thames"/>
      <w:b/>
      <w:caps/>
      <w:sz w:val="40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Default" w:customStyle="1">
    <w:name w:val="Default"/>
    <w:link w:val="Default1"/>
    <w:qFormat/>
    <w:rPr>
      <w:rFonts w:ascii="Times New Roman" w:hAnsi="Times New Roman"/>
      <w:color w:val="000000"/>
      <w:sz w:val="24"/>
    </w:rPr>
  </w:style>
  <w:style w:type="character" w:styleId="22" w:customStyle="1">
    <w:name w:val="Заголовок 2 Знак"/>
    <w:basedOn w:val="1"/>
    <w:qFormat/>
    <w:rPr>
      <w:rFonts w:ascii="Cambria" w:hAnsi="Cambria" w:asciiTheme="majorHAnsi" w:hAnsiTheme="majorHAnsi"/>
      <w:b/>
      <w:color w:themeColor="accent1" w:val="4F81BD"/>
      <w:sz w:val="26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link w:val="Style14"/>
    <w:pPr>
      <w:spacing w:before="0" w:after="120"/>
      <w:ind w:firstLine="357"/>
      <w:jc w:val="both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lineRule="auto" w:line="276" w:before="0" w:after="200"/>
      <w:ind w:start="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lineRule="auto" w:line="276" w:before="0" w:after="200"/>
      <w:ind w:start="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ListParagraph">
    <w:name w:val="List Paragraph"/>
    <w:basedOn w:val="Normal"/>
    <w:link w:val="Style9"/>
    <w:qFormat/>
    <w:pPr>
      <w:spacing w:lineRule="auto" w:line="276" w:before="0" w:after="200"/>
      <w:ind w:start="720"/>
      <w:contextualSpacing/>
    </w:pPr>
    <w:rPr>
      <w:rFonts w:ascii="Calibri" w:hAnsi="Calibri" w:asciiTheme="minorHAnsi" w:hAnsiTheme="minorHAnsi"/>
      <w:sz w:val="22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lineRule="auto" w:line="276" w:before="0" w:after="200"/>
      <w:ind w:start="10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6" w:customStyle="1">
    <w:name w:val="Основной шрифт абзаца1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lineRule="auto" w:line="276" w:before="0" w:after="200"/>
      <w:ind w:start="1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11" w:customStyle="1">
    <w:name w:val="Заголовок 1 Знак11"/>
    <w:basedOn w:val="16"/>
    <w:link w:val="11"/>
    <w:qFormat/>
    <w:pPr/>
    <w:rPr>
      <w:rFonts w:ascii="Arial" w:hAnsi="Arial"/>
      <w:b/>
      <w:sz w:val="32"/>
    </w:rPr>
  </w:style>
  <w:style w:type="paragraph" w:styleId="CommentText">
    <w:name w:val="annotation text"/>
    <w:basedOn w:val="Normal"/>
    <w:link w:val="Style10"/>
    <w:pPr>
      <w:spacing w:before="0" w:after="200"/>
    </w:pPr>
    <w:rPr>
      <w:rFonts w:ascii="Calibri" w:hAnsi="Calibri" w:asciiTheme="minorHAnsi" w:hAnsiTheme="minorHAnsi"/>
      <w:sz w:val="20"/>
    </w:rPr>
  </w:style>
  <w:style w:type="paragraph" w:styleId="17" w:customStyle="1">
    <w:name w:val="Знак примечания1"/>
    <w:basedOn w:val="16"/>
    <w:link w:val="CommentReference"/>
    <w:qFormat/>
    <w:pPr/>
    <w:rPr>
      <w:sz w:val="16"/>
    </w:rPr>
  </w:style>
  <w:style w:type="paragraph" w:styleId="annotationsubject">
    <w:name w:val="annotation subject"/>
    <w:basedOn w:val="CommentText"/>
    <w:next w:val="CommentText"/>
    <w:link w:val="Style11"/>
    <w:qFormat/>
    <w:pPr/>
    <w:rPr>
      <w:b/>
    </w:rPr>
  </w:style>
  <w:style w:type="paragraph" w:styleId="18" w:customStyle="1">
    <w:name w:val="Основной1"/>
    <w:basedOn w:val="Normal"/>
    <w:link w:val="Style12"/>
    <w:qFormat/>
    <w:pPr>
      <w:ind w:firstLine="709"/>
      <w:jc w:val="both"/>
    </w:pPr>
    <w:rPr>
      <w:sz w:val="28"/>
    </w:rPr>
  </w:style>
  <w:style w:type="paragraph" w:styleId="TimesNewRoman1" w:customStyle="1">
    <w:name w:val="Основной текст + Times New Roman1"/>
    <w:link w:val="TimesNewRoman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Times New Roman" w:cs="Times New Roman"/>
      <w:color w:val="000000"/>
      <w:spacing w:val="4"/>
      <w:kern w:val="0"/>
      <w:sz w:val="15"/>
      <w:szCs w:val="20"/>
      <w:lang w:val="ru-RU" w:eastAsia="ru-RU" w:bidi="ar-SA"/>
    </w:rPr>
  </w:style>
  <w:style w:type="paragraph" w:styleId="19" w:customStyle="1">
    <w:name w:val="Текст ТД1"/>
    <w:basedOn w:val="Normal"/>
    <w:link w:val="Style13"/>
    <w:qFormat/>
    <w:pPr>
      <w:numPr>
        <w:ilvl w:val="0"/>
        <w:numId w:val="2"/>
      </w:numPr>
      <w:spacing w:before="0" w:after="200"/>
      <w:jc w:val="both"/>
    </w:pPr>
    <w:rPr/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lineRule="auto" w:line="276" w:before="0" w:after="200"/>
      <w:ind w:start="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3111" w:customStyle="1">
    <w:name w:val="Заголовок 3 Знак11"/>
    <w:link w:val="311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Arial" w:hAnsi="Arial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TimesNewRoman21" w:customStyle="1">
    <w:name w:val="Основной текст + Times New Roman21"/>
    <w:link w:val="TimesNewRoman2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Times New Roman" w:cs="Times New Roman"/>
      <w:color w:val="000000"/>
      <w:spacing w:val="4"/>
      <w:kern w:val="0"/>
      <w:sz w:val="15"/>
      <w:szCs w:val="20"/>
      <w:lang w:val="ru-RU" w:eastAsia="ru-RU" w:bidi="ar-SA"/>
    </w:rPr>
  </w:style>
  <w:style w:type="paragraph" w:styleId="BodyText2">
    <w:name w:val="Body Text 2"/>
    <w:basedOn w:val="Normal"/>
    <w:link w:val="21"/>
    <w:qFormat/>
    <w:pPr>
      <w:spacing w:lineRule="auto" w:line="480" w:before="0" w:after="120"/>
    </w:pPr>
    <w:rPr>
      <w:rFonts w:ascii="Calibri" w:hAnsi="Calibri" w:asciiTheme="minorHAnsi" w:hAnsiTheme="minorHAnsi"/>
      <w:sz w:val="22"/>
    </w:rPr>
  </w:style>
  <w:style w:type="paragraph" w:styleId="112" w:customStyle="1">
    <w:name w:val="Абзац списка11"/>
    <w:basedOn w:val="Normal"/>
    <w:link w:val="13"/>
    <w:qFormat/>
    <w:pPr>
      <w:ind w:start="708"/>
    </w:pPr>
    <w:rPr/>
  </w:style>
  <w:style w:type="paragraph" w:styleId="110" w:customStyle="1">
    <w:name w:val="Гиперссылка1"/>
    <w:basedOn w:val="16"/>
    <w:qFormat/>
    <w:pPr/>
    <w:rPr>
      <w:color w:themeColor="hyperlink" w:val="0000FF"/>
      <w:u w:val="single"/>
    </w:rPr>
  </w:style>
  <w:style w:type="paragraph" w:styleId="Footnote1" w:customStyle="1">
    <w:name w:val="Footnote1"/>
    <w:basedOn w:val="Normal"/>
    <w:link w:val="Footnote"/>
    <w:qFormat/>
    <w:pPr/>
    <w:rPr>
      <w:sz w:val="20"/>
    </w:rPr>
  </w:style>
  <w:style w:type="paragraph" w:styleId="ConsPlusNormal1" w:customStyle="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TOC1">
    <w:name w:val="toc 1"/>
    <w:next w:val="Normal"/>
    <w:link w:val="14"/>
    <w:uiPriority w:val="39"/>
    <w:pPr>
      <w:widowControl/>
      <w:suppressAutoHyphens w:val="true"/>
      <w:bidi w:val="0"/>
      <w:spacing w:lineRule="auto" w:line="276" w:before="0" w:after="200"/>
      <w:jc w:val="star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user3" w:customStyle="1">
    <w:name w:val="Колонтитулы (user)"/>
    <w:qFormat/>
    <w:pPr>
      <w:widowControl/>
      <w:suppressAutoHyphens w:val="true"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lineRule="auto" w:line="276" w:before="0" w:after="200"/>
      <w:ind w:start="1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lineRule="auto" w:line="276" w:before="0" w:after="200"/>
      <w:ind w:start="1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lineRule="auto" w:line="276" w:before="0" w:after="200"/>
      <w:ind w:start="8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3" w:customStyle="1">
    <w:name w:val="Неразрешенное упоминание11"/>
    <w:basedOn w:val="16"/>
    <w:link w:val="15"/>
    <w:qFormat/>
    <w:pPr/>
    <w:rPr>
      <w:color w:val="605E5C"/>
      <w:shd w:fill="E1DFDD" w:val="clear"/>
    </w:rPr>
  </w:style>
  <w:style w:type="paragraph" w:styleId="114" w:customStyle="1">
    <w:name w:val="Знак сноски1"/>
    <w:basedOn w:val="16"/>
    <w:qFormat/>
    <w:pPr/>
    <w:rPr>
      <w:vertAlign w:val="superscript"/>
    </w:rPr>
  </w:style>
  <w:style w:type="paragraph" w:styleId="BalloonText">
    <w:name w:val="Balloon Text"/>
    <w:basedOn w:val="Normal"/>
    <w:link w:val="Style16"/>
    <w:qFormat/>
    <w:pPr/>
    <w:rPr>
      <w:rFonts w:ascii="Tahoma" w:hAnsi="Tahoma"/>
      <w:sz w:val="16"/>
    </w:rPr>
  </w:style>
  <w:style w:type="paragraph" w:styleId="Subtitle">
    <w:name w:val="Subtitle"/>
    <w:next w:val="Normal"/>
    <w:link w:val="Style17"/>
    <w:uiPriority w:val="11"/>
    <w:qFormat/>
    <w:pPr>
      <w:widowControl/>
      <w:suppressAutoHyphens w:val="true"/>
      <w:bidi w:val="0"/>
      <w:spacing w:lineRule="auto" w:line="276" w:before="0" w:after="20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next w:val="Normal"/>
    <w:link w:val="Style18"/>
    <w:uiPriority w:val="10"/>
    <w:qFormat/>
    <w:pPr>
      <w:widowControl/>
      <w:suppressAutoHyphens w:val="true"/>
      <w:bidi w:val="0"/>
      <w:spacing w:lineRule="auto" w:line="276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Default1" w:customStyle="1">
    <w:name w:val="Default1"/>
    <w:link w:val="Default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LibreOffice/25.8.7.3$Linux_X86_64 LibreOffice_project/30742500f2d3eb4366ac312fa33d3dcabdb3eba5</Application>
  <AppVersion>15.0000</AppVersion>
  <DocSecurity>4</DocSecurity>
  <Pages>8</Pages>
  <Words>2548</Words>
  <Characters>18167</Characters>
  <CharactersWithSpaces>20543</CharactersWithSpaces>
  <Paragraphs>202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2026-10-02T05:39:00Z</dcterms:created>
  <dc:creator>Адушева Мария Викторовна</dc:creator>
  <dc:description/>
  <dc:language>ru-RU</dc:language>
  <cp:lastModifiedBy/>
  <dcterms:modified xsi:type="dcterms:W3CDTF">2026-10-02T14:57:53Z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