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«УТВЕРЖДАЮ»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Главный инженер ЯГРЭС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>ПАО «Якутскэнерго»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  <w:t xml:space="preserve">______________ Н.Н. Аммосов 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/>
        <w:t>«___» ________________2026г.</w:t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jc w:val="right"/>
        <w:rPr>
          <w:b/>
          <w:bCs/>
        </w:rPr>
      </w:pPr>
      <w:r>
        <w:rPr>
          <w:b/>
          <w:bCs/>
        </w:rPr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rPr/>
      </w:pPr>
      <w:r>
        <w:rPr/>
      </w:r>
    </w:p>
    <w:p>
      <w:pPr>
        <w:pStyle w:val="Normal"/>
        <w:keepNext w:val="true"/>
        <w:keepLines/>
        <w:spacing w:lineRule="auto" w:line="360"/>
        <w:jc w:val="center"/>
        <w:rPr/>
      </w:pPr>
      <w:r>
        <w:rPr>
          <w:rFonts w:eastAsia="Calibri"/>
          <w:b/>
        </w:rPr>
        <w:t>Технические требования на поставку МТР</w:t>
      </w:r>
    </w:p>
    <w:p>
      <w:pPr>
        <w:pStyle w:val="Normal"/>
        <w:spacing w:lineRule="auto" w:line="360"/>
        <w:jc w:val="center"/>
        <w:rPr>
          <w:rFonts w:eastAsia="Calibri"/>
          <w:b/>
        </w:rPr>
      </w:pPr>
      <w:r>
        <w:rPr>
          <w:rFonts w:eastAsia="Calibri"/>
          <w:b/>
        </w:rPr>
        <w:t>лот №</w:t>
      </w:r>
    </w:p>
    <w:p>
      <w:pPr>
        <w:pStyle w:val="Normal"/>
        <w:spacing w:lineRule="auto" w:line="360"/>
        <w:jc w:val="center"/>
        <w:rPr/>
      </w:pPr>
      <w:r>
        <w:rPr>
          <w:rStyle w:val="Hyperlink"/>
          <w:rFonts w:eastAsia="Calibri"/>
          <w:b/>
          <w:color w:val="000000"/>
          <w:u w:val="none"/>
        </w:rPr>
        <w:t>ОКПД2 28.14.20.119 Поставка приводов для нужд Туймаады ТЭЦ  (Аварийный запас) в рамках исполнения производственной программы ремонтов</w:t>
      </w:r>
    </w:p>
    <w:p>
      <w:pPr>
        <w:sectPr>
          <w:headerReference w:type="default" r:id="rId2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</w:sectPr>
      </w:pP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sectPr>
          <w:type w:val="continuous"/>
          <w:pgSz w:w="11906" w:h="16838"/>
          <w:pgMar w:left="1134" w:right="851" w:gutter="0" w:header="680" w:top="1134" w:footer="0" w:bottom="992"/>
          <w:formProt w:val="false"/>
          <w:textDirection w:val="lrTb"/>
          <w:docGrid w:type="default" w:linePitch="312" w:charSpace="4294952959"/>
        </w:sectPr>
      </w:pPr>
      <w:r>
        <w:br w:type="page"/>
      </w:r>
    </w:p>
    <w:p>
      <w:pPr>
        <w:pStyle w:val="Normal"/>
        <w:jc w:val="center"/>
        <w:rPr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 Общие сведения……………………………………………………………………………………..3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1.1. Наименование закупаемой продукции…………………………………………………………...3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1.2. Цель использования закупаемой продукции…………………………………………………….3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 Требования к продукции……………………………………………………………………………3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 Требования к объемам и срокам поставки……………………………………………………….3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2.1.1. Перечень и объем закупаемой продукции……………………………………………………..3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2.1.2. Требования к срокам поставки продукции и оказания сопутствующих услуг……………...4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2.2. Требования к качеству продукции……………………………………………………………….5</w:t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№1 к Техническим требованиям ………………………………………………………8</w:t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</w:p>
    <w:p>
      <w:pPr>
        <w:pStyle w:val="Normal"/>
        <w:rPr>
          <w:rFonts w:eastAsia="Calibri"/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bookmarkStart w:id="0" w:name="_Toc51339692"/>
      <w:bookmarkStart w:id="1" w:name="_Toc75446566"/>
      <w:r>
        <w:rPr>
          <w:sz w:val="24"/>
          <w:szCs w:val="24"/>
          <w:lang w:val="ru-RU"/>
        </w:rPr>
        <w:t>Общие сведения</w:t>
      </w:r>
      <w:bookmarkEnd w:id="0"/>
      <w:bookmarkEnd w:id="1"/>
    </w:p>
    <w:p>
      <w:pPr>
        <w:pStyle w:val="Heading4"/>
        <w:numPr>
          <w:ilvl w:val="1"/>
          <w:numId w:val="3"/>
        </w:numPr>
        <w:rPr/>
      </w:pPr>
      <w:bookmarkStart w:id="2" w:name="_Toc75446568"/>
      <w:bookmarkStart w:id="3" w:name="_Toc46743506"/>
      <w:r>
        <w:rPr/>
        <w:t>Наименование закупаемой продукции</w:t>
      </w:r>
      <w:bookmarkEnd w:id="2"/>
      <w:bookmarkEnd w:id="3"/>
    </w:p>
    <w:p>
      <w:pPr>
        <w:pStyle w:val="Normal"/>
        <w:spacing w:lineRule="auto" w:line="360"/>
        <w:rPr/>
      </w:pPr>
      <w:r>
        <w:rPr>
          <w:rStyle w:val="Style8"/>
          <w:rFonts w:eastAsia="Calibri"/>
          <w:b w:val="false"/>
          <w:i w:val="false"/>
          <w:sz w:val="24"/>
          <w:szCs w:val="24"/>
          <w:shd w:fill="auto" w:val="clear"/>
          <w:lang w:eastAsia="x-none"/>
        </w:rPr>
        <w:t>привод</w:t>
      </w:r>
    </w:p>
    <w:p>
      <w:pPr>
        <w:pStyle w:val="Heading4"/>
        <w:numPr>
          <w:ilvl w:val="1"/>
          <w:numId w:val="3"/>
        </w:numPr>
        <w:spacing w:before="240" w:after="60"/>
        <w:ind w:left="431" w:hanging="431"/>
        <w:rPr/>
      </w:pPr>
      <w:bookmarkStart w:id="4" w:name="_Toc75446569"/>
      <w:bookmarkStart w:id="5" w:name="_Toc46743507"/>
      <w:r>
        <w:rPr/>
        <w:t xml:space="preserve">Цель </w:t>
      </w:r>
      <w:bookmarkEnd w:id="5"/>
      <w:r>
        <w:rPr>
          <w:lang w:val="ru-RU"/>
        </w:rPr>
        <w:t xml:space="preserve">использования закупаемой продукции </w:t>
      </w:r>
      <w:bookmarkEnd w:id="4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Выполнение ремонтной программы Туймаады ТЭЦ</w:t>
      </w:r>
      <w:bookmarkStart w:id="6" w:name="_Toc75446573"/>
      <w:bookmarkStart w:id="7" w:name="_Toc51339693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</w:rPr>
      </w:pPr>
      <w:r>
        <w:rPr>
          <w:iCs/>
          <w:sz w:val="24"/>
          <w:szCs w:val="24"/>
        </w:rPr>
        <w:t xml:space="preserve">Требования к </w:t>
      </w:r>
      <w:r>
        <w:rPr>
          <w:sz w:val="24"/>
          <w:szCs w:val="24"/>
          <w:lang w:val="ru-RU"/>
        </w:rPr>
        <w:t>продукции</w:t>
      </w:r>
      <w:bookmarkEnd w:id="6"/>
      <w:bookmarkEnd w:id="7"/>
    </w:p>
    <w:p>
      <w:pPr>
        <w:pStyle w:val="Heading4"/>
        <w:numPr>
          <w:ilvl w:val="1"/>
          <w:numId w:val="3"/>
        </w:numPr>
        <w:rPr/>
      </w:pPr>
      <w:bookmarkStart w:id="8" w:name="_Toc75446574"/>
      <w:r>
        <w:rPr/>
        <w:t xml:space="preserve">Требования к объемам и срокам </w:t>
      </w:r>
      <w:r>
        <w:rPr>
          <w:lang w:val="ru-RU"/>
        </w:rPr>
        <w:t>поставки</w:t>
      </w:r>
      <w:bookmarkEnd w:id="8"/>
    </w:p>
    <w:p>
      <w:pPr>
        <w:pStyle w:val="Heading3"/>
        <w:numPr>
          <w:ilvl w:val="2"/>
          <w:numId w:val="3"/>
        </w:numPr>
        <w:rPr/>
      </w:pPr>
      <w:bookmarkStart w:id="9" w:name="_Toc75446575"/>
      <w:r>
        <w:rPr>
          <w:lang w:val="ru-RU"/>
        </w:rPr>
        <w:t>Перечень и объем закупаемой продукции</w:t>
      </w:r>
      <w:bookmarkEnd w:id="9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0" w:name="_Toc75446576"/>
      <w:bookmarkStart w:id="1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1"/>
      <w:r>
        <w:rPr>
          <w:sz w:val="24"/>
          <w:szCs w:val="24"/>
          <w:lang w:val="ru-RU"/>
        </w:rPr>
        <w:t>и объем закупаемой продукции</w:t>
      </w:r>
      <w:bookmarkEnd w:id="10"/>
    </w:p>
    <w:p>
      <w:pPr>
        <w:pStyle w:val="Normal"/>
        <w:spacing w:before="240" w:after="60"/>
        <w:rPr/>
      </w:pPr>
      <w:r>
        <w:rPr/>
      </w:r>
    </w:p>
    <w:tbl>
      <w:tblPr>
        <w:tblW w:w="9900" w:type="dxa"/>
        <w:jc w:val="left"/>
        <w:tblInd w:w="1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49"/>
        <w:gridCol w:w="6084"/>
        <w:gridCol w:w="1700"/>
        <w:gridCol w:w="1566"/>
      </w:tblGrid>
      <w:tr>
        <w:trPr>
          <w:trHeight w:val="276" w:hRule="atLeast"/>
        </w:trPr>
        <w:tc>
          <w:tcPr>
            <w:tcW w:w="5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0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продукции</w:t>
            </w:r>
          </w:p>
        </w:tc>
        <w:tc>
          <w:tcPr>
            <w:tcW w:w="17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Единица измерения</w:t>
            </w:r>
          </w:p>
        </w:tc>
        <w:tc>
          <w:tcPr>
            <w:tcW w:w="15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</w:t>
            </w:r>
          </w:p>
        </w:tc>
      </w:tr>
      <w:tr>
        <w:trPr>
          <w:trHeight w:val="276" w:hRule="atLeast"/>
        </w:trPr>
        <w:tc>
          <w:tcPr>
            <w:tcW w:w="54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608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70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6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Привод пружинно-гидравлический элегазового выключателя 110 кВ типа ПпрГ-03-2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Привод электродвигательный ПД-20 (ВИЛЕ.654133.009)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/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Привод пружинный быстродействующий ППрБ-200 (ВИЛЕ.654133.010)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>
        <w:trPr>
          <w:trHeight w:val="389" w:hRule="atLeast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ind w:left="360" w:hanging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right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ИТОГО: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ind w:left="0" w:hanging="0"/>
              <w:jc w:val="center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fldChar w:fldCharType="begin"/>
            </w:r>
            <w:r>
              <w:rPr>
                <w:sz w:val="24"/>
                <w:szCs w:val="24"/>
              </w:rPr>
              <w:instrText xml:space="preserve"> =D4+D5+D6</w:instrText>
            </w:r>
            <w:r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fldChar w:fldCharType="end"/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sz w:val="22"/>
          <w:szCs w:val="22"/>
          <w:shd w:fill="FFFF99" w:val="clear"/>
        </w:rPr>
      </w:pPr>
      <w:r>
        <w:rPr>
          <w:bCs/>
          <w:sz w:val="22"/>
          <w:szCs w:val="22"/>
          <w:shd w:fill="FFFF99" w:val="clear"/>
        </w:rPr>
      </w:r>
      <w:r>
        <w:br w:type="page"/>
      </w:r>
    </w:p>
    <w:p>
      <w:pPr>
        <w:pStyle w:val="Heading3"/>
        <w:numPr>
          <w:ilvl w:val="2"/>
          <w:numId w:val="3"/>
        </w:numPr>
        <w:rPr/>
      </w:pPr>
      <w:bookmarkStart w:id="12" w:name="_Toc75446578"/>
      <w:bookmarkStart w:id="13" w:name="_Toc51339696"/>
      <w:r>
        <w:rPr>
          <w:lang w:val="ru-RU"/>
        </w:rPr>
        <w:t xml:space="preserve">Требования </w:t>
      </w:r>
      <w:bookmarkEnd w:id="13"/>
      <w:r>
        <w:rPr>
          <w:lang w:val="ru-RU"/>
        </w:rPr>
        <w:t>к срокам поставки продукции и оказания сопутствующих услуг</w:t>
      </w:r>
      <w:bookmarkEnd w:id="12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bookmarkStart w:id="14" w:name="_Toc75446579"/>
      <w:bookmarkStart w:id="15" w:name="_Toc51339697"/>
      <w:bookmarkStart w:id="16" w:name="_Toc50125127"/>
      <w:bookmarkStart w:id="17" w:name="_Toc50125126"/>
      <w:bookmarkEnd w:id="17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18" w:name="_Hlk50465284"/>
      <w:r>
        <w:rPr>
          <w:sz w:val="24"/>
          <w:szCs w:val="24"/>
        </w:rPr>
        <w:t xml:space="preserve">Требования по срокам </w:t>
      </w:r>
      <w:bookmarkEnd w:id="15"/>
      <w:bookmarkEnd w:id="16"/>
      <w:bookmarkEnd w:id="18"/>
      <w:r>
        <w:rPr>
          <w:sz w:val="24"/>
          <w:szCs w:val="24"/>
          <w:lang w:val="ru-RU"/>
        </w:rPr>
        <w:t>поставки продукции</w:t>
      </w:r>
      <w:bookmarkEnd w:id="14"/>
      <w:r>
        <w:rPr>
          <w:sz w:val="24"/>
          <w:szCs w:val="24"/>
          <w:lang w:val="ru-RU"/>
        </w:rPr>
        <w:t xml:space="preserve"> </w:t>
      </w:r>
    </w:p>
    <w:p>
      <w:pPr>
        <w:pStyle w:val="Normal"/>
        <w:spacing w:before="240" w:after="60"/>
        <w:rPr/>
      </w:pPr>
      <w:r>
        <w:rPr/>
      </w:r>
    </w:p>
    <w:tbl>
      <w:tblPr>
        <w:tblW w:w="10571" w:type="dxa"/>
        <w:jc w:val="left"/>
        <w:tblInd w:w="-3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87"/>
        <w:gridCol w:w="4827"/>
        <w:gridCol w:w="2541"/>
        <w:gridCol w:w="2415"/>
      </w:tblGrid>
      <w:tr>
        <w:trPr/>
        <w:tc>
          <w:tcPr>
            <w:tcW w:w="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4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2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184" w:hRule="atLeast"/>
        </w:trPr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54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30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Привод пружинно-гидравлический элегазового выключателя 110 кВ типа</w:t>
            </w:r>
          </w:p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ПпрГ-03-2</w:t>
            </w:r>
          </w:p>
        </w:tc>
        <w:tc>
          <w:tcPr>
            <w:tcW w:w="254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241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120 календарных дней с даты подписания договора</w:t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Привод электродвигательный ПД-20 (ВИЛЕ.654133.009)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87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numPr>
                <w:ilvl w:val="0"/>
                <w:numId w:val="9"/>
              </w:numPr>
              <w:rPr/>
            </w:pPr>
            <w:r>
              <w:rPr/>
            </w:r>
          </w:p>
        </w:tc>
        <w:tc>
          <w:tcPr>
            <w:tcW w:w="48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36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Привод пружинный быстродействующий ППрБ-200 (ВИЛЕ.654133.010)</w:t>
            </w:r>
          </w:p>
        </w:tc>
        <w:tc>
          <w:tcPr>
            <w:tcW w:w="254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41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headerReference w:type="even" r:id="rId3"/>
          <w:headerReference w:type="default" r:id="rId4"/>
          <w:headerReference w:type="first" r:id="rId5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Heading4"/>
        <w:numPr>
          <w:ilvl w:val="1"/>
          <w:numId w:val="3"/>
        </w:numPr>
        <w:rPr/>
      </w:pPr>
      <w:bookmarkStart w:id="19" w:name="_Toc51339698"/>
      <w:bookmarkStart w:id="20" w:name="_Toc75446581"/>
      <w:bookmarkStart w:id="21" w:name="_Toc46743511"/>
      <w:bookmarkStart w:id="22" w:name="_Toc54785622"/>
      <w:bookmarkEnd w:id="22"/>
      <w:r>
        <w:rPr/>
        <w:t xml:space="preserve">Требования к </w:t>
      </w:r>
      <w:bookmarkEnd w:id="21"/>
      <w:r>
        <w:rPr>
          <w:lang w:val="ru-RU"/>
        </w:rPr>
        <w:t>качеству продукции</w:t>
      </w:r>
      <w:bookmarkEnd w:id="20"/>
    </w:p>
    <w:p>
      <w:pPr>
        <w:pStyle w:val="Heading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bookmarkStart w:id="23" w:name="_Toc7544658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23"/>
      <w:r>
        <w:rPr>
          <w:sz w:val="24"/>
          <w:szCs w:val="24"/>
        </w:rPr>
        <w:t xml:space="preserve"> </w:t>
      </w:r>
      <w:bookmarkEnd w:id="19"/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rStyle w:val="Style8"/>
          <w:rFonts w:eastAsia="Calibri"/>
          <w:bCs/>
          <w:i w:val="false"/>
          <w:i w:val="false"/>
          <w:sz w:val="24"/>
          <w:szCs w:val="24"/>
          <w:shd w:fill="auto" w:val="clear"/>
          <w:lang w:eastAsia="x-none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№1-3 Таблицы 3.1): </w:t>
      </w:r>
      <w:r>
        <w:rPr>
          <w:rStyle w:val="Style8"/>
          <w:rFonts w:eastAsia="Calibri"/>
          <w:b w:val="false"/>
          <w:bCs/>
          <w:i w:val="false"/>
          <w:iCs/>
          <w:sz w:val="24"/>
          <w:szCs w:val="24"/>
          <w:shd w:fill="auto" w:val="clear"/>
          <w:lang w:eastAsia="x-none"/>
        </w:rPr>
        <w:t>привод</w:t>
      </w:r>
    </w:p>
    <w:p>
      <w:pPr>
        <w:sectPr>
          <w:headerReference w:type="default" r:id="rId6"/>
          <w:headerReference w:type="first" r:id="rId7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tbl>
      <w:tblPr>
        <w:tblStyle w:val="affff9"/>
        <w:tblW w:w="1530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52"/>
        <w:gridCol w:w="1811"/>
        <w:gridCol w:w="31"/>
        <w:gridCol w:w="3288"/>
        <w:gridCol w:w="2658"/>
        <w:gridCol w:w="3437"/>
        <w:gridCol w:w="3231"/>
      </w:tblGrid>
      <w:tr>
        <w:trPr/>
        <w:tc>
          <w:tcPr>
            <w:tcW w:w="852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81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3319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609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23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/>
        <w:tc>
          <w:tcPr>
            <w:tcW w:w="852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181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3319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23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81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3319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65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3437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составе заявки необходимо представить заполненную Таблицу с указанием характеристик по форме Таблицы 3.1 Приложения №1 к настоящим Техническим требованиям (столбцы №№ 5 и 6 «Предложение участника»)</w:t>
            </w:r>
          </w:p>
        </w:tc>
        <w:tc>
          <w:tcPr>
            <w:tcW w:w="3231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842" w:type="dxa"/>
            <w:gridSpan w:val="2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Место поставки</w:t>
            </w:r>
          </w:p>
        </w:tc>
        <w:tc>
          <w:tcPr>
            <w:tcW w:w="3288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677004, Республика Саха (Якутия), г.Якутск, ул. Кржижановского, д. 2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Транспортные расходы на продукцию, подлежащий замене по гарантии, несет поставщик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Соответствие тары и упаковки согласно ГОСТ 15846-2002. На каждое место составляется подробный упаковочный лист, с указанием упакованных товаров.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Продукция передается Заказчику комплектно с техническими паспортами, сертификатами соответствия продукции, сертификатами качества и другими подтверждающими документами по действующему законодательству РФ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sz w:val="22"/>
              </w:rPr>
            </w:pP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Гарантийный срок эксплуатации товара составляет: не менее 12 месяцев со дня поставки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6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Гарантия распространяется в полном объеме на поставляемую продукцию.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241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В течение гарантийного срока поставщик обязуется заменить продукцию в случае его несоответствия заявленному качеству.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Style29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гарантирует обязательное предоставление паспорта качества и/или сертификат на каждую поставляемую партию.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suppressAutoHyphens w:val="true"/>
              <w:spacing w:before="60" w:after="60"/>
              <w:ind w:left="0" w:hanging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cs="Times New Roman"/>
                <w:kern w:val="0"/>
                <w:sz w:val="22"/>
                <w:szCs w:val="22"/>
                <w:lang w:val="ru-RU" w:eastAsia="ru-RU" w:bidi="ar-SA"/>
              </w:rPr>
              <w:t>4.2.</w:t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Продукция при поставке должна сопровождаться действующими сертификатами, </w:t>
            </w:r>
            <w:r>
              <w:rPr>
                <w:rFonts w:eastAsia="Times New Roman" w:cs="Times New Roman"/>
                <w:kern w:val="0"/>
                <w:sz w:val="22"/>
                <w:lang w:val="ru-RU" w:eastAsia="ru-RU" w:bidi="ar-SA"/>
              </w:rPr>
              <w:t>удостоверениями, техническими паспортами и другими документами, подтверждающими качество товара предприятия-изготовителя продукции, его происхождение и указывающие условия, а также сроки гарантии, назначенный ресурс до списания в часах эквивалентной наработки.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bCs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2"/>
                <w:szCs w:val="22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</w:t>
            </w:r>
          </w:p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6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ru-RU" w:bidi="ar-SA"/>
              </w:rPr>
              <w:t>Указание наименования реестра и номер реестровой записи в Форме Коммерческого предложения и Структуры НМЦ</w:t>
            </w:r>
          </w:p>
        </w:tc>
        <w:tc>
          <w:tcPr>
            <w:tcW w:w="3437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en-US" w:bidi="ar-SA"/>
              </w:rPr>
              <w:t>Требуется в составе заявки представить заполненную Форму Коммерческого предложения и Структуры НМЦ в части столбцов раздела «Коммерческое предложение».</w:t>
            </w:r>
          </w:p>
        </w:tc>
        <w:tc>
          <w:tcPr>
            <w:tcW w:w="323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lang w:val="ru-RU" w:eastAsia="ru-RU" w:bidi="ar-SA"/>
              </w:rPr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Прочие (дополнительные) требования к продукции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852" w:type="dxa"/>
            <w:tcBorders>
              <w:top w:val="nil"/>
            </w:tcBorders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5130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  <w:tab w:val="left" w:pos="426" w:leader="none"/>
                <w:tab w:val="left" w:pos="851" w:leader="none"/>
              </w:tabs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Поставляемая продукция должна быть новая (не ранее 2026 года изготовления) и ранее не использованная.</w:t>
            </w:r>
          </w:p>
        </w:tc>
        <w:tc>
          <w:tcPr>
            <w:tcW w:w="265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3437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23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continuous"/>
          <w:pgSz w:orient="landscape" w:w="16838" w:h="11906"/>
          <w:pgMar w:left="992" w:right="567" w:gutter="0" w:header="680" w:top="851" w:footer="0" w:bottom="851"/>
          <w:formProt w:val="false"/>
          <w:textDirection w:val="lrTb"/>
          <w:docGrid w:type="default" w:linePitch="381" w:charSpace="0"/>
        </w:sectPr>
      </w:pPr>
    </w:p>
    <w:p>
      <w:pPr>
        <w:pStyle w:val="Normal"/>
        <w:spacing w:before="0" w:after="120"/>
        <w:jc w:val="right"/>
        <w:rPr>
          <w:sz w:val="32"/>
        </w:rPr>
      </w:pPr>
      <w:r>
        <w:rPr>
          <w:rFonts w:eastAsia="Calibri"/>
          <w:sz w:val="24"/>
          <w:szCs w:val="22"/>
        </w:rPr>
        <w:t>Приложение №1 к Техническим требованиям</w:t>
      </w:r>
    </w:p>
    <w:p>
      <w:pPr>
        <w:pStyle w:val="Normal"/>
        <w:spacing w:before="0" w:after="120"/>
        <w:rPr/>
      </w:pPr>
      <w:r>
        <w:rPr>
          <w:rFonts w:eastAsia="Calibri"/>
          <w:b/>
          <w:bCs/>
          <w:sz w:val="22"/>
          <w:szCs w:val="22"/>
          <w:lang w:val="x-none"/>
        </w:rPr>
        <w:t>Табли</w:t>
      </w:r>
      <w:r>
        <w:rPr>
          <w:rFonts w:eastAsia="Calibri"/>
          <w:b/>
          <w:bCs/>
          <w:sz w:val="24"/>
          <w:szCs w:val="24"/>
          <w:lang w:val="x-none"/>
        </w:rPr>
        <w:t>ца </w:t>
      </w:r>
      <w:r>
        <w:rPr>
          <w:rFonts w:eastAsia="Calibri"/>
          <w:b/>
          <w:bCs/>
          <w:sz w:val="24"/>
          <w:szCs w:val="24"/>
        </w:rPr>
        <w:t>3.1</w:t>
      </w:r>
      <w:r>
        <w:rPr>
          <w:rFonts w:eastAsia="Calibri"/>
          <w:b/>
          <w:bCs/>
          <w:sz w:val="24"/>
          <w:szCs w:val="24"/>
          <w:lang w:val="x-none"/>
        </w:rPr>
        <w:t xml:space="preserve">. </w:t>
      </w:r>
      <w:r>
        <w:rPr>
          <w:rFonts w:eastAsia="Calibri"/>
          <w:b/>
          <w:bCs/>
          <w:sz w:val="24"/>
          <w:szCs w:val="24"/>
        </w:rPr>
        <w:t>Требования к продукции (индивидуальные требования по каждой позиции перечня продукции)</w:t>
      </w:r>
    </w:p>
    <w:p>
      <w:pPr>
        <w:pStyle w:val="Normal"/>
        <w:spacing w:before="0" w:after="120"/>
        <w:ind w:right="397" w:hanging="0"/>
        <w:jc w:val="both"/>
        <w:rPr/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Style w:val="Style8"/>
          <w:rFonts w:eastAsia="Calibri"/>
          <w:b w:val="false"/>
          <w:bCs w:val="false"/>
          <w:i w:val="false"/>
          <w:sz w:val="24"/>
          <w:szCs w:val="24"/>
          <w:shd w:fill="auto" w:val="clear"/>
          <w:lang w:eastAsia="x-none"/>
        </w:rPr>
        <w:t>привод</w:t>
      </w:r>
    </w:p>
    <w:tbl>
      <w:tblPr>
        <w:tblStyle w:val="1d"/>
        <w:tblW w:w="14629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28"/>
        <w:gridCol w:w="2136"/>
        <w:gridCol w:w="4102"/>
        <w:gridCol w:w="2411"/>
        <w:gridCol w:w="1849"/>
        <w:gridCol w:w="3402"/>
      </w:tblGrid>
      <w:tr>
        <w:trPr/>
        <w:tc>
          <w:tcPr>
            <w:tcW w:w="72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 xml:space="preserve">№ </w:t>
            </w: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п/п</w:t>
            </w:r>
          </w:p>
        </w:tc>
        <w:tc>
          <w:tcPr>
            <w:tcW w:w="2136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продукции*</w:t>
            </w:r>
          </w:p>
        </w:tc>
        <w:tc>
          <w:tcPr>
            <w:tcW w:w="4102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Требования заказчика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Способ подтверждения</w:t>
            </w:r>
          </w:p>
        </w:tc>
        <w:tc>
          <w:tcPr>
            <w:tcW w:w="5251" w:type="dxa"/>
            <w:gridSpan w:val="2"/>
            <w:tcBorders/>
            <w:tcMar>
              <w:top w:w="55" w:type="dxa"/>
              <w:bottom w:w="55" w:type="dxa"/>
            </w:tcMar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Предложения поставщика</w:t>
            </w:r>
          </w:p>
        </w:tc>
      </w:tr>
      <w:tr>
        <w:trPr/>
        <w:tc>
          <w:tcPr>
            <w:tcW w:w="72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2136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sz w:val="20"/>
                <w:szCs w:val="24"/>
              </w:rPr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bCs/>
                <w:kern w:val="0"/>
                <w:sz w:val="20"/>
                <w:szCs w:val="24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b/>
                <w:sz w:val="20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b/>
                <w:kern w:val="0"/>
                <w:sz w:val="20"/>
                <w:szCs w:val="24"/>
                <w:lang w:val="ru-RU" w:eastAsia="en-US" w:bidi="ar-SA"/>
              </w:rPr>
              <w:t>Технические и функциональные характеристики</w:t>
            </w:r>
          </w:p>
        </w:tc>
      </w:tr>
      <w:tr>
        <w:trPr/>
        <w:tc>
          <w:tcPr>
            <w:tcW w:w="72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1</w:t>
            </w:r>
          </w:p>
        </w:tc>
        <w:tc>
          <w:tcPr>
            <w:tcW w:w="2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2</w:t>
            </w:r>
          </w:p>
        </w:tc>
        <w:tc>
          <w:tcPr>
            <w:tcW w:w="41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3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sz w:val="20"/>
                <w:szCs w:val="24"/>
              </w:rPr>
            </w:pPr>
            <w:r>
              <w:rPr>
                <w:rFonts w:eastAsia="Calibri" w:cs="Times New Roman"/>
                <w:kern w:val="0"/>
                <w:sz w:val="20"/>
                <w:szCs w:val="24"/>
                <w:lang w:val="ru-RU" w:eastAsia="en-US" w:bidi="ar-SA"/>
              </w:rPr>
              <w:t>4</w:t>
            </w:r>
          </w:p>
        </w:tc>
        <w:tc>
          <w:tcPr>
            <w:tcW w:w="184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5</w:t>
            </w:r>
          </w:p>
        </w:tc>
        <w:tc>
          <w:tcPr>
            <w:tcW w:w="340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eastAsia="Calibri" w:cs="Times New Roman"/>
                <w:kern w:val="0"/>
                <w:sz w:val="20"/>
                <w:lang w:val="ru-RU" w:eastAsia="en-US" w:bidi="ar-SA"/>
              </w:rPr>
              <w:t>6</w:t>
            </w:r>
          </w:p>
        </w:tc>
      </w:tr>
      <w:tr>
        <w:trPr/>
        <w:tc>
          <w:tcPr>
            <w:tcW w:w="728" w:type="dxa"/>
            <w:tcBorders/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Привод пружинно-гидравлический элегазового выключателя 110 кВ типа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ПпрГ-03-2</w:t>
            </w:r>
          </w:p>
        </w:tc>
        <w:tc>
          <w:tcPr>
            <w:tcW w:w="4102" w:type="dxa"/>
            <w:tcBorders/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ТУ: ИВЕЖ.654133.030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Полный ход штока — 106 + 1,2 мм; номинальное давление жидкости — 28,5 ± 1 МПа; минимальное давление срабатывания блокировки отключения — 23,0 МПа; собственное время отключения — 0,03 ± 0,005 с; питание цепей управления — 220 В постоянного тока; электродвигатель насосного агрегата — ~230/≈220 В, 750 Вт; количество коммутирующих контактов КВВЦ — 12 замыкающих / 12 размыкающих;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климатическое исполнение - УХЛ1</w:t>
            </w:r>
          </w:p>
        </w:tc>
        <w:tc>
          <w:tcPr>
            <w:tcW w:w="241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/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Привод электродвигательный ПД-20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ВИЛЕ.654133.009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Times New Roman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Привод для оперирования разъединителями-заземлителями РЗГО-110/2500 в КРУЭ-110 кВ. Крутящий момент — не менее 180 Н·м; угол поворота — 240 ± 10°; время оперирования — не более 3 с; питание двигателя — 400 В / 220 В; вспомогательные контакты — 12 НО + 12 НЗ; масса — до 75 кг; У2 (У1).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  <w:tr>
        <w:trPr/>
        <w:tc>
          <w:tcPr>
            <w:tcW w:w="728" w:type="dxa"/>
            <w:tcBorders>
              <w:top w:val="nil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suppressAutoHyphens w:val="true"/>
              <w:spacing w:before="0" w:after="0"/>
              <w:contextualSpacing/>
              <w:jc w:val="left"/>
              <w:rPr>
                <w:rFonts w:ascii="Times New Roman" w:hAnsi="Times New Roman" w:cs="Times New Roman"/>
                <w:sz w:val="20"/>
              </w:rPr>
            </w:pPr>
            <w:r>
              <w:rPr>
                <w:rFonts w:cs="Times New Roman"/>
                <w:sz w:val="20"/>
              </w:rPr>
            </w:r>
          </w:p>
        </w:tc>
        <w:tc>
          <w:tcPr>
            <w:tcW w:w="2136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" w:ascii="Calibri" w:hAnsi="Calibri"/>
                <w:color w:val="000000"/>
                <w:kern w:val="0"/>
                <w:sz w:val="24"/>
                <w:szCs w:val="24"/>
                <w:lang w:val="ru-RU" w:eastAsia="en-US" w:bidi="ar-SA"/>
              </w:rPr>
              <w:t>Привод пружинный быстродействующий ППрБ-200</w:t>
            </w:r>
          </w:p>
        </w:tc>
        <w:tc>
          <w:tcPr>
            <w:tcW w:w="4102" w:type="dxa"/>
            <w:tcBorders>
              <w:top w:val="nil"/>
            </w:tcBorders>
          </w:tcPr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ВИЛЕ.654133.010</w:t>
            </w:r>
          </w:p>
          <w:p>
            <w:pPr>
              <w:pStyle w:val="Style36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</w:pPr>
            <w:r>
              <w:rPr>
                <w:rFonts w:eastAsia="Calibri" w:cs="" w:ascii="Calibri" w:hAnsi="Calibri"/>
                <w:b w:val="false"/>
                <w:bCs w:val="false"/>
                <w:color w:val="000000"/>
                <w:kern w:val="0"/>
                <w:sz w:val="24"/>
                <w:szCs w:val="24"/>
                <w:lang w:val="ru-RU" w:eastAsia="en-US" w:bidi="ar-SA"/>
              </w:rPr>
              <w:t>Привод для оперирования быстродействующим заземлителем БЗГО-110/2500 в КРУЭ-110 кВ. Энергия пружины — 200 +10 Дж; угол поворота — 60 ± 5°; время операции — не более 6 с; питание двигателя — ~380/~230 В или =220 В; контакты КВВЦ — 12з/12р; масса — до 88,8 кг; У1/У2.</w:t>
            </w:r>
          </w:p>
        </w:tc>
        <w:tc>
          <w:tcPr>
            <w:tcW w:w="2411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kern w:val="0"/>
                <w:sz w:val="20"/>
                <w:szCs w:val="24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1849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Calibri" w:cs="Times New Roman"/>
                <w:iCs/>
                <w:color w:val="808080" w:themeColor="background1" w:themeShade="80"/>
                <w:sz w:val="20"/>
                <w:szCs w:val="24"/>
              </w:rPr>
            </w:pPr>
            <w:r>
              <w:rPr>
                <w:rFonts w:eastAsia="Calibri" w:cs="Times New Roman"/>
                <w:iCs/>
                <w:color w:val="808080" w:themeColor="background1" w:themeShade="80"/>
                <w:sz w:val="20"/>
                <w:szCs w:val="24"/>
              </w:rPr>
            </w:r>
          </w:p>
        </w:tc>
        <w:tc>
          <w:tcPr>
            <w:tcW w:w="3402" w:type="dxa"/>
            <w:tcBorders>
              <w:top w:val="nil"/>
            </w:tcBorders>
          </w:tcPr>
          <w:p>
            <w:pPr>
              <w:pStyle w:val="ListParagraph"/>
              <w:widowControl w:val="false"/>
              <w:suppressAutoHyphens w:val="true"/>
              <w:spacing w:before="0" w:after="0"/>
              <w:ind w:left="178" w:hanging="0"/>
              <w:contextualSpacing/>
              <w:jc w:val="left"/>
              <w:rPr>
                <w:rFonts w:ascii="Times New Roman" w:hAnsi="Times New Roman" w:eastAsia="Calibri" w:cs="Times New Roman" w:eastAsiaTheme="minorHAnsi"/>
                <w:iCs/>
                <w:color w:val="808080" w:themeColor="background1" w:themeShade="80"/>
                <w:sz w:val="20"/>
              </w:rPr>
            </w:pPr>
            <w:r>
              <w:rPr>
                <w:rFonts w:eastAsia="Calibri" w:cs="Times New Roman" w:eastAsiaTheme="minorHAnsi"/>
                <w:iCs/>
                <w:color w:val="808080" w:themeColor="background1" w:themeShade="80"/>
                <w:sz w:val="20"/>
              </w:rPr>
            </w:r>
          </w:p>
        </w:tc>
      </w:tr>
    </w:tbl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  <w:lang w:val="en-US"/>
        </w:rPr>
      </w:pPr>
      <w:r>
        <w:rPr>
          <w:iCs/>
          <w:sz w:val="22"/>
          <w:szCs w:val="22"/>
          <w:lang w:val="en-US"/>
        </w:rPr>
      </w:r>
    </w:p>
    <w:p>
      <w:pPr>
        <w:pStyle w:val="Normal"/>
        <w:spacing w:before="40" w:after="120"/>
        <w:ind w:right="-28"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Примечание: В случае, если какой-либо из указанных в настоящих ТТ ГОСТ или нормативный документ был отменен в связи с выпуском новой редакции стандарта, то Участнику необходимо применять актуализированный ГОСТ или нормативный документ, принятый в его развитие.</w:t>
      </w:r>
    </w:p>
    <w:p>
      <w:pPr>
        <w:pStyle w:val="Normal"/>
        <w:spacing w:before="40" w:after="120"/>
        <w:ind w:right="-28" w:hanging="0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               </w:t>
      </w:r>
      <w:r>
        <w:rPr>
          <w:iCs/>
          <w:sz w:val="22"/>
          <w:szCs w:val="22"/>
        </w:rPr>
        <w:t>* 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требований, обозначенных как «параметры эквивалентности.</w:t>
      </w:r>
    </w:p>
    <w:p>
      <w:pPr>
        <w:pStyle w:val="Normal"/>
        <w:spacing w:before="40" w:after="120"/>
        <w:ind w:right="-28" w:firstLine="708"/>
        <w:jc w:val="both"/>
        <w:rPr>
          <w:sz w:val="22"/>
          <w:szCs w:val="22"/>
        </w:rPr>
      </w:pPr>
      <w:r>
        <w:rPr>
          <w:iCs/>
          <w:sz w:val="22"/>
          <w:szCs w:val="22"/>
        </w:rPr>
        <w:t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</w:t>
      </w:r>
    </w:p>
    <w:p>
      <w:pPr>
        <w:pStyle w:val="Normal"/>
        <w:spacing w:before="40" w:after="120"/>
        <w:ind w:right="-28" w:hanging="0"/>
        <w:jc w:val="both"/>
        <w:rPr>
          <w:sz w:val="22"/>
          <w:szCs w:val="22"/>
        </w:rPr>
      </w:pPr>
      <w:r>
        <w:rPr>
          <w:sz w:val="22"/>
          <w:szCs w:val="22"/>
        </w:rPr>
      </w:r>
    </w:p>
    <w:p>
      <w:pPr>
        <w:sectPr>
          <w:headerReference w:type="default" r:id="rId8"/>
          <w:type w:val="nextPage"/>
          <w:pgSz w:orient="landscape" w:w="16838" w:h="11906"/>
          <w:pgMar w:left="992" w:right="1134" w:gutter="0" w:header="435" w:top="555" w:footer="0" w:bottom="581"/>
          <w:pgNumType w:fmt="decimal"/>
          <w:formProt w:val="false"/>
          <w:textDirection w:val="lrTb"/>
          <w:docGrid w:type="default" w:linePitch="381" w:charSpace="0"/>
        </w:sectPr>
      </w:pPr>
    </w:p>
    <w:p>
      <w:pPr>
        <w:pStyle w:val="BodyText"/>
        <w:spacing w:before="0" w:after="120"/>
        <w:rPr/>
      </w:pPr>
      <w:r>
        <w:rPr/>
      </w:r>
    </w:p>
    <w:sectPr>
      <w:type w:val="continuous"/>
      <w:pgSz w:orient="landscape" w:w="16838" w:h="11906"/>
      <w:pgMar w:left="992" w:right="1134" w:gutter="0" w:header="435" w:top="555" w:footer="0" w:bottom="581"/>
      <w:formProt w:val="tru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4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8</w:t>
    </w:r>
    <w:r>
      <w:rPr/>
      <w:fldChar w:fldCharType="end"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10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  <w:documentProtection w:edit="forms" w:enforcement="true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0d7a4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1" w:customStyle="1">
    <w:name w:val="Гиперссылка1"/>
    <w:uiPriority w:val="99"/>
    <w:qFormat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3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1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FollowedHyperlink">
    <w:name w:val="FollowedHyperlink"/>
    <w:rPr>
      <w:color w:val="800000"/>
      <w:u w:val="single"/>
    </w:rPr>
  </w:style>
  <w:style w:type="character" w:styleId="Hyperlink">
    <w:name w:val="Hyperlink"/>
    <w:uiPriority w:val="99"/>
    <w:rPr>
      <w:color w:val="000080"/>
      <w:u w:val="single"/>
    </w:rPr>
  </w:style>
  <w:style w:type="character" w:styleId="Style16">
    <w:name w:val="Символ нумерации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Indexheading111" w:customStyle="1">
    <w:name w:val="index heading111"/>
    <w:basedOn w:val="Title"/>
    <w:qFormat/>
    <w:pPr/>
    <w:rPr/>
  </w:style>
  <w:style w:type="paragraph" w:styleId="Style19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0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1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5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6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2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3" w:customStyle="1">
    <w:name w:val="Подпункт"/>
    <w:basedOn w:val="Normal"/>
    <w:link w:val="12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24" w:customStyle="1">
    <w:name w:val="Раздел регламента"/>
    <w:basedOn w:val="Normal"/>
    <w:qFormat/>
    <w:rsid w:val="00e228fa"/>
    <w:pPr/>
    <w:rPr/>
  </w:style>
  <w:style w:type="paragraph" w:styleId="Style25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7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6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7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7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311" w:customStyle="1">
    <w:name w:val="Список 3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8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8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9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0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1" w:customStyle="1">
    <w:name w:val="Подподпункт"/>
    <w:basedOn w:val="Style23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2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3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9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4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0" w:customStyle="1">
    <w:name w:val="УРОВЕНЬ_1."/>
    <w:basedOn w:val="ListParagraph"/>
    <w:link w:val="13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5" w:customStyle="1">
    <w:name w:val="Содержимое врезки"/>
    <w:basedOn w:val="Normal"/>
    <w:qFormat/>
    <w:pPr/>
    <w:rPr/>
  </w:style>
  <w:style w:type="paragraph" w:styleId="Style36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7" w:customStyle="1">
    <w:name w:val="Заголовок таблицы"/>
    <w:basedOn w:val="Style36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1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>
    <w:name w:val="Нумерованный 123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9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18B5-5F0D-4340-A9AB-68C01CDC1D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1592</TotalTime>
  <Application>AlterOffice/3.4.0.9$Linux_X86_64 LibreOffice_project/b8daf9e823b1a5463a2f48435ddc2e8696e7d4fc</Application>
  <AppVersion>15.0000</AppVersion>
  <Pages>10</Pages>
  <Words>1121</Words>
  <Characters>7957</Characters>
  <CharactersWithSpaces>8915</CharactersWithSpaces>
  <Paragraphs>197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2023-10-31T01:55:00Z</dcterms:created>
  <dc:creator>Тимофеев Александр Викторович</dc:creator>
  <dc:description/>
  <dc:language>ru-RU</dc:language>
  <cp:lastModifiedBy>gladkihaa</cp:lastModifiedBy>
  <cp:lastPrinted>2026-09-18T09:02:11Z</cp:lastPrinted>
  <dcterms:modified xsi:type="dcterms:W3CDTF">2026-09-30T09:48:11Z</dcterms:modified>
  <cp:revision>187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