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Standard"/>
        <w:keepNext w:val="true"/>
        <w:keepLines/>
        <w:jc w:val="center"/>
        <w:rPr/>
      </w:pPr>
      <w:r>
        <w:rPr>
          <w:rFonts w:eastAsia="Calibri"/>
          <w:b/>
          <w:sz w:val="24"/>
          <w:szCs w:val="24"/>
        </w:rPr>
        <w:t>Технические требования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i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</w:pP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4"/>
          <w:u w:val="none"/>
          <w:shd w:fill="FFFFFF" w:val="clear"/>
          <w:em w:val="none"/>
          <w:lang w:eastAsia="en-US"/>
        </w:rPr>
        <w:t>О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6"/>
          <w:u w:val="none"/>
          <w:em w:val="none"/>
        </w:rPr>
        <w:t>КПД2 27.11.61.120 Поставка запасных частей для ремонта гидроагрегатов на Саяно-Шушенской ГЭ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u w:val="none"/>
          <w:em w:val="none"/>
        </w:rPr>
        <w:t>С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8192"/>
        </w:sectPr>
        <w:pStyle w:val="Normal"/>
        <w:jc w:val="center"/>
        <w:rPr>
          <w:rFonts w:eastAsia="Calibri"/>
          <w:color w:val="000000"/>
          <w:sz w:val="24"/>
          <w:szCs w:val="24"/>
          <w:shd w:fill="FFFFFF" w:val="clear"/>
          <w:lang w:eastAsia="en-US"/>
        </w:rPr>
      </w:pPr>
      <w:r>
        <w:rPr/>
      </w:r>
    </w:p>
    <w:p>
      <w:pPr>
        <w:pStyle w:val="Standard"/>
        <w:shd w:val="clear" w:color="auto" w:fill="FFFFFF"/>
        <w:jc w:val="center"/>
        <w:rPr/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390_3700833856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9071"/>
              <w:tab w:val="right" w:pos="9921" w:leader="dot"/>
            </w:tabs>
            <w:rPr/>
          </w:pPr>
          <w:hyperlink w:anchor="__RefHeading___Toc7392_3700833856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9071"/>
              <w:tab w:val="right" w:pos="9921" w:leader="dot"/>
            </w:tabs>
            <w:rPr/>
          </w:pPr>
          <w:hyperlink w:anchor="__RefHeading___Toc7394_3700833856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9071"/>
              <w:tab w:val="right" w:pos="9921" w:leader="dot"/>
            </w:tabs>
            <w:rPr/>
          </w:pPr>
          <w:hyperlink w:anchor="__RefHeading___Toc7396_3700833856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hyperlink w:anchor="__RefHeading___Toc7398_3700833856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9071"/>
              <w:tab w:val="right" w:pos="9921" w:leader="dot"/>
            </w:tabs>
            <w:rPr/>
          </w:pPr>
          <w:hyperlink w:anchor="__RefHeading___Toc7400_3700833856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hyperlink w:anchor="__RefHeading___Toc7402_3700833856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hyperlink w:anchor="__RefHeading___Toc7404_3700833856">
            <w:r>
              <w:rPr>
                <w:rStyle w:val="Style14"/>
              </w:rPr>
              <w:t>Таблица 2.1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hyperlink w:anchor="__RefHeading___Toc7406_3700833856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5</w:t>
            </w:r>
          </w:hyperlink>
        </w:p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hyperlink w:anchor="__RefHeading___Toc7408_3700833856">
            <w:r>
              <w:rPr>
                <w:rStyle w:val="Style14"/>
              </w:rPr>
              <w:t>Таблица 2.2 Требования по срокам поставки продукции</w:t>
              <w:tab/>
              <w:t>5</w:t>
            </w:r>
          </w:hyperlink>
        </w:p>
        <w:p>
          <w:pPr>
            <w:pStyle w:val="TOC3"/>
            <w:tabs>
              <w:tab w:val="clear" w:pos="9354"/>
              <w:tab w:val="right" w:pos="9921" w:leader="dot"/>
            </w:tabs>
            <w:rPr/>
          </w:pPr>
          <w:hyperlink w:anchor="__RefHeading___Toc7410_3700833856">
            <w:r>
              <w:rPr>
                <w:rStyle w:val="Style14"/>
              </w:rPr>
              <w:t>Таблица 3. Требования к продукции</w:t>
              <w:tab/>
              <w:t>6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Contents1"/>
        <w:tabs>
          <w:tab w:val="clear" w:pos="708"/>
          <w:tab w:val="left" w:pos="560" w:leader="none"/>
          <w:tab w:val="right" w:pos="9911" w:leader="dot"/>
        </w:tabs>
        <w:rPr/>
      </w:pPr>
      <w:r>
        <w:rPr/>
      </w:r>
      <w:r>
        <w:br w:type="page"/>
      </w:r>
    </w:p>
    <w:p>
      <w:pPr>
        <w:pStyle w:val="Heading3"/>
        <w:keepLines/>
        <w:numPr>
          <w:ilvl w:val="0"/>
          <w:numId w:val="15"/>
        </w:numPr>
        <w:ind w:left="426" w:hanging="360"/>
        <w:jc w:val="center"/>
        <w:rPr/>
      </w:pPr>
      <w:bookmarkStart w:id="0" w:name="__RefHeading___Toc7390_3700833856"/>
      <w:bookmarkStart w:id="1" w:name="_Toc51339692"/>
      <w:bookmarkStart w:id="2" w:name="_Toc75446566"/>
      <w:bookmarkEnd w:id="0"/>
      <w:r>
        <w:rPr/>
        <w:t>Общие сведения</w:t>
      </w:r>
      <w:bookmarkEnd w:id="1"/>
      <w:bookmarkEnd w:id="2"/>
    </w:p>
    <w:p>
      <w:pPr>
        <w:pStyle w:val="Heading4"/>
        <w:numPr>
          <w:ilvl w:val="1"/>
          <w:numId w:val="16"/>
        </w:numPr>
        <w:rPr/>
      </w:pPr>
      <w:bookmarkStart w:id="3" w:name="__RefHeading___Toc7392_3700833856"/>
      <w:bookmarkStart w:id="4" w:name="_Toc75446568"/>
      <w:bookmarkStart w:id="5" w:name="_Toc46743506"/>
      <w:bookmarkEnd w:id="3"/>
      <w:r>
        <w:rPr/>
        <w:t>О</w:t>
      </w:r>
      <w:bookmarkEnd w:id="4"/>
      <w:bookmarkEnd w:id="5"/>
      <w:r>
        <w:rPr/>
        <w:t>бозначения и сокращения</w:t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1409"/>
        <w:gridCol w:w="8373"/>
      </w:tblGrid>
      <w:tr>
        <w:trPr>
          <w:cantSplit w:val="true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8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Гидроэлектростанция</w:t>
            </w:r>
          </w:p>
        </w:tc>
      </w:tr>
      <w:tr>
        <w:trPr>
          <w:cantSplit w:val="true"/>
        </w:trPr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</w:t>
            </w:r>
          </w:p>
        </w:tc>
        <w:tc>
          <w:tcPr>
            <w:tcW w:w="8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Акционерное общество</w:t>
            </w:r>
          </w:p>
        </w:tc>
      </w:tr>
      <w:tr>
        <w:trPr>
          <w:cantSplit w:val="true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</w:t>
            </w:r>
          </w:p>
        </w:tc>
        <w:tc>
          <w:tcPr>
            <w:tcW w:w="8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Публичное акционерное общество</w:t>
            </w:r>
          </w:p>
        </w:tc>
      </w:tr>
      <w:tr>
        <w:trPr>
          <w:cantSplit w:val="true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8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Государственный стандарт</w:t>
            </w:r>
          </w:p>
        </w:tc>
      </w:tr>
      <w:tr>
        <w:trPr>
          <w:cantSplit w:val="true"/>
        </w:trPr>
        <w:tc>
          <w:tcPr>
            <w:tcW w:w="978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Единицы измерения:</w:t>
            </w:r>
          </w:p>
        </w:tc>
      </w:tr>
      <w:tr>
        <w:trPr>
          <w:cantSplit w:val="true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8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Штук</w:t>
            </w:r>
          </w:p>
        </w:tc>
      </w:tr>
      <w:tr>
        <w:trPr>
          <w:cantSplit w:val="true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8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Килограмм</w:t>
            </w:r>
          </w:p>
        </w:tc>
      </w:tr>
      <w:tr>
        <w:trPr>
          <w:cantSplit w:val="true"/>
        </w:trPr>
        <w:tc>
          <w:tcPr>
            <w:tcW w:w="14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</w:t>
            </w:r>
          </w:p>
        </w:tc>
        <w:tc>
          <w:tcPr>
            <w:tcW w:w="8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keepNext w:val="true"/>
              <w:keepLines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Миллиметр</w:t>
            </w:r>
          </w:p>
        </w:tc>
      </w:tr>
    </w:tbl>
    <w:p>
      <w:pPr>
        <w:pStyle w:val="Standard"/>
        <w:rPr/>
      </w:pPr>
      <w:r>
        <w:rPr/>
      </w:r>
    </w:p>
    <w:p>
      <w:pPr>
        <w:pStyle w:val="Heading4"/>
        <w:numPr>
          <w:ilvl w:val="1"/>
          <w:numId w:val="17"/>
        </w:numPr>
        <w:rPr/>
      </w:pPr>
      <w:bookmarkStart w:id="6" w:name="__RefHeading___Toc7394_3700833856"/>
      <w:bookmarkStart w:id="7" w:name="_Toc75446568_Копия_1"/>
      <w:bookmarkStart w:id="8" w:name="_Toc46743506_Копия_1"/>
      <w:bookmarkEnd w:id="6"/>
      <w:r>
        <w:rPr/>
        <w:t>Наименование закупаемой продукции</w:t>
      </w:r>
      <w:bookmarkEnd w:id="7"/>
      <w:bookmarkEnd w:id="8"/>
    </w:p>
    <w:p>
      <w:pPr>
        <w:pStyle w:val="Standard"/>
        <w:jc w:val="both"/>
        <w:rPr>
          <w:sz w:val="28"/>
        </w:rPr>
      </w:pPr>
      <w:r>
        <w:rPr>
          <w:rFonts w:eastAsia="Calibri"/>
          <w:sz w:val="24"/>
          <w:szCs w:val="24"/>
        </w:rPr>
        <w:tab/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2"/>
          <w:szCs w:val="24"/>
          <w:u w:val="none"/>
          <w:shd w:fill="FFFFFF" w:val="clear"/>
          <w:em w:val="none"/>
          <w:lang w:eastAsia="en-US"/>
        </w:rPr>
        <w:t>О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2"/>
          <w:szCs w:val="28"/>
          <w:u w:val="none"/>
          <w:em w:val="none"/>
        </w:rPr>
        <w:t>КПД2 27.11.61.120 Поставка запасных частей для ремонта гидроагрегатов на Саяно-Шушенской ГЭС</w:t>
      </w:r>
      <w:r>
        <w:rPr>
          <w:rFonts w:eastAsia="Calibri"/>
          <w:sz w:val="24"/>
          <w:szCs w:val="24"/>
        </w:rPr>
        <w:t xml:space="preserve"> (далее – продукция).</w:t>
      </w:r>
    </w:p>
    <w:p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18"/>
        </w:numPr>
        <w:spacing w:before="0" w:after="60"/>
        <w:rPr/>
      </w:pPr>
      <w:bookmarkStart w:id="9" w:name="__RefHeading___Toc7396_3700833856"/>
      <w:bookmarkStart w:id="10" w:name="_Toc46743507"/>
      <w:bookmarkStart w:id="11" w:name="_Toc75446569"/>
      <w:bookmarkEnd w:id="9"/>
      <w:r>
        <w:rPr/>
        <w:t xml:space="preserve">Цель </w:t>
      </w:r>
      <w:bookmarkEnd w:id="10"/>
      <w:r>
        <w:rPr/>
        <w:t>использования закупаемой продукции</w:t>
      </w:r>
      <w:bookmarkEnd w:id="11"/>
    </w:p>
    <w:p>
      <w:pPr>
        <w:pStyle w:val="Standard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>Исполнение договоров подряда:</w:t>
      </w:r>
    </w:p>
    <w:p>
      <w:pPr>
        <w:pStyle w:val="Standard"/>
        <w:jc w:val="both"/>
        <w:rPr/>
      </w:pPr>
      <w:r>
        <w:rPr>
          <w:rStyle w:val="Style8"/>
          <w:b w:val="false"/>
          <w:i w:val="false"/>
          <w:sz w:val="24"/>
          <w:szCs w:val="24"/>
          <w:shd w:fill="auto" w:val="clear"/>
        </w:rPr>
        <w:tab/>
        <w:t>- № 1310-785-2023/513-11-1 от 03.11.2023. «Выполнение работ по капитальному и текущему ремонту оборудования, зданий, сооружений филиала ПАО «РусГидро»-«Саяно-Шушенская ГЭС имени П.С. Непорожнего»» (заключенный между ПАО «РусГидро» и АО «Гидроремонт-ВКК»).</w:t>
      </w:r>
    </w:p>
    <w:p>
      <w:pPr>
        <w:pStyle w:val="Standard"/>
        <w:jc w:val="both"/>
        <w:rPr/>
      </w:pPr>
      <w:r>
        <w:rPr/>
      </w:r>
    </w:p>
    <w:p>
      <w:pPr>
        <w:pStyle w:val="Heading3"/>
        <w:numPr>
          <w:ilvl w:val="0"/>
          <w:numId w:val="19"/>
        </w:numPr>
        <w:ind w:left="284" w:hanging="360"/>
        <w:jc w:val="center"/>
        <w:rPr/>
      </w:pPr>
      <w:bookmarkStart w:id="12" w:name="__RefHeading___Toc7398_3700833856"/>
      <w:bookmarkStart w:id="13" w:name="_Toc75446573"/>
      <w:bookmarkStart w:id="14" w:name="_Toc51339693"/>
      <w:bookmarkEnd w:id="12"/>
      <w:r>
        <w:rPr/>
        <w:t>Требования к продукции</w:t>
      </w:r>
      <w:bookmarkEnd w:id="13"/>
      <w:bookmarkEnd w:id="14"/>
    </w:p>
    <w:p>
      <w:pPr>
        <w:pStyle w:val="Heading4"/>
        <w:numPr>
          <w:ilvl w:val="1"/>
          <w:numId w:val="20"/>
        </w:numPr>
        <w:rPr/>
      </w:pPr>
      <w:bookmarkStart w:id="15" w:name="__RefHeading___Toc7400_3700833856"/>
      <w:bookmarkStart w:id="16" w:name="_Toc75446574"/>
      <w:bookmarkEnd w:id="15"/>
      <w:r>
        <w:rPr/>
        <w:t>Требования к объемам и срокам поставки</w:t>
      </w:r>
      <w:bookmarkEnd w:id="16"/>
    </w:p>
    <w:p>
      <w:pPr>
        <w:pStyle w:val="Heading3"/>
        <w:numPr>
          <w:ilvl w:val="2"/>
          <w:numId w:val="21"/>
        </w:numPr>
        <w:ind w:left="567" w:hanging="504"/>
        <w:rPr/>
      </w:pPr>
      <w:bookmarkStart w:id="17" w:name="__RefHeading___Toc7402_3700833856"/>
      <w:bookmarkStart w:id="18" w:name="_Toc75446575"/>
      <w:bookmarkEnd w:id="17"/>
      <w:r>
        <w:rPr/>
        <w:t>Перечень и объем закупаемой продукции</w:t>
      </w:r>
      <w:bookmarkEnd w:id="18"/>
    </w:p>
    <w:p>
      <w:pPr>
        <w:pStyle w:val="Heading3"/>
        <w:numPr>
          <w:ilvl w:val="0"/>
          <w:numId w:val="0"/>
        </w:numPr>
        <w:ind w:left="0" w:hanging="0"/>
        <w:rPr/>
      </w:pPr>
      <w:bookmarkStart w:id="19" w:name="__RefHeading___Toc7404_3700833856"/>
      <w:bookmarkStart w:id="20" w:name="_Toc51339695"/>
      <w:bookmarkStart w:id="21" w:name="_Toc75446576"/>
      <w:bookmarkEnd w:id="19"/>
      <w:r>
        <w:rPr/>
        <w:t xml:space="preserve">Таблица 2.1 Перечень </w:t>
      </w:r>
      <w:bookmarkEnd w:id="20"/>
      <w:r>
        <w:rPr/>
        <w:t>и объем закупаемой продукции</w:t>
      </w:r>
      <w:bookmarkEnd w:id="21"/>
    </w:p>
    <w:tbl>
      <w:tblPr>
        <w:tblW w:w="9920" w:type="dxa"/>
        <w:jc w:val="left"/>
        <w:tblInd w:w="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3"/>
        <w:gridCol w:w="6753"/>
        <w:gridCol w:w="1364"/>
        <w:gridCol w:w="1239"/>
      </w:tblGrid>
      <w:tr>
        <w:trPr>
          <w:trHeight w:val="675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andard"/>
              <w:widowControl w:val="fals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33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Болт М12х20.48.019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 М16-6gх90.58.019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 М56х180.02.0112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 М8-6gх35.58.019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 регулировочный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Замазка ЭЗ-214 3998028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Лак ЛЭУ-236/1 3998325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статора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 стопорная верхней крестовины 21мм для гидроагрегата 58,5х38х1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 стопорная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124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 12х30мм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12х35мм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16х35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Эмаль изоляционная ПЛГ-233 3998380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Эмаль изоляционная ПЛК-275 3998880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5,5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Подушка фрикционная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уплотнительная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935х29х1мм СТЭФ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1100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935х29х2мм СТЭФ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1650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700х28х0.5мм СТЭФ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1100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Стеклослюдопласт композиционный ГИП-ТС(в) 0.25мм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3,5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Трубка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Упор для генератора размеры 24х20х10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Винт контактный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55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Винт контактный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41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/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Гайка М16-6Н.5.019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Гайка М24-6Н.5.0112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Клин пазовый 187,5х39х15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360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Клин пазовый 146х39х15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180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пазовый 122х27,3х8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пазовый 145,5х25,3х8 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6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Клин пазовый 122х27,3х8 ВГ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70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пазовый 122х27,3х8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90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полюса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полюса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Компаунд в компонентах ЭЗК-217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Компаунд в компонентах ЭПК-267 0БС.909.067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Компаунд двухкомпонентный КЛСЕ ТУ 38.103691-89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кг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Манжета уплотнения генераторного подшипника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Манжета уплотнения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Манжета уплотнения 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Втулка для сервомотора (поз.2 ч.2299057)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Втулка для сервомотора (поз.3 ч.2299057)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Кольцо поршневое для сервомотора (поз. 12 ч.2299057)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Кольцо резиновое для гидроцилиндра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>
          <w:trHeight w:val="318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67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Манжета шевронная М200х230-1 для сервомотора (поз.75 ч.2299057)</w:t>
            </w:r>
          </w:p>
        </w:tc>
        <w:tc>
          <w:tcPr>
            <w:tcW w:w="1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34"/>
              <w:widowControl w:val="false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>
      <w:pPr>
        <w:pStyle w:val="Standard"/>
        <w:ind w:left="1224" w:hanging="0"/>
        <w:rPr/>
      </w:pPr>
      <w:r>
        <w:rPr/>
      </w:r>
    </w:p>
    <w:p>
      <w:pPr>
        <w:pStyle w:val="Standard"/>
        <w:ind w:left="1224" w:hanging="0"/>
        <w:rPr/>
      </w:pPr>
      <w:r>
        <w:rPr/>
      </w:r>
    </w:p>
    <w:p>
      <w:pPr>
        <w:pStyle w:val="Standard"/>
        <w:ind w:left="1224" w:hanging="0"/>
        <w:rPr/>
      </w:pPr>
      <w:r>
        <w:rPr/>
      </w:r>
    </w:p>
    <w:p>
      <w:pPr>
        <w:pStyle w:val="Heading3"/>
        <w:numPr>
          <w:ilvl w:val="2"/>
          <w:numId w:val="22"/>
        </w:numPr>
        <w:ind w:left="567" w:hanging="504"/>
        <w:rPr/>
      </w:pPr>
      <w:bookmarkStart w:id="22" w:name="__RefHeading___Toc7406_3700833856"/>
      <w:bookmarkStart w:id="23" w:name="_Toc75446578"/>
      <w:bookmarkStart w:id="24" w:name="_Toc51339696"/>
      <w:bookmarkEnd w:id="22"/>
      <w:r>
        <w:rPr/>
        <w:t xml:space="preserve">Требования </w:t>
      </w:r>
      <w:bookmarkEnd w:id="24"/>
      <w:r>
        <w:rPr/>
        <w:t>к срокам поставки продукции и оказания сопутствующих услуг</w:t>
      </w:r>
      <w:bookmarkEnd w:id="23"/>
    </w:p>
    <w:p>
      <w:pPr>
        <w:pStyle w:val="Heading3"/>
        <w:numPr>
          <w:ilvl w:val="0"/>
          <w:numId w:val="0"/>
        </w:numPr>
        <w:ind w:left="0" w:hanging="0"/>
        <w:jc w:val="both"/>
        <w:rPr/>
      </w:pPr>
      <w:bookmarkStart w:id="25" w:name="__RefHeading___Toc7408_3700833856"/>
      <w:bookmarkStart w:id="26" w:name="_Toc50125127"/>
      <w:bookmarkStart w:id="27" w:name="_Toc51339697"/>
      <w:bookmarkStart w:id="28" w:name="_Toc75446579"/>
      <w:bookmarkStart w:id="29" w:name="_Toc50125126_Копия_1"/>
      <w:bookmarkEnd w:id="25"/>
      <w:bookmarkEnd w:id="29"/>
      <w:r>
        <w:rPr/>
        <w:t xml:space="preserve">Таблица 2.2 </w:t>
      </w:r>
      <w:bookmarkStart w:id="30" w:name="_Hlk50465284"/>
      <w:r>
        <w:rPr/>
        <w:t xml:space="preserve">Требования по срокам </w:t>
      </w:r>
      <w:bookmarkEnd w:id="26"/>
      <w:bookmarkEnd w:id="27"/>
      <w:bookmarkEnd w:id="30"/>
      <w:r>
        <w:rPr/>
        <w:t>поставки продукции</w:t>
      </w:r>
      <w:bookmarkStart w:id="31" w:name="_Toc75446581"/>
      <w:bookmarkStart w:id="32" w:name="_Toc46743511"/>
      <w:bookmarkEnd w:id="28"/>
      <w:bookmarkEnd w:id="31"/>
      <w:bookmarkEnd w:id="32"/>
    </w:p>
    <w:tbl>
      <w:tblPr>
        <w:tblW w:w="9920" w:type="dxa"/>
        <w:jc w:val="left"/>
        <w:tblInd w:w="1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563"/>
        <w:gridCol w:w="5905"/>
        <w:gridCol w:w="1631"/>
        <w:gridCol w:w="1820"/>
      </w:tblGrid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226" w:hRule="atLeast"/>
        </w:trPr>
        <w:tc>
          <w:tcPr>
            <w:tcW w:w="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bidi w:val="0"/>
              <w:jc w:val="center"/>
              <w:rPr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О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sz w:val="24"/>
                <w:szCs w:val="24"/>
                <w:u w:val="none"/>
                <w:em w:val="none"/>
              </w:rPr>
              <w:t>КПД2 27.11.61.120 Поставка запасных частей для ремонта гидроагрегатов на Саяно-Шушенской ГЭС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1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shd w:fill="auto" w:val="clear"/>
              </w:rPr>
              <w:t>Указать в коммерческом предложении</w:t>
            </w:r>
          </w:p>
        </w:tc>
      </w:tr>
    </w:tbl>
    <w:p>
      <w:pPr>
        <w:sectPr>
          <w:headerReference w:type="default" r:id="rId3"/>
          <w:headerReference w:type="first" r:id="rId4"/>
          <w:type w:val="nextPage"/>
          <w:pgSz w:w="11906" w:h="16838"/>
          <w:pgMar w:left="1134" w:right="851" w:gutter="0" w:header="375" w:top="600" w:footer="0" w:bottom="992"/>
          <w:pgNumType w:fmt="decimal"/>
          <w:formProt w:val="false"/>
          <w:textDirection w:val="lrTb"/>
          <w:docGrid w:type="default" w:linePitch="100" w:charSpace="8192"/>
        </w:sectPr>
      </w:pPr>
    </w:p>
    <w:p>
      <w:pPr>
        <w:pStyle w:val="Heading3"/>
        <w:numPr>
          <w:ilvl w:val="0"/>
          <w:numId w:val="0"/>
        </w:numPr>
        <w:ind w:left="0" w:hanging="0"/>
        <w:rPr/>
      </w:pPr>
      <w:bookmarkStart w:id="33" w:name="__RefHeading___Toc7410_3700833856"/>
      <w:bookmarkStart w:id="34" w:name="_Toc75446582"/>
      <w:bookmarkStart w:id="35" w:name="_Toc51339698"/>
      <w:bookmarkEnd w:id="33"/>
      <w:r>
        <w:rPr/>
        <w:t>Таблица 3. Требования к продукции</w:t>
      </w:r>
      <w:bookmarkEnd w:id="34"/>
      <w:bookmarkEnd w:id="35"/>
    </w:p>
    <w:tbl>
      <w:tblPr>
        <w:tblW w:w="1455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000" w:noHBand="0" w:lastColumn="0" w:firstColumn="0" w:lastRow="0" w:firstRow="0"/>
      </w:tblPr>
      <w:tblGrid>
        <w:gridCol w:w="853"/>
        <w:gridCol w:w="4246"/>
        <w:gridCol w:w="3053"/>
        <w:gridCol w:w="6405"/>
      </w:tblGrid>
      <w:tr>
        <w:trPr>
          <w:trHeight w:val="10" w:hRule="atLeast"/>
        </w:trPr>
        <w:tc>
          <w:tcPr>
            <w:tcW w:w="145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Наименование продукции </w:t>
            </w:r>
            <w:r>
              <w:rPr>
                <w:b/>
                <w:bCs/>
                <w:color w:val="000000"/>
                <w:sz w:val="24"/>
                <w:szCs w:val="24"/>
              </w:rPr>
              <w:t>Таблицы 2.1:</w:t>
            </w:r>
            <w:r>
              <w:rPr>
                <w:rFonts w:eastAsia="Calibri"/>
                <w:b/>
                <w:bCs/>
                <w:color w:val="000000"/>
                <w:sz w:val="24"/>
                <w:szCs w:val="24"/>
                <w:shd w:fill="FFFFFF" w:val="clear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FFFFFF" w:val="clear"/>
                <w:em w:val="none"/>
                <w:lang w:eastAsia="en-US"/>
              </w:rPr>
              <w:t>О</w:t>
            </w:r>
            <w:r>
              <w:rPr>
                <w:rFonts w:eastAsia="Calibri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FFFFFF" w:val="clear"/>
                <w:em w:val="none"/>
                <w:lang w:eastAsia="en-US"/>
              </w:rPr>
              <w:t>КПД2 27.11.61.120 Поставка запасных частей для ремонта гидроагрегатов на Саяно-Шушенской ГЭС</w:t>
            </w:r>
          </w:p>
        </w:tc>
      </w:tr>
      <w:tr>
        <w:trPr>
          <w:trHeight w:val="10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параметра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Требование заказчика</w:t>
            </w:r>
          </w:p>
        </w:tc>
      </w:tr>
      <w:tr>
        <w:trPr>
          <w:trHeight w:val="20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rFonts w:eastAsia="DotumChe"/>
                <w:b/>
                <w:color w:val="000000"/>
                <w:sz w:val="24"/>
                <w:szCs w:val="24"/>
              </w:rPr>
              <w:t>4</w:t>
            </w:r>
          </w:p>
        </w:tc>
      </w:tr>
      <w:tr>
        <w:trPr>
          <w:trHeight w:val="20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8БС.921.214 (</w:t>
            </w:r>
            <w:r>
              <w:rPr>
                <w:color w:val="000000"/>
                <w:sz w:val="24"/>
                <w:szCs w:val="24"/>
              </w:rPr>
              <w:t>АО «Силовые машины»)</w:t>
            </w:r>
          </w:p>
        </w:tc>
      </w:tr>
      <w:tr>
        <w:trPr>
          <w:trHeight w:val="2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8БС.921.984-01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42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Болт М12х20.48.019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1491-80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Сталь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Покрытие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Цинк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резьбы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Метрическая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 резьбы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М12</w:t>
            </w:r>
          </w:p>
        </w:tc>
      </w:tr>
      <w:tr>
        <w:trPr>
          <w:trHeight w:val="2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Маркировка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М12х20.48.019 </w:t>
            </w:r>
          </w:p>
        </w:tc>
      </w:tr>
      <w:tr>
        <w:trPr>
          <w:trHeight w:val="2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Болт М16-6gх90.58.019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8БС.921.336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Болт М56х180.02.0112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8БС.922.069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1.6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Болт М8-6gх35.58.019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8БС.921.275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1.7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Болт регулировочный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8БС.921.972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1.8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Замазка ЭЗ-214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color w:val="000000"/>
                <w:sz w:val="24"/>
                <w:szCs w:val="24"/>
              </w:rPr>
              <w:t>3998028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1.9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Лак ЛЭУ-236/1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color w:val="000000"/>
                <w:sz w:val="24"/>
                <w:szCs w:val="24"/>
              </w:rPr>
              <w:t>3998325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8БС.749.270-14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8БС.763.983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8БС.769.314-18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статора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8БС.769.041-01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14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8БС.951.100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8БС.951.102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16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8БС.951.103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8БС.952.820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18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 стопорная верхней крестовины 21мм для гидроагрегата 58,5х38х1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8БС.951.017-01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стопорная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8БС.951.016-01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Шайба 12х30мм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8БС.951.098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12х35мм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8БС.951.099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16х35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8БС.951.106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23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8БС.952.608-02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24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Эмаль изоляционная ПЛГ-233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3998380</w:t>
            </w:r>
            <w:r>
              <w:rPr>
                <w:color w:val="000000"/>
                <w:sz w:val="24"/>
                <w:szCs w:val="24"/>
              </w:rPr>
              <w:t xml:space="preserve">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Эмаль изоляционная ПЛК-275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3998880</w:t>
            </w:r>
            <w:r>
              <w:rPr>
                <w:color w:val="000000"/>
                <w:sz w:val="24"/>
                <w:szCs w:val="24"/>
              </w:rPr>
              <w:t xml:space="preserve">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Подушка фрикционная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8БС.045.004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уплотнительная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8БС.769.554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935х29х1мм СТЭФ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8БС.752.494-22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29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935х29х2мм СТЭФ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8БС.752.615-21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Прокладка 700х28х0.5мм СТЭФ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8БС.758.538-20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Прокладка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8БС.769.041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42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Стеклослюдопласт композиционный ГИП-ТС(в) 0.25мм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3492-059-31885305-2003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Влагостойкий и термостойкий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Трубка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8БС.770.445-20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Упор для генератора размеры 24х20х10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8БС.270.480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8БС.715.443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Винт контактный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8БС.903.374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Винт контактный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8БС.903.374-04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38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 xml:space="preserve">Шайба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8БС.715.443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Гайка М16-6Н.5.019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8БС.940.024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Гайка М24-6Н.5.0112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8БС.940.026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Клин пазовый 187,5х39х15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8БС.791.248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Клин пазовый 146х39х15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8БС.791.249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пазовый 122х27,3х8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8БС.791.250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пазовый 145,5х25,3х8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8БС.791.251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Клин пазовый 122х27,3х8 ВГ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8БС.791.252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пазовый 122х27,3х8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8БС.791.253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полюса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8БС.781.206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Клин полюса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8БС.781.207</w:t>
            </w:r>
            <w:r>
              <w:rPr>
                <w:color w:val="000000"/>
                <w:sz w:val="24"/>
                <w:szCs w:val="24"/>
              </w:rPr>
              <w:t xml:space="preserve">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42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Компаунд в компонентах ЭЗК-217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 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0БС.504.003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Эпоксидная смола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42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Компаунд в компонентах ЭПК-267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0БС.909.067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Эпоксидная смола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42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Компаунд двухкомпонентный КЛСЕ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38.103691-89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Основа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Герметизирующая паста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Манжета уплотнения генераторного подшипника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8БС.373.047-05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Манжета уплотнения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8БС.373.024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Манжета уплотнения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Чертеж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8БС.373.025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Втулка для сервомотора (поз.2 ч.2299057)</w:t>
            </w:r>
          </w:p>
        </w:tc>
        <w:tc>
          <w:tcPr>
            <w:tcW w:w="3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2299593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Втулка для сервомотора (поз.3 ч.2299057)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2299595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  <w:r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Кольцо поршневое для сервомотора (поз. 12 ч.2299057)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2275266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4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Кольцо резиновое для гидроцилиндра 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Артикул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2316844 (АО «Силовые машины»)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1.</w:t>
            </w:r>
            <w:r>
              <w:rPr>
                <w:color w:val="000000"/>
                <w:sz w:val="24"/>
                <w:szCs w:val="28"/>
              </w:rPr>
              <w:t>59</w:t>
            </w:r>
          </w:p>
        </w:tc>
        <w:tc>
          <w:tcPr>
            <w:tcW w:w="424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Манжета шевронная М200х230-1 для сервомотора (поз.75 ч.2299057)</w:t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22704-77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Внутренний диаметр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200 мм</w:t>
            </w:r>
          </w:p>
        </w:tc>
      </w:tr>
      <w:tr>
        <w:trPr>
          <w:trHeight w:val="1" w:hRule="atLeast"/>
        </w:trPr>
        <w:tc>
          <w:tcPr>
            <w:tcW w:w="85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</w:r>
          </w:p>
        </w:tc>
        <w:tc>
          <w:tcPr>
            <w:tcW w:w="424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Style34"/>
              <w:widowControl w:val="false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</w:r>
          </w:p>
        </w:tc>
        <w:tc>
          <w:tcPr>
            <w:tcW w:w="30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Наружный диаметр</w:t>
            </w:r>
          </w:p>
        </w:tc>
        <w:tc>
          <w:tcPr>
            <w:tcW w:w="6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4"/>
              <w:widowControl w:val="false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230 мм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9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Саяно-Шушенский филиал АО «Гидроремонт-ВКК» в п. Черёмушки. 655619, Российская Федерация, Республика Хакасия, г. Саяногорск, рп. Черемушки, дом 103.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Приемка продукции</w:t>
            </w:r>
          </w:p>
        </w:tc>
        <w:tc>
          <w:tcPr>
            <w:tcW w:w="9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Приемка продукции осуществляется только в рабочие дни с 9-00 до 11-00 и с 13-00 до 16-00.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транспорте, на котором осуществляется доставка, для оформления допуска на территорию предоставляется не позднее предыдущего рабочего дня до прибытия транспорта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1137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overflowPunct w:val="true"/>
              <w:ind w:left="170" w:hanging="0"/>
              <w:rPr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Сроки гарантии</w:t>
            </w:r>
          </w:p>
        </w:tc>
        <w:tc>
          <w:tcPr>
            <w:tcW w:w="9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276" w:leader="none"/>
              </w:tabs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продукцию устанавливается гарантийный срок </w:t>
            </w:r>
            <w:r>
              <w:rPr>
                <w:sz w:val="24"/>
                <w:szCs w:val="24"/>
              </w:rPr>
              <w:t>равный 12 (двенадцати) месяцам, исчисляемый с даты подписания Сторонами соответствующей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 В течение Гарантийного срока Поставщик гарантирует соответствие качества Продукции требованиям, указанным в Договоре, техническом паспорте Продукции, нормативно-технической документации, возможность эксплуатации Продукции в соответствии с ее целевым назначением, а также несет безусловную ответственность за обнаруженные недостатки (дефекты), если не докажет, что такие недостатки (дефекты) явились следствием несоблюдения Покупателем требований по транспортировке, хранению и использованию Продукции, установленных в инструкциях и иных документах, переданных Покупателю.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ind w:left="113" w:hanging="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4.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4.1</w:t>
            </w:r>
          </w:p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 продукцией</w:t>
            </w:r>
          </w:p>
        </w:tc>
        <w:tc>
          <w:tcPr>
            <w:tcW w:w="94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 сертификаты качества; технические паспорта; руководства по эксплуатации; товарную накладную унифицированной формы ТОРГ-12(УПД) в 2 экз., транспортную накладную. Перечень продукции и наименование документа, подтверждающего качество, дополнительно должны быть оформлены в электронном виде в редактируемом формате docx, doc, odt.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ind w:left="113" w:hanging="0"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5.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</w:tr>
      <w:tr>
        <w:trPr>
          <w:trHeight w:val="151" w:hRule="atLeast"/>
        </w:trPr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andard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5.1</w:t>
            </w:r>
          </w:p>
        </w:tc>
        <w:tc>
          <w:tcPr>
            <w:tcW w:w="137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Standard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 должна быть новой, ранее не использовавшейся</w:t>
            </w: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.</w:t>
            </w:r>
          </w:p>
          <w:p>
            <w:pPr>
              <w:pStyle w:val="Standard"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Продукция должна соответствовать обязательным требованиям, установленными нормативными документами, действующими в РФ.</w:t>
            </w:r>
          </w:p>
          <w:p>
            <w:pPr>
              <w:pStyle w:val="Standard"/>
              <w:widowControl w:val="false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Продукция обязательно должна быть укомплектована документами, удостоверяющими качество продукции и гарантийные обязательства производителя, выданными производителем продукции, а также документами, выполнение требований которых является условием выполнения гарантийных обязательств производителя.</w:t>
            </w:r>
          </w:p>
          <w:p>
            <w:pPr>
              <w:pStyle w:val="Standard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i w:val="false"/>
                <w:sz w:val="24"/>
                <w:szCs w:val="24"/>
                <w:shd w:fill="auto" w:val="clear"/>
              </w:rPr>
              <w:t>Продукция поставщика должна быть пригодна для ремонта гидроагрегатов Филиала ПАО «РусГидро» - «Саяно-Шушенская ГЭС имени П.С. Непорожнего» и соответствовать техническим параметрам, стандартам и требованиям для данной продукции, в том числе общеизвестным техническим параметрам, а также соответствовать стандартам и требованиям для данной продукции, установленных нормативными регламентами и законодательством Российской Федерации. В случае наличия особенностей производства продукции, особенности технических параметров продукции или отступления от стандартов, Поставщик обязан согласовывать это с Покупателем.</w:t>
            </w:r>
          </w:p>
        </w:tc>
      </w:tr>
    </w:tbl>
    <w:p>
      <w:pPr>
        <w:pStyle w:val="Heading3"/>
        <w:numPr>
          <w:ilvl w:val="0"/>
          <w:numId w:val="0"/>
        </w:numPr>
        <w:spacing w:before="120" w:after="60"/>
        <w:ind w:left="5038" w:hanging="0"/>
        <w:rPr/>
      </w:pPr>
      <w:r>
        <w:rPr/>
      </w:r>
    </w:p>
    <w:sectPr>
      <w:headerReference w:type="default" r:id="rId5"/>
      <w:headerReference w:type="first" r:id="rId6"/>
      <w:type w:val="nextPage"/>
      <w:pgSz w:orient="landscape" w:w="16838" w:h="11906"/>
      <w:pgMar w:left="1134" w:right="1134" w:gutter="0" w:header="0" w:top="851" w:footer="0" w:bottom="851"/>
      <w:pgNumType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swiss"/>
    <w:pitch w:val="variable"/>
  </w:font>
  <w:font w:name="Arial">
    <w:charset w:val="01"/>
    <w:family w:val="swiss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OpenSymbol">
    <w:altName w:val="Arial Unicode MS"/>
    <w:charset w:val="01"/>
    <w:family w:val="auto"/>
    <w:pitch w:val="variable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andard"/>
      <w:jc w:val="center"/>
      <w:rPr/>
    </w:pPr>
    <w:r>
      <w:rPr/>
    </w:r>
  </w:p>
  <w:p>
    <w:pPr>
      <w:pStyle w:val="Standard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OpenSymbol" w:hAnsi="OpenSymbol" w:cs="OpenSymbol" w:hint="default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OpenSymbol" w:hAnsi="OpenSymbol" w:cs="OpenSymbol" w:hint="default"/>
      </w:rPr>
    </w:lvl>
    <w:lvl w:ilvl="2">
      <w:start w:val="0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0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OpenSymbol" w:hAnsi="OpenSymbol" w:cs="OpenSymbol" w:hint="default"/>
      </w:rPr>
    </w:lvl>
    <w:lvl w:ilvl="5">
      <w:start w:val="0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0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OpenSymbol" w:hAnsi="OpenSymbol" w:cs="OpenSymbol" w:hint="default"/>
      </w:rPr>
    </w:lvl>
    <w:lvl w:ilvl="8">
      <w:start w:val="0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0"/>
      <w:numFmt w:val="bullet"/>
      <w:lvlText w:val=""/>
      <w:lvlJc w:val="left"/>
      <w:pPr>
        <w:tabs>
          <w:tab w:val="num" w:pos="0"/>
        </w:tabs>
        <w:ind w:left="2268" w:hanging="567"/>
      </w:pPr>
      <w:rPr>
        <w:rFonts w:ascii="Symbol" w:hAnsi="Symbol" w:cs="Symbol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6"/>
    <w:lvlOverride w:ilvl="0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Heading3"/>
    <w:next w:val="Standard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Standard"/>
    <w:qFormat/>
    <w:pPr>
      <w:outlineLvl w:val="1"/>
    </w:pPr>
    <w:rPr/>
  </w:style>
  <w:style w:type="paragraph" w:styleId="Heading3">
    <w:name w:val="Heading 3"/>
    <w:basedOn w:val="Standard"/>
    <w:next w:val="Standard"/>
    <w:autoRedefine/>
    <w:qFormat/>
    <w:pPr>
      <w:keepNext w:val="true"/>
      <w:numPr>
        <w:ilvl w:val="0"/>
        <w:numId w:val="3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Heading4">
    <w:name w:val="Heading 4"/>
    <w:basedOn w:val="Heading3"/>
    <w:next w:val="Standard"/>
    <w:qFormat/>
    <w:pPr>
      <w:tabs>
        <w:tab w:val="clear" w:pos="708"/>
        <w:tab w:val="left" w:pos="432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Standard"/>
    <w:next w:val="Standard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Standard"/>
    <w:next w:val="Standard"/>
    <w:qFormat/>
    <w:pPr>
      <w:keepNext w:val="true"/>
      <w:keepLines/>
      <w:spacing w:before="200" w:after="120"/>
      <w:outlineLvl w:val="5"/>
    </w:pPr>
    <w:rPr>
      <w:rFonts w:ascii="Cambria" w:hAnsi="Cambria" w:eastAsia="Cambria" w:cs="Cambria"/>
      <w:i/>
      <w:iCs/>
      <w:color w:val="243F60"/>
      <w:sz w:val="20"/>
      <w:szCs w:val="20"/>
    </w:rPr>
  </w:style>
  <w:style w:type="paragraph" w:styleId="Heading7">
    <w:name w:val="Heading 7"/>
    <w:basedOn w:val="Standard"/>
    <w:next w:val="Standard"/>
    <w:qFormat/>
    <w:pPr>
      <w:keepNext w:val="true"/>
      <w:keepLines/>
      <w:spacing w:before="200" w:after="120"/>
      <w:outlineLvl w:val="6"/>
    </w:pPr>
    <w:rPr>
      <w:rFonts w:ascii="Cambria" w:hAnsi="Cambria" w:eastAsia="Cambria" w:cs="Cambria"/>
      <w:i/>
      <w:iCs/>
      <w:color w:val="404040"/>
      <w:sz w:val="20"/>
      <w:szCs w:val="20"/>
    </w:rPr>
  </w:style>
  <w:style w:type="paragraph" w:styleId="Heading8">
    <w:name w:val="Heading 8"/>
    <w:basedOn w:val="Standard"/>
    <w:next w:val="Standard"/>
    <w:qFormat/>
    <w:pPr>
      <w:keepNext w:val="true"/>
      <w:keepLines/>
      <w:spacing w:before="200" w:after="120"/>
      <w:outlineLvl w:val="7"/>
    </w:pPr>
    <w:rPr>
      <w:rFonts w:ascii="Cambria" w:hAnsi="Cambria" w:eastAsia="Cambria" w:cs="Cambria"/>
      <w:color w:val="4F81BD"/>
      <w:sz w:val="20"/>
      <w:szCs w:val="20"/>
    </w:rPr>
  </w:style>
  <w:style w:type="paragraph" w:styleId="Heading9">
    <w:name w:val="Heading 9"/>
    <w:basedOn w:val="Standard"/>
    <w:next w:val="Standard"/>
    <w:qFormat/>
    <w:pPr>
      <w:spacing w:before="240" w:after="60"/>
      <w:outlineLvl w:val="8"/>
    </w:pPr>
    <w:rPr>
      <w:rFonts w:ascii="Arial" w:hAnsi="Arial" w:eastAsia="Arial"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Symbol" w:customStyle="1">
    <w:name w:val="Footnote Symbol"/>
    <w:qFormat/>
    <w:rPr>
      <w:vertAlign w:val="superscript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Internetlink" w:customStyle="1">
    <w:name w:val="Internet link"/>
    <w:qFormat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6" w:customStyle="1">
    <w:name w:val="Заголовок 6 Знак"/>
    <w:qFormat/>
    <w:rPr>
      <w:rFonts w:ascii="Cambria" w:hAnsi="Cambria" w:eastAsia="Cambria" w:cs="Cambria"/>
      <w:i/>
      <w:iCs/>
      <w:color w:val="243F60"/>
    </w:rPr>
  </w:style>
  <w:style w:type="character" w:styleId="7" w:customStyle="1">
    <w:name w:val="Заголовок 7 Знак"/>
    <w:qFormat/>
    <w:rPr>
      <w:rFonts w:ascii="Cambria" w:hAnsi="Cambria" w:eastAsia="Cambria" w:cs="Cambria"/>
      <w:i/>
      <w:iCs/>
      <w:color w:val="404040"/>
    </w:rPr>
  </w:style>
  <w:style w:type="character" w:styleId="8" w:customStyle="1">
    <w:name w:val="Заголовок 8 Знак"/>
    <w:qFormat/>
    <w:rPr>
      <w:rFonts w:ascii="Cambria" w:hAnsi="Cambria" w:eastAsia="Cambria" w:cs="Cambria"/>
      <w:color w:val="4F81BD"/>
    </w:rPr>
  </w:style>
  <w:style w:type="character" w:styleId="1" w:customStyle="1">
    <w:name w:val="Заголовок 1 Знак"/>
    <w:qFormat/>
    <w:rPr>
      <w:rFonts w:eastAsia="Calibri"/>
      <w:b/>
      <w:sz w:val="28"/>
      <w:szCs w:val="28"/>
    </w:rPr>
  </w:style>
  <w:style w:type="character" w:styleId="2" w:customStyle="1">
    <w:name w:val="Заголовок 2 Знак"/>
    <w:qFormat/>
    <w:rPr>
      <w:rFonts w:eastAsia="Calibri"/>
      <w:b/>
      <w:bCs/>
      <w:sz w:val="24"/>
      <w:szCs w:val="24"/>
    </w:rPr>
  </w:style>
  <w:style w:type="character" w:styleId="3" w:customStyle="1">
    <w:name w:val="Заголовок 3 Знак"/>
    <w:qFormat/>
    <w:rPr>
      <w:rFonts w:eastAsia="Calibri"/>
      <w:b/>
      <w:sz w:val="24"/>
      <w:szCs w:val="24"/>
    </w:rPr>
  </w:style>
  <w:style w:type="character" w:styleId="4" w:customStyle="1">
    <w:name w:val="Заголовок 4 Знак"/>
    <w:qFormat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qFormat/>
    <w:rPr>
      <w:b/>
      <w:bCs/>
      <w:i/>
      <w:iCs/>
      <w:sz w:val="26"/>
      <w:szCs w:val="26"/>
    </w:rPr>
  </w:style>
  <w:style w:type="character" w:styleId="9" w:customStyle="1">
    <w:name w:val="Заголовок 9 Знак"/>
    <w:qFormat/>
    <w:rPr>
      <w:rFonts w:ascii="Arial" w:hAnsi="Arial" w:eastAsia="Arial" w:cs="Arial"/>
      <w:sz w:val="22"/>
      <w:szCs w:val="22"/>
    </w:rPr>
  </w:style>
  <w:style w:type="character" w:styleId="Style1" w:customStyle="1">
    <w:name w:val="Название Знак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qFormat/>
    <w:rPr>
      <w:rFonts w:ascii="Calibri" w:hAnsi="Calibri" w:eastAsia="Calibri" w:cs="Calibri"/>
      <w:i/>
      <w:iCs/>
      <w:color w:val="000000"/>
    </w:rPr>
  </w:style>
  <w:style w:type="character" w:styleId="Style3" w:customStyle="1">
    <w:name w:val="Выделенная цитата Знак"/>
    <w:qFormat/>
    <w:rPr>
      <w:rFonts w:ascii="Calibri" w:hAnsi="Calibri" w:eastAsia="Calibri" w:cs="Calibri"/>
      <w:b/>
      <w:bCs/>
      <w:i/>
      <w:iCs/>
      <w:color w:val="4F81BD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qFormat/>
    <w:rPr>
      <w:rFonts w:eastAsia="Calibri"/>
      <w:sz w:val="24"/>
      <w:szCs w:val="24"/>
    </w:rPr>
  </w:style>
  <w:style w:type="character" w:styleId="11" w:customStyle="1">
    <w:name w:val="Подпункт Знак1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qFormat/>
    <w:rPr>
      <w:sz w:val="26"/>
      <w:szCs w:val="26"/>
    </w:rPr>
  </w:style>
  <w:style w:type="character" w:styleId="31" w:customStyle="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EndnoteSymbol" w:customStyle="1">
    <w:name w:val="Endnote Symbol"/>
    <w:qFormat/>
    <w:rPr>
      <w:vertAlign w:val="superscript"/>
    </w:rPr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qFormat/>
    <w:rPr>
      <w:b/>
      <w:sz w:val="28"/>
    </w:rPr>
  </w:style>
  <w:style w:type="character" w:styleId="12" w:customStyle="1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Hyperlink">
    <w:name w:val="Hyperlink"/>
    <w:rPr>
      <w:color w:val="000080"/>
      <w:u w:val="single"/>
    </w:rPr>
  </w:style>
  <w:style w:type="paragraph" w:styleId="Style15" w:customStyle="1">
    <w:name w:val="Заголовок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 w:customStyle="1">
    <w:name w:val="Указатель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1">
    <w:name w:val="caption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Title">
    <w:name w:val="Title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1" w:customStyle="1">
    <w:name w:val="caption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 w:customStyle="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Standard"/>
    <w:autoRedefine/>
    <w:qFormat/>
    <w:pPr>
      <w:jc w:val="center"/>
    </w:pPr>
    <w:rPr>
      <w:b/>
    </w:rPr>
  </w:style>
  <w:style w:type="paragraph" w:styleId="Style18" w:customStyle="1">
    <w:name w:val="Раздел положения"/>
    <w:basedOn w:val="Standard"/>
    <w:autoRedefine/>
    <w:qFormat/>
    <w:p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Standard"/>
    <w:autoRedefine/>
    <w:qFormat/>
    <w:pPr>
      <w:numPr>
        <w:ilvl w:val="0"/>
        <w:numId w:val="1"/>
      </w:numPr>
      <w:spacing w:before="80" w:after="80"/>
      <w:jc w:val="both"/>
    </w:pPr>
    <w:rPr/>
  </w:style>
  <w:style w:type="paragraph" w:styleId="Footnote" w:customStyle="1">
    <w:name w:val="Footnote"/>
    <w:basedOn w:val="Standard"/>
    <w:qFormat/>
    <w:pPr/>
    <w:rPr>
      <w:sz w:val="20"/>
      <w:szCs w:val="20"/>
    </w:rPr>
  </w:style>
  <w:style w:type="paragraph" w:styleId="14" w:customStyle="1">
    <w:name w:val="Шапка 1"/>
    <w:basedOn w:val="Standard"/>
    <w:qFormat/>
    <w:pPr>
      <w:pBdr>
        <w:bottom w:val="double" w:sz="12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Standard"/>
    <w:qFormat/>
    <w:pPr>
      <w:pBdr>
        <w:bottom w:val="double" w:sz="12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Standard"/>
    <w:qFormat/>
    <w:pPr>
      <w:pBdr>
        <w:bottom w:val="double" w:sz="12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Standard"/>
    <w:qFormat/>
    <w:pPr>
      <w:jc w:val="center"/>
    </w:pPr>
    <w:rPr>
      <w:szCs w:val="20"/>
    </w:rPr>
  </w:style>
  <w:style w:type="paragraph" w:styleId="Style20" w:customStyle="1">
    <w:name w:val="Колонтитул"/>
    <w:basedOn w:val="Standard"/>
    <w:qFormat/>
    <w:pPr/>
    <w:rPr/>
  </w:style>
  <w:style w:type="paragraph" w:styleId="Header">
    <w:name w:val="Header"/>
    <w:basedOn w:val="Standard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Textbodyindent" w:customStyle="1">
    <w:name w:val="Text body indent"/>
    <w:basedOn w:val="Standard"/>
    <w:qFormat/>
    <w:pPr>
      <w:ind w:left="360" w:hanging="0"/>
    </w:pPr>
    <w:rPr>
      <w:sz w:val="24"/>
      <w:szCs w:val="24"/>
    </w:rPr>
  </w:style>
  <w:style w:type="paragraph" w:styleId="Footer">
    <w:name w:val="Footer"/>
    <w:basedOn w:val="Standar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Standard"/>
    <w:qFormat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Standard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Standard"/>
    <w:qFormat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Standard"/>
    <w:qFormat/>
    <w:pPr>
      <w:spacing w:lineRule="auto" w:line="480" w:before="0" w:after="120"/>
    </w:pPr>
    <w:rPr/>
  </w:style>
  <w:style w:type="paragraph" w:styleId="BlockText">
    <w:name w:val="Block Text"/>
    <w:basedOn w:val="Standard"/>
    <w:qFormat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Standard"/>
    <w:qFormat/>
    <w:pPr>
      <w:tabs>
        <w:tab w:val="clear" w:pos="708"/>
        <w:tab w:val="left" w:pos="2268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Standard"/>
    <w:qFormat/>
    <w:pPr>
      <w:keepNext w:val="true"/>
      <w:tabs>
        <w:tab w:val="clear" w:pos="708"/>
        <w:tab w:val="left" w:pos="2268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Contents1" w:customStyle="1">
    <w:name w:val="Contents 1"/>
    <w:basedOn w:val="Standard"/>
    <w:next w:val="Standard"/>
    <w:autoRedefine/>
    <w:qFormat/>
    <w:pPr>
      <w:shd w:val="clear" w:color="auto" w:fill="FFFFFF"/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Contents3" w:customStyle="1">
    <w:name w:val="Contents 3"/>
    <w:basedOn w:val="Standard"/>
    <w:next w:val="Standard"/>
    <w:autoRedefine/>
    <w:qFormat/>
    <w:rsid w:val="00bf3055"/>
    <w:pPr>
      <w:tabs>
        <w:tab w:val="clear" w:pos="708"/>
        <w:tab w:val="right" w:pos="10201" w:leader="dot"/>
      </w:tabs>
      <w:ind w:left="567" w:hanging="0"/>
    </w:pPr>
    <w:rPr>
      <w:rFonts w:cs="Calibri"/>
      <w:sz w:val="20"/>
      <w:szCs w:val="20"/>
    </w:rPr>
  </w:style>
  <w:style w:type="paragraph" w:styleId="Style22" w:customStyle="1">
    <w:name w:val="Раздел регламента"/>
    <w:basedOn w:val="Standard"/>
    <w:qFormat/>
    <w:pPr/>
    <w:rPr/>
  </w:style>
  <w:style w:type="paragraph" w:styleId="Style23" w:customStyle="1">
    <w:name w:val="Приложение к регламенту"/>
    <w:basedOn w:val="Standard"/>
    <w:qFormat/>
    <w:pPr>
      <w:jc w:val="right"/>
    </w:pPr>
    <w:rPr/>
  </w:style>
  <w:style w:type="paragraph" w:styleId="Contents2" w:customStyle="1">
    <w:name w:val="Contents 2"/>
    <w:basedOn w:val="Standard"/>
    <w:next w:val="Standard"/>
    <w:autoRedefine/>
    <w:qFormat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Standard"/>
    <w:qFormat/>
    <w:pPr/>
    <w:rPr>
      <w:rFonts w:ascii="Tahoma" w:hAnsi="Tahoma" w:eastAsia="Tahoma" w:cs="Tahoma"/>
      <w:sz w:val="16"/>
      <w:szCs w:val="16"/>
    </w:rPr>
  </w:style>
  <w:style w:type="paragraph" w:styleId="Annotationtext">
    <w:name w:val="annotation text"/>
    <w:basedOn w:val="Standard"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qFormat/>
    <w:pPr/>
    <w:rPr>
      <w:b/>
      <w:bCs/>
    </w:rPr>
  </w:style>
  <w:style w:type="paragraph" w:styleId="16" w:customStyle="1">
    <w:name w:val="Обычный (веб)1"/>
    <w:basedOn w:val="Standard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Contents9" w:customStyle="1">
    <w:name w:val="Contents 9"/>
    <w:basedOn w:val="Standard"/>
    <w:next w:val="Standard"/>
    <w:autoRedefine/>
    <w:qFormat/>
    <w:pPr>
      <w:ind w:left="1960" w:hanging="0"/>
    </w:pPr>
    <w:rPr>
      <w:rFonts w:ascii="Calibri" w:hAnsi="Calibri" w:eastAsia="Calibri" w:cs="Calibri"/>
      <w:sz w:val="20"/>
      <w:szCs w:val="20"/>
    </w:rPr>
  </w:style>
  <w:style w:type="paragraph" w:styleId="Contents5" w:customStyle="1">
    <w:name w:val="Contents 5"/>
    <w:basedOn w:val="Standard"/>
    <w:next w:val="Standard"/>
    <w:autoRedefine/>
    <w:qFormat/>
    <w:pPr>
      <w:ind w:left="840" w:hanging="0"/>
    </w:pPr>
    <w:rPr>
      <w:rFonts w:ascii="Calibri" w:hAnsi="Calibri" w:eastAsia="Calibri" w:cs="Calibri"/>
      <w:sz w:val="20"/>
      <w:szCs w:val="20"/>
    </w:rPr>
  </w:style>
  <w:style w:type="paragraph" w:styleId="Contents4" w:customStyle="1">
    <w:name w:val="Contents 4"/>
    <w:basedOn w:val="Standard"/>
    <w:next w:val="Standard"/>
    <w:autoRedefine/>
    <w:qFormat/>
    <w:pPr>
      <w:ind w:left="560" w:hanging="0"/>
    </w:pPr>
    <w:rPr>
      <w:rFonts w:cs="Calibri"/>
      <w:sz w:val="20"/>
      <w:szCs w:val="20"/>
    </w:rPr>
  </w:style>
  <w:style w:type="paragraph" w:styleId="25" w:customStyle="1">
    <w:name w:val="Раздел положения 2"/>
    <w:basedOn w:val="Standard"/>
    <w:qFormat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Standard"/>
    <w:qFormat/>
    <w:pPr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NoSpacing">
    <w:name w:val="No Spacing"/>
    <w:basedOn w:val="Standard"/>
    <w:qFormat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Standard"/>
    <w:next w:val="Standard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Standard"/>
    <w:next w:val="Standard"/>
    <w:qFormat/>
    <w:pPr>
      <w:ind w:left="1066" w:firstLine="709"/>
    </w:pPr>
    <w:rPr>
      <w:rFonts w:ascii="Cambria" w:hAnsi="Cambria" w:eastAsia="Cambria" w:cs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Standard"/>
    <w:qFormat/>
    <w:pPr>
      <w:ind w:left="708" w:hanging="0"/>
    </w:pPr>
    <w:rPr/>
  </w:style>
  <w:style w:type="paragraph" w:styleId="Quote">
    <w:name w:val="Quote"/>
    <w:basedOn w:val="Standard"/>
    <w:next w:val="Standard"/>
    <w:qFormat/>
    <w:pPr/>
    <w:rPr>
      <w:rFonts w:ascii="Calibri" w:hAnsi="Calibri" w:eastAsia="Calibri" w:cs="Calibri"/>
      <w:i/>
      <w:iCs/>
      <w:color w:val="000000"/>
      <w:sz w:val="20"/>
      <w:szCs w:val="20"/>
    </w:rPr>
  </w:style>
  <w:style w:type="paragraph" w:styleId="IntenseQuote">
    <w:name w:val="Intense Quote"/>
    <w:basedOn w:val="Standard"/>
    <w:next w:val="Standard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 w:cs="Calibri"/>
      <w:b/>
      <w:bCs/>
      <w:i/>
      <w:iCs/>
      <w:color w:val="4F81BD"/>
      <w:sz w:val="20"/>
      <w:szCs w:val="20"/>
    </w:rPr>
  </w:style>
  <w:style w:type="paragraph" w:styleId="Indexheading">
    <w:name w:val="index heading"/>
    <w:basedOn w:val="Style15"/>
    <w:qFormat/>
    <w:pPr/>
    <w:rPr/>
  </w:style>
  <w:style w:type="paragraph" w:styleId="ContentsHeading" w:customStyle="1">
    <w:name w:val="Contents Heading"/>
    <w:basedOn w:val="Heading1"/>
    <w:next w:val="Standard"/>
    <w:qFormat/>
    <w:pPr>
      <w:keepLines/>
      <w:spacing w:before="480" w:after="60"/>
    </w:pPr>
    <w:rPr>
      <w:rFonts w:ascii="Cambria" w:hAnsi="Cambria" w:eastAsia="Cambria" w:cs="Cambria"/>
      <w:bCs/>
      <w:color w:val="365F91"/>
    </w:rPr>
  </w:style>
  <w:style w:type="paragraph" w:styleId="E-mailSignature">
    <w:name w:val="E-mail Signature"/>
    <w:basedOn w:val="Standard"/>
    <w:qFormat/>
    <w:pPr/>
    <w:rPr>
      <w:rFonts w:eastAsia="Calibri"/>
      <w:sz w:val="24"/>
      <w:szCs w:val="24"/>
    </w:rPr>
  </w:style>
  <w:style w:type="paragraph" w:styleId="Style25" w:customStyle="1">
    <w:name w:val="Знак"/>
    <w:basedOn w:val="Standard"/>
    <w:qFormat/>
    <w:pPr>
      <w:spacing w:lineRule="exact" w:line="240" w:before="0" w:after="160"/>
    </w:pPr>
    <w:rPr>
      <w:rFonts w:ascii="Verdana" w:hAnsi="Verdana" w:eastAsia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Standard"/>
    <w:qFormat/>
    <w:pPr>
      <w:jc w:val="both"/>
    </w:pPr>
    <w:rPr>
      <w:rFonts w:ascii="Garamond" w:hAnsi="Garamond" w:eastAsia="Garamond" w:cs="Garamond"/>
      <w:sz w:val="24"/>
      <w:szCs w:val="20"/>
    </w:rPr>
  </w:style>
  <w:style w:type="paragraph" w:styleId="ListBullet4">
    <w:name w:val="List Bullet 4"/>
    <w:basedOn w:val="Standard"/>
    <w:qFormat/>
    <w:pPr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26" w:customStyle="1">
    <w:name w:val="Нумерованный список ур2"/>
    <w:basedOn w:val="Standard"/>
    <w:qFormat/>
    <w:pPr>
      <w:numPr>
        <w:ilvl w:val="0"/>
        <w:numId w:val="2"/>
      </w:numPr>
      <w:spacing w:before="120" w:after="0"/>
      <w:jc w:val="both"/>
    </w:pPr>
    <w:rPr>
      <w:rFonts w:ascii="Garamond" w:hAnsi="Garamond" w:eastAsia="Garamond" w:cs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overflowPunct w:val="false"/>
      <w:bidi w:val="0"/>
      <w:spacing w:before="0" w:after="0"/>
      <w:jc w:val="left"/>
      <w:textAlignment w:val="baseline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overflowPunct w:val="false"/>
      <w:bidi w:val="0"/>
      <w:spacing w:before="0" w:after="0"/>
      <w:ind w:firstLine="720"/>
      <w:jc w:val="left"/>
      <w:textAlignment w:val="baseline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Standard"/>
    <w:qFormat/>
    <w:pPr>
      <w:spacing w:lineRule="exact" w:line="240" w:before="0" w:after="160"/>
      <w:jc w:val="both"/>
    </w:pPr>
    <w:rPr>
      <w:rFonts w:ascii="Verdana" w:hAnsi="Verdana" w:eastAsia="Verdana" w:cs="Verdana"/>
      <w:sz w:val="22"/>
      <w:szCs w:val="22"/>
      <w:lang w:val="en-US" w:eastAsia="en-US"/>
    </w:rPr>
  </w:style>
  <w:style w:type="paragraph" w:styleId="Style26" w:customStyle="1">
    <w:name w:val="Пункт"/>
    <w:basedOn w:val="Standard"/>
    <w:qFormat/>
    <w:pPr>
      <w:widowControl w:val="false"/>
      <w:tabs>
        <w:tab w:val="clear" w:pos="708"/>
        <w:tab w:val="left" w:pos="2268" w:leader="none"/>
      </w:tabs>
      <w:spacing w:lineRule="auto" w:line="360" w:before="120" w:after="0"/>
      <w:ind w:left="1134" w:right="800" w:hanging="1134"/>
      <w:jc w:val="both"/>
    </w:pPr>
    <w:rPr>
      <w:rFonts w:ascii="Arial" w:hAnsi="Arial" w:eastAsia="Arial" w:cs="Arial"/>
      <w:b/>
      <w:i/>
      <w:szCs w:val="20"/>
    </w:rPr>
  </w:style>
  <w:style w:type="paragraph" w:styleId="17" w:customStyle="1">
    <w:name w:val="Абзац списка1"/>
    <w:basedOn w:val="Standard"/>
    <w:qFormat/>
    <w:pPr>
      <w:spacing w:lineRule="auto" w:line="276" w:before="0" w:after="200"/>
      <w:ind w:left="720" w:hanging="0"/>
    </w:pPr>
    <w:rPr>
      <w:rFonts w:ascii="Calibri" w:hAnsi="Calibri" w:eastAsia="Calibri" w:cs="Calibri"/>
      <w:sz w:val="22"/>
      <w:szCs w:val="22"/>
      <w:lang w:eastAsia="en-US"/>
    </w:rPr>
  </w:style>
  <w:style w:type="paragraph" w:styleId="Style27" w:customStyle="1">
    <w:name w:val="Таблица"/>
    <w:basedOn w:val="Standard"/>
    <w:qFormat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Standard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qFormat/>
    <w:pPr>
      <w:tabs>
        <w:tab w:val="clear" w:pos="2268"/>
        <w:tab w:val="left" w:pos="10208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30" w:customStyle="1">
    <w:name w:val="УРОВЕНЬ_(а)"/>
    <w:basedOn w:val="ListParagraph"/>
    <w:qFormat/>
    <w:pPr>
      <w:spacing w:lineRule="exact" w:line="360" w:before="120" w:after="0"/>
      <w:jc w:val="both"/>
      <w:outlineLvl w:val="3"/>
    </w:pPr>
    <w:rPr>
      <w:sz w:val="26"/>
      <w:lang w:eastAsia="en-US"/>
    </w:rPr>
  </w:style>
  <w:style w:type="paragraph" w:styleId="-" w:customStyle="1">
    <w:name w:val="УРОВЕНЬ_-"/>
    <w:basedOn w:val="ListParagraph"/>
    <w:qFormat/>
    <w:pPr>
      <w:spacing w:lineRule="exact" w:line="360" w:before="120" w:after="0"/>
      <w:jc w:val="both"/>
      <w:outlineLvl w:val="4"/>
    </w:pPr>
    <w:rPr>
      <w:sz w:val="26"/>
      <w:lang w:eastAsia="en-US"/>
    </w:rPr>
  </w:style>
  <w:style w:type="paragraph" w:styleId="27" w:customStyle="1">
    <w:name w:val="УРОВЕНЬ_Абзац_тип2"/>
    <w:basedOn w:val="ListParagraph"/>
    <w:qFormat/>
    <w:pPr>
      <w:spacing w:lineRule="exact" w:line="360" w:before="120" w:after="0"/>
      <w:jc w:val="both"/>
    </w:pPr>
    <w:rPr>
      <w:sz w:val="26"/>
      <w:lang w:eastAsia="en-US"/>
    </w:rPr>
  </w:style>
  <w:style w:type="paragraph" w:styleId="36" w:customStyle="1">
    <w:name w:val="УРОВЕНЬ_Абзац_тип3"/>
    <w:basedOn w:val="ListParagraph"/>
    <w:qFormat/>
    <w:pPr>
      <w:spacing w:lineRule="exact" w:line="360" w:before="120" w:after="0"/>
      <w:jc w:val="both"/>
    </w:pPr>
    <w:rPr>
      <w:sz w:val="26"/>
      <w:lang w:eastAsia="en-US"/>
    </w:rPr>
  </w:style>
  <w:style w:type="paragraph" w:styleId="Style31" w:customStyle="1">
    <w:name w:val="УРОВЕНЬ_Подпись"/>
    <w:basedOn w:val="ListParagraph"/>
    <w:qFormat/>
    <w:pPr>
      <w:keepNext w:val="true"/>
      <w:numPr>
        <w:ilvl w:val="0"/>
        <w:numId w:val="4"/>
      </w:numPr>
      <w:spacing w:lineRule="exact" w:line="360" w:before="120" w:after="120"/>
      <w:jc w:val="right"/>
      <w:outlineLvl w:val="3"/>
    </w:pPr>
    <w:rPr>
      <w:sz w:val="26"/>
      <w:lang w:eastAsia="en-US"/>
    </w:rPr>
  </w:style>
  <w:style w:type="paragraph" w:styleId="18" w:customStyle="1">
    <w:name w:val="Стиль Заголовок 1 + по ширине"/>
    <w:basedOn w:val="Heading1"/>
    <w:qFormat/>
    <w:pPr>
      <w:keepLines/>
      <w:tabs>
        <w:tab w:val="clear" w:pos="708"/>
        <w:tab w:val="left" w:pos="1134" w:leader="none"/>
      </w:tabs>
      <w:spacing w:before="480" w:after="240"/>
      <w:ind w:left="567" w:hanging="567"/>
      <w:jc w:val="both"/>
    </w:pPr>
    <w:rPr>
      <w:rFonts w:ascii="Arial" w:hAnsi="Arial" w:eastAsia="Times New Roman" w:cs="Arial"/>
      <w:bCs/>
      <w:kern w:val="2"/>
      <w:sz w:val="40"/>
      <w:szCs w:val="20"/>
    </w:rPr>
  </w:style>
  <w:style w:type="paragraph" w:styleId="Endnote" w:customStyle="1">
    <w:name w:val="Endnote"/>
    <w:basedOn w:val="Standard"/>
    <w:qFormat/>
    <w:pPr/>
    <w:rPr>
      <w:sz w:val="20"/>
      <w:szCs w:val="20"/>
    </w:rPr>
  </w:style>
  <w:style w:type="paragraph" w:styleId="28" w:customStyle="1">
    <w:name w:val="Заголовок 2 КВВ"/>
    <w:basedOn w:val="Standard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Standard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Standard"/>
    <w:qFormat/>
    <w:pPr>
      <w:spacing w:before="280" w:after="280"/>
    </w:pPr>
    <w:rPr>
      <w:sz w:val="24"/>
      <w:szCs w:val="24"/>
    </w:rPr>
  </w:style>
  <w:style w:type="paragraph" w:styleId="19" w:customStyle="1">
    <w:name w:val="УРОВЕНЬ_1."/>
    <w:basedOn w:val="ListParagraph"/>
    <w:qFormat/>
    <w:pPr>
      <w:keepNext w:val="true"/>
      <w:keepLines/>
      <w:spacing w:lineRule="auto" w:line="276" w:before="240" w:after="120"/>
      <w:ind w:left="0" w:hanging="0"/>
      <w:jc w:val="both"/>
      <w:outlineLvl w:val="0"/>
    </w:pPr>
    <w:rPr>
      <w:caps/>
      <w:lang w:eastAsia="en-US"/>
    </w:rPr>
  </w:style>
  <w:style w:type="paragraph" w:styleId="Contents6" w:customStyle="1">
    <w:name w:val="Contents 6"/>
    <w:basedOn w:val="Standard"/>
    <w:next w:val="Standard"/>
    <w:autoRedefine/>
    <w:qFormat/>
    <w:pPr>
      <w:ind w:left="1120" w:hanging="0"/>
    </w:pPr>
    <w:rPr>
      <w:rFonts w:ascii="Calibri" w:hAnsi="Calibri" w:eastAsia="Calibri" w:cs="Calibri"/>
      <w:sz w:val="20"/>
      <w:szCs w:val="20"/>
    </w:rPr>
  </w:style>
  <w:style w:type="paragraph" w:styleId="Contents7" w:customStyle="1">
    <w:name w:val="Contents 7"/>
    <w:basedOn w:val="Standard"/>
    <w:next w:val="Standard"/>
    <w:autoRedefine/>
    <w:qFormat/>
    <w:pPr>
      <w:ind w:left="1400" w:hanging="0"/>
    </w:pPr>
    <w:rPr>
      <w:rFonts w:ascii="Calibri" w:hAnsi="Calibri" w:eastAsia="Calibri" w:cs="Calibri"/>
      <w:sz w:val="20"/>
      <w:szCs w:val="20"/>
    </w:rPr>
  </w:style>
  <w:style w:type="paragraph" w:styleId="Contents8" w:customStyle="1">
    <w:name w:val="Contents 8"/>
    <w:basedOn w:val="Standard"/>
    <w:next w:val="Standard"/>
    <w:autoRedefine/>
    <w:qFormat/>
    <w:pPr>
      <w:ind w:left="1680" w:hanging="0"/>
    </w:pPr>
    <w:rPr>
      <w:rFonts w:ascii="Calibri" w:hAnsi="Calibri" w:eastAsia="Calibri" w:cs="Calibri"/>
      <w:sz w:val="20"/>
      <w:szCs w:val="20"/>
    </w:rPr>
  </w:style>
  <w:style w:type="paragraph" w:styleId="Style33" w:customStyle="1">
    <w:name w:val="Содержимое врезки"/>
    <w:basedOn w:val="Standard"/>
    <w:qFormat/>
    <w:pPr/>
    <w:rPr/>
  </w:style>
  <w:style w:type="paragraph" w:styleId="Style34" w:customStyle="1">
    <w:name w:val="Содержимое таблицы"/>
    <w:basedOn w:val="Standard"/>
    <w:qFormat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pPr>
      <w:jc w:val="center"/>
    </w:pPr>
    <w:rPr>
      <w:b/>
      <w:bCs/>
    </w:rPr>
  </w:style>
  <w:style w:type="paragraph" w:styleId="TOC3">
    <w:name w:val="TOC 3"/>
    <w:basedOn w:val="Style16"/>
    <w:pPr>
      <w:tabs>
        <w:tab w:val="clear" w:pos="708"/>
        <w:tab w:val="right" w:pos="9354" w:leader="dot"/>
      </w:tabs>
      <w:ind w:left="567" w:hanging="0"/>
    </w:pPr>
    <w:rPr/>
  </w:style>
  <w:style w:type="paragraph" w:styleId="TOC4">
    <w:name w:val="TOC 4"/>
    <w:basedOn w:val="Style16"/>
    <w:pPr>
      <w:tabs>
        <w:tab w:val="clear" w:pos="708"/>
        <w:tab w:val="right" w:pos="9071" w:leader="dot"/>
      </w:tabs>
      <w:ind w:left="850" w:hanging="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qFormat/>
  </w:style>
  <w:style w:type="numbering" w:styleId="29" w:customStyle="1">
    <w:name w:val="Стиль2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Application>AlterOffice/3.4.0.9$Linux_X86_64 LibreOffice_project/b8daf9e823b1a5463a2f48435ddc2e8696e7d4fc</Application>
  <AppVersion>15.0000</AppVersion>
  <Pages>9</Pages>
  <Words>1538</Words>
  <Characters>10029</Characters>
  <CharactersWithSpaces>11023</CharactersWithSpaces>
  <Paragraphs>600</Paragraphs>
  <Company>HRVKK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2026-02-26T02:24:00Z</dcterms:created>
  <dc:creator>Быстров Олег Геннадьевич</dc:creator>
  <dc:description/>
  <dc:language>ru-RU</dc:language>
  <cp:lastModifiedBy>sherstukdi@corp.gidroogk.com</cp:lastModifiedBy>
  <cp:lastPrinted>2006-07-26T14:04:00Z</cp:lastPrinted>
  <dcterms:modified xsi:type="dcterms:W3CDTF">2026-10-04T19:14:42Z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