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app.xml" ContentType="application/vnd.openxmlformats-officedocument.extended-properties+xml"/>
  <Override PartName="/docProps/custom.xml" ContentType="application/vnd.openxmlformats-officedocument.custom-properties+xml"/>
  <Override PartName="/docProps/core.xml" ContentType="application/vnd.openxmlformats-package.core-properties+xml"/>
  <Override PartName="/word/_rels/document.xml.rels" ContentType="application/vnd.openxmlformats-package.relationships+xml"/>
  <Override PartName="/word/footer5.xml" ContentType="application/vnd.openxmlformats-officedocument.wordprocessingml.footer+xml"/>
  <Override PartName="/word/theme/theme1.xml" ContentType="application/vnd.openxmlformats-officedocument.theme+xml"/>
  <Override PartName="/word/footer4.xml" ContentType="application/vnd.openxmlformats-officedocument.wordprocessingml.footer+xml"/>
  <Override PartName="/word/fontTable.xml" ContentType="application/vnd.openxmlformats-officedocument.wordprocessingml.fontTable+xml"/>
  <Override PartName="/word/header3.xml" ContentType="application/vnd.openxmlformats-officedocument.wordprocessingml.header+xml"/>
  <Override PartName="/word/footer6.xml" ContentType="application/vnd.openxmlformats-officedocument.wordprocessingml.footer+xml"/>
  <Override PartName="/word/header2.xml" ContentType="application/vnd.openxmlformats-officedocument.wordprocessingml.header+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Override PartName="/word/numbering.xml" ContentType="application/vnd.openxmlformats-officedocument.wordprocessingml.numbering+xml"/>
  <Override PartName="/word/header1.xml" ContentType="application/vnd.openxmlformats-officedocument.wordprocessingml.header+xml"/>
  <Override PartName="/word/footer3.xml" ContentType="application/vnd.openxmlformats-officedocument.wordprocessingml.footer+xml"/>
  <Override PartName="/word/footnotes.xml" ContentType="application/vnd.openxmlformats-officedocument.wordprocessingml.footnotes+xml"/>
  <Override PartName="/word/footer1.xml" ContentType="application/vnd.openxmlformats-officedocument.wordprocessingml.footer+xml"/>
  <Override PartName="/word/footer2.xml" ContentType="application/vnd.openxmlformats-officedocument.wordprocessingml.footer+xml"/>
  <Override PartName="/customXml/_rels/item1.xml.rels" ContentType="application/vnd.openxmlformats-package.relationships+xml"/>
  <Override PartName="/customXml/itemProps1.xml" ContentType="application/vnd.openxmlformats-officedocument.customXmlProperties+xml"/>
  <Override PartName="/customXml/item1.xml" ContentType="application/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Title"/>
        <w:numPr>
          <w:ilvl w:val="0"/>
          <w:numId w:val="0"/>
        </w:numPr>
        <w:spacing w:before="0" w:after="120"/>
        <w:ind w:left="0" w:hanging="0"/>
        <w:outlineLvl w:val="0"/>
        <w:rPr>
          <w:highlight w:val="none"/>
          <w:shd w:fill="FFFFFF" w:val="clear"/>
        </w:rPr>
      </w:pPr>
      <w:r>
        <w:rPr>
          <w:sz w:val="24"/>
          <w:shd w:fill="FFFFFF" w:val="clear"/>
        </w:rPr>
        <w:t>Договор поставки № _______</w:t>
      </w:r>
    </w:p>
    <w:p>
      <w:pPr>
        <w:pStyle w:val="Normal"/>
        <w:shd w:val="clear" w:color="auto" w:fill="FFFFFF"/>
        <w:spacing w:before="0" w:after="120"/>
        <w:rPr>
          <w:highlight w:val="none"/>
          <w:shd w:fill="FFFFFF" w:val="clear"/>
        </w:rPr>
      </w:pPr>
      <w:r>
        <w:rPr>
          <w:sz w:val="24"/>
          <w:szCs w:val="24"/>
          <w:shd w:fill="FFFFFF" w:val="clear"/>
        </w:rPr>
        <w:t>Республика Хакасия, г. Саяногорск, рп. Черемушки</w:t>
        <w:tab/>
        <w:t xml:space="preserve"> </w:t>
        <w:tab/>
        <w:t>«___» __________ 20__ г.</w:t>
      </w:r>
    </w:p>
    <w:p>
      <w:pPr>
        <w:pStyle w:val="Normal"/>
        <w:shd w:val="clear" w:color="auto" w:fill="FFFFFF"/>
        <w:spacing w:before="0" w:after="120"/>
        <w:ind w:firstLine="567"/>
        <w:jc w:val="both"/>
        <w:rPr>
          <w:sz w:val="24"/>
          <w:szCs w:val="24"/>
          <w:highlight w:val="none"/>
          <w:shd w:fill="FFFFFF" w:val="clear"/>
        </w:rPr>
      </w:pPr>
      <w:r>
        <w:rPr>
          <w:sz w:val="24"/>
          <w:szCs w:val="24"/>
          <w:shd w:fill="FFFFFF" w:val="clear"/>
        </w:rPr>
      </w:r>
    </w:p>
    <w:p>
      <w:pPr>
        <w:pStyle w:val="Normal"/>
        <w:spacing w:before="0" w:after="120"/>
        <w:ind w:firstLine="567"/>
        <w:jc w:val="both"/>
        <w:rPr>
          <w:highlight w:val="none"/>
          <w:shd w:fill="FFFFFF" w:val="clear"/>
        </w:rPr>
      </w:pPr>
      <w:r>
        <w:rPr>
          <w:b/>
          <w:sz w:val="24"/>
          <w:szCs w:val="24"/>
          <w:shd w:fill="FFFFFF" w:val="clear"/>
        </w:rPr>
        <w:t xml:space="preserve">Акционерное общество «Гидроремонт-ВКК» (АО «Гидроремонт-ВКК»), </w:t>
      </w:r>
      <w:r>
        <w:rPr>
          <w:sz w:val="24"/>
          <w:szCs w:val="24"/>
          <w:shd w:fill="FFFFFF" w:val="clear"/>
        </w:rPr>
        <w:t>именуемое в дальнейшем «</w:t>
      </w:r>
      <w:r>
        <w:rPr>
          <w:b/>
          <w:sz w:val="24"/>
          <w:szCs w:val="24"/>
          <w:shd w:fill="FFFFFF" w:val="clear"/>
        </w:rPr>
        <w:t>Покупатель</w:t>
      </w:r>
      <w:r>
        <w:rPr>
          <w:sz w:val="24"/>
          <w:szCs w:val="24"/>
          <w:shd w:fill="FFFFFF" w:val="clear"/>
        </w:rPr>
        <w:t>», в лице _________________, действующего на основании ______________, с одной стороны, и</w:t>
      </w:r>
    </w:p>
    <w:p>
      <w:pPr>
        <w:pStyle w:val="Normal"/>
        <w:spacing w:before="0" w:after="120"/>
        <w:ind w:firstLine="567"/>
        <w:jc w:val="both"/>
        <w:rPr>
          <w:highlight w:val="none"/>
          <w:shd w:fill="FFFFFF" w:val="clear"/>
        </w:rPr>
      </w:pPr>
      <w:r>
        <w:rPr>
          <w:b/>
          <w:sz w:val="24"/>
          <w:szCs w:val="24"/>
          <w:shd w:fill="FFFFFF" w:val="clear"/>
        </w:rPr>
        <w:t>________________(___________),</w:t>
      </w:r>
      <w:r>
        <w:rPr>
          <w:sz w:val="24"/>
          <w:szCs w:val="24"/>
          <w:shd w:fill="FFFFFF" w:val="clear"/>
        </w:rPr>
        <w:t xml:space="preserve"> именуемое в дальнейшем «</w:t>
      </w:r>
      <w:r>
        <w:rPr>
          <w:b/>
          <w:sz w:val="24"/>
          <w:szCs w:val="24"/>
          <w:shd w:fill="FFFFFF" w:val="clear"/>
        </w:rPr>
        <w:t>Поставщик</w:t>
      </w:r>
      <w:r>
        <w:rPr>
          <w:sz w:val="24"/>
          <w:szCs w:val="24"/>
          <w:shd w:fill="FFFFFF" w:val="clear"/>
        </w:rPr>
        <w:t xml:space="preserve">», в лице ________________, действующего на основании ______________, с другой стороны, совместно в дальнейшем именуемые «Стороны», а по отдельности – «Сторона», </w:t>
      </w:r>
    </w:p>
    <w:p>
      <w:pPr>
        <w:pStyle w:val="Normal"/>
        <w:tabs>
          <w:tab w:val="clear" w:pos="720"/>
          <w:tab w:val="left" w:pos="567" w:leader="none"/>
        </w:tabs>
        <w:spacing w:before="0" w:after="120"/>
        <w:ind w:firstLine="556"/>
        <w:jc w:val="both"/>
        <w:rPr>
          <w:highlight w:val="none"/>
          <w:shd w:fill="FFFFFF" w:val="clear"/>
        </w:rPr>
      </w:pPr>
      <w:r>
        <w:rPr>
          <w:sz w:val="24"/>
          <w:szCs w:val="24"/>
          <w:shd w:fill="FFFFFF" w:val="clear"/>
        </w:rPr>
        <w:t>по результатам проведенного ____________(</w:t>
      </w:r>
      <w:r>
        <w:rPr>
          <w:i/>
          <w:sz w:val="24"/>
          <w:szCs w:val="24"/>
          <w:shd w:fill="FFFFFF" w:val="clear"/>
        </w:rPr>
        <w:t>указывается закупочная процедура</w:t>
      </w:r>
      <w:r>
        <w:rPr>
          <w:sz w:val="24"/>
          <w:szCs w:val="24"/>
          <w:shd w:fill="FFFFFF" w:val="clear"/>
        </w:rPr>
        <w:t xml:space="preserve">), что подтверждается Протоколом №____ от </w:t>
      </w:r>
      <w:r>
        <w:rPr>
          <w:bCs/>
          <w:sz w:val="24"/>
          <w:szCs w:val="24"/>
          <w:shd w:fill="FFFFFF" w:val="clear"/>
        </w:rPr>
        <w:t>«_____» _________ 20 __ г.,</w:t>
      </w:r>
      <w:r>
        <w:rPr>
          <w:sz w:val="24"/>
          <w:szCs w:val="24"/>
          <w:shd w:fill="FFFFFF" w:val="clear"/>
        </w:rPr>
        <w:t xml:space="preserve"> </w:t>
      </w:r>
    </w:p>
    <w:p>
      <w:pPr>
        <w:pStyle w:val="Normal"/>
        <w:spacing w:before="0" w:after="120"/>
        <w:ind w:firstLine="567"/>
        <w:jc w:val="both"/>
        <w:rPr>
          <w:highlight w:val="none"/>
          <w:shd w:fill="FFFFFF" w:val="clear"/>
        </w:rPr>
      </w:pPr>
      <w:r>
        <w:rPr>
          <w:sz w:val="24"/>
          <w:szCs w:val="24"/>
          <w:shd w:fill="FFFFFF" w:val="clear"/>
        </w:rPr>
        <w:t>заключили настоящий Договор (далее – «Договор») о нижеследующем:</w:t>
      </w:r>
    </w:p>
    <w:p>
      <w:pPr>
        <w:pStyle w:val="Normal"/>
        <w:widowControl w:val="false"/>
        <w:numPr>
          <w:ilvl w:val="0"/>
          <w:numId w:val="6"/>
        </w:numPr>
        <w:shd w:val="clear" w:color="auto" w:fill="FFFFFF"/>
        <w:tabs>
          <w:tab w:val="clear" w:pos="720"/>
          <w:tab w:val="left" w:pos="426" w:leader="none"/>
        </w:tabs>
        <w:spacing w:before="0" w:after="120"/>
        <w:ind w:left="0" w:hanging="0"/>
        <w:jc w:val="center"/>
        <w:rPr>
          <w:highlight w:val="none"/>
          <w:shd w:fill="FFFFFF" w:val="clear"/>
        </w:rPr>
      </w:pPr>
      <w:r>
        <w:rPr>
          <w:b/>
          <w:bCs/>
          <w:sz w:val="24"/>
          <w:szCs w:val="24"/>
          <w:shd w:fill="FFFFFF" w:val="clear"/>
        </w:rPr>
        <w:t>Предмет Договора</w:t>
      </w:r>
    </w:p>
    <w:p>
      <w:pPr>
        <w:pStyle w:val="Title"/>
        <w:numPr>
          <w:ilvl w:val="1"/>
          <w:numId w:val="6"/>
        </w:numPr>
        <w:tabs>
          <w:tab w:val="clear" w:pos="720"/>
          <w:tab w:val="left" w:pos="142" w:leader="none"/>
        </w:tabs>
        <w:spacing w:before="0" w:after="120"/>
        <w:ind w:left="0" w:firstLine="567"/>
        <w:jc w:val="both"/>
        <w:rPr>
          <w:highlight w:val="none"/>
          <w:shd w:fill="FFFFFF" w:val="clear"/>
        </w:rPr>
      </w:pPr>
      <w:r>
        <w:rPr>
          <w:b w:val="false"/>
          <w:sz w:val="24"/>
          <w:shd w:fill="FFFFFF" w:val="clear"/>
        </w:rPr>
        <w:t>Поставщик обязуется передать Покупателю _____________________________ (далее – «Продукция») на условиях, согласованных Сторонами в Договоре, в соответствии со Спецификацией (</w:t>
      </w:r>
      <w:r>
        <w:rPr>
          <w:sz w:val="24"/>
          <w:shd w:fill="FFFFFF" w:val="clear"/>
        </w:rPr>
        <w:t>Приложение № 1</w:t>
      </w:r>
      <w:r>
        <w:rPr>
          <w:b w:val="false"/>
          <w:sz w:val="24"/>
          <w:shd w:fill="FFFFFF" w:val="clear"/>
        </w:rPr>
        <w:t>), а Покупатель обязуется принять и оплатить Продукцию в установленном Договором порядке.</w:t>
      </w:r>
    </w:p>
    <w:p>
      <w:pPr>
        <w:pStyle w:val="Title"/>
        <w:numPr>
          <w:ilvl w:val="1"/>
          <w:numId w:val="6"/>
        </w:numPr>
        <w:shd w:val="clear" w:color="auto" w:fill="FFFFFF"/>
        <w:tabs>
          <w:tab w:val="clear" w:pos="720"/>
          <w:tab w:val="left" w:pos="142" w:leader="none"/>
          <w:tab w:val="left" w:pos="540" w:leader="none"/>
        </w:tabs>
        <w:spacing w:before="120" w:after="120"/>
        <w:ind w:left="0" w:firstLine="567"/>
        <w:jc w:val="both"/>
        <w:rPr>
          <w:highlight w:val="none"/>
          <w:shd w:fill="FFFFFF" w:val="clear"/>
        </w:rPr>
      </w:pPr>
      <w:r>
        <w:rPr>
          <w:b w:val="false"/>
          <w:sz w:val="24"/>
          <w:shd w:fill="FFFFFF" w:val="clear"/>
        </w:rPr>
        <w:t>Поставка осуществляется одной партией.</w:t>
      </w:r>
    </w:p>
    <w:p>
      <w:pPr>
        <w:pStyle w:val="ListParagraph"/>
        <w:numPr>
          <w:ilvl w:val="1"/>
          <w:numId w:val="6"/>
        </w:numPr>
        <w:shd w:val="clear" w:color="auto" w:fill="FFFFFF"/>
        <w:tabs>
          <w:tab w:val="clear" w:pos="720"/>
          <w:tab w:val="left" w:pos="142" w:leader="none"/>
          <w:tab w:val="left" w:pos="540" w:leader="none"/>
        </w:tabs>
        <w:spacing w:before="0" w:after="120"/>
        <w:ind w:left="0" w:firstLine="567"/>
        <w:contextualSpacing w:val="false"/>
        <w:jc w:val="both"/>
        <w:rPr>
          <w:highlight w:val="none"/>
          <w:shd w:fill="FFFFFF" w:val="clear"/>
        </w:rPr>
      </w:pPr>
      <w:r>
        <w:rPr>
          <w:sz w:val="24"/>
          <w:szCs w:val="24"/>
          <w:shd w:fill="FFFFFF" w:val="clear"/>
        </w:rPr>
        <w:t>Поставка по Договору выполняется для нужд Саяно-Шушенского филиала АО «Гидроремонт-ВКК» в п.Черемушки.</w:t>
      </w:r>
    </w:p>
    <w:p>
      <w:pPr>
        <w:pStyle w:val="ListParagraph"/>
        <w:numPr>
          <w:ilvl w:val="1"/>
          <w:numId w:val="6"/>
        </w:numPr>
        <w:shd w:val="clear" w:color="auto" w:fill="FFFFFF"/>
        <w:tabs>
          <w:tab w:val="clear" w:pos="720"/>
          <w:tab w:val="left" w:pos="142" w:leader="none"/>
          <w:tab w:val="left" w:pos="540" w:leader="none"/>
        </w:tabs>
        <w:spacing w:before="0" w:after="120"/>
        <w:ind w:left="0" w:firstLine="567"/>
        <w:contextualSpacing w:val="false"/>
        <w:jc w:val="both"/>
        <w:rPr>
          <w:highlight w:val="none"/>
          <w:shd w:fill="FFFFFF" w:val="clear"/>
        </w:rPr>
      </w:pPr>
      <w:r>
        <w:rPr>
          <w:sz w:val="24"/>
          <w:szCs w:val="24"/>
          <w:shd w:fill="FFFFFF" w:val="clear"/>
        </w:rPr>
        <w:t>Место поставки: РФ, г. ___________, ул._______________, д.____ (далее – «Место поставки»).</w:t>
      </w:r>
    </w:p>
    <w:p>
      <w:pPr>
        <w:pStyle w:val="ListParagraph"/>
        <w:numPr>
          <w:ilvl w:val="1"/>
          <w:numId w:val="6"/>
        </w:numPr>
        <w:shd w:val="clear" w:color="auto" w:fill="FFFFFF"/>
        <w:tabs>
          <w:tab w:val="clear" w:pos="720"/>
          <w:tab w:val="left" w:pos="142" w:leader="none"/>
          <w:tab w:val="left" w:pos="540" w:leader="none"/>
        </w:tabs>
        <w:spacing w:before="0" w:after="120"/>
        <w:ind w:left="0" w:firstLine="567"/>
        <w:contextualSpacing w:val="false"/>
        <w:jc w:val="both"/>
        <w:rPr>
          <w:highlight w:val="none"/>
          <w:shd w:fill="FFFFFF" w:val="clear"/>
        </w:rPr>
      </w:pPr>
      <w:r>
        <w:rPr>
          <w:sz w:val="24"/>
          <w:szCs w:val="24"/>
          <w:shd w:fill="FFFFFF" w:val="clear"/>
        </w:rPr>
        <w:t xml:space="preserve">Срок поставки Продукции по договору: не позднее _____________________. </w:t>
      </w:r>
    </w:p>
    <w:p>
      <w:pPr>
        <w:pStyle w:val="ListParagraph"/>
        <w:shd w:val="clear" w:color="auto" w:fill="FFFFFF"/>
        <w:tabs>
          <w:tab w:val="clear" w:pos="720"/>
          <w:tab w:val="left" w:pos="540" w:leader="none"/>
          <w:tab w:val="left" w:pos="1425" w:leader="none"/>
        </w:tabs>
        <w:spacing w:before="0" w:after="120"/>
        <w:ind w:left="567" w:hanging="0"/>
        <w:contextualSpacing w:val="false"/>
        <w:jc w:val="both"/>
        <w:rPr>
          <w:sz w:val="24"/>
          <w:szCs w:val="24"/>
          <w:highlight w:val="none"/>
          <w:shd w:fill="FFFFFF" w:val="clear"/>
        </w:rPr>
      </w:pPr>
      <w:r>
        <w:rPr>
          <w:sz w:val="24"/>
          <w:szCs w:val="24"/>
          <w:shd w:fill="FFFFFF" w:val="clear"/>
        </w:rPr>
      </w:r>
    </w:p>
    <w:p>
      <w:pPr>
        <w:pStyle w:val="Normal"/>
        <w:widowControl w:val="false"/>
        <w:numPr>
          <w:ilvl w:val="0"/>
          <w:numId w:val="6"/>
        </w:numPr>
        <w:shd w:val="clear" w:color="auto" w:fill="FFFFFF"/>
        <w:tabs>
          <w:tab w:val="clear" w:pos="720"/>
          <w:tab w:val="left" w:pos="426" w:leader="none"/>
        </w:tabs>
        <w:spacing w:before="0" w:after="120"/>
        <w:ind w:left="0" w:hanging="0"/>
        <w:jc w:val="center"/>
        <w:rPr>
          <w:highlight w:val="none"/>
          <w:shd w:fill="FFFFFF" w:val="clear"/>
        </w:rPr>
      </w:pPr>
      <w:r>
        <w:rPr>
          <w:b/>
          <w:sz w:val="24"/>
          <w:szCs w:val="24"/>
          <w:shd w:fill="FFFFFF" w:val="clear"/>
        </w:rPr>
        <w:t>Цена Договора и порядок оплаты</w:t>
      </w:r>
    </w:p>
    <w:p>
      <w:pPr>
        <w:pStyle w:val="ListParagraph"/>
        <w:numPr>
          <w:ilvl w:val="1"/>
          <w:numId w:val="6"/>
        </w:numPr>
        <w:shd w:val="clear" w:color="auto" w:fill="FFFFFF"/>
        <w:tabs>
          <w:tab w:val="clear" w:pos="720"/>
          <w:tab w:val="left" w:pos="0" w:leader="none"/>
          <w:tab w:val="left" w:pos="851" w:leader="none"/>
        </w:tabs>
        <w:spacing w:before="0" w:after="120"/>
        <w:ind w:left="0" w:firstLine="567"/>
        <w:contextualSpacing w:val="false"/>
        <w:jc w:val="both"/>
        <w:rPr>
          <w:highlight w:val="none"/>
          <w:shd w:fill="FFFFFF" w:val="clear"/>
        </w:rPr>
      </w:pPr>
      <w:r>
        <w:rPr>
          <w:sz w:val="24"/>
          <w:szCs w:val="24"/>
          <w:shd w:fill="FFFFFF" w:val="clear"/>
        </w:rPr>
        <w:t>Общая стоимость Продукции (далее – «Цена Договора») по Договору составляет __________(__________________) рублей _____ копеек, в том числе НДС (20 %) в размере ___________(____________) рублей ____ копеек.</w:t>
      </w:r>
      <w:r>
        <w:rPr>
          <w:bCs/>
          <w:szCs w:val="28"/>
          <w:shd w:fill="FFFFFF" w:val="clear"/>
        </w:rPr>
        <w:t xml:space="preserve"> </w:t>
      </w:r>
    </w:p>
    <w:p>
      <w:pPr>
        <w:pStyle w:val="ListParagraph"/>
        <w:numPr>
          <w:ilvl w:val="1"/>
          <w:numId w:val="6"/>
        </w:numPr>
        <w:tabs>
          <w:tab w:val="clear" w:pos="720"/>
          <w:tab w:val="left" w:pos="0" w:leader="none"/>
          <w:tab w:val="left" w:pos="851" w:leader="none"/>
        </w:tabs>
        <w:spacing w:before="0" w:after="120"/>
        <w:ind w:left="0" w:firstLine="567"/>
        <w:contextualSpacing w:val="false"/>
        <w:jc w:val="both"/>
        <w:rPr>
          <w:highlight w:val="none"/>
          <w:shd w:fill="FFFFFF" w:val="clear"/>
        </w:rPr>
      </w:pPr>
      <w:r>
        <w:rPr>
          <w:sz w:val="24"/>
          <w:szCs w:val="24"/>
          <w:shd w:fill="FFFFFF" w:val="clear"/>
        </w:rPr>
        <w:t xml:space="preserve">Цена Договора включает в себя: </w:t>
      </w:r>
    </w:p>
    <w:p>
      <w:pPr>
        <w:pStyle w:val="ListParagraph"/>
        <w:numPr>
          <w:ilvl w:val="2"/>
          <w:numId w:val="6"/>
        </w:numPr>
        <w:tabs>
          <w:tab w:val="clear" w:pos="720"/>
          <w:tab w:val="left" w:pos="0" w:leader="none"/>
          <w:tab w:val="left" w:pos="851" w:leader="none"/>
        </w:tabs>
        <w:spacing w:before="0" w:after="120"/>
        <w:ind w:left="0" w:firstLine="567"/>
        <w:contextualSpacing w:val="false"/>
        <w:jc w:val="both"/>
        <w:rPr>
          <w:highlight w:val="none"/>
          <w:shd w:fill="FFFFFF" w:val="clear"/>
        </w:rPr>
      </w:pPr>
      <w:r>
        <w:rPr>
          <w:color w:val="000000"/>
          <w:sz w:val="24"/>
          <w:szCs w:val="24"/>
          <w:shd w:fill="FFFFFF" w:val="clear"/>
        </w:rPr>
        <w:t>Стоимость Продукции.</w:t>
      </w:r>
    </w:p>
    <w:p>
      <w:pPr>
        <w:pStyle w:val="Normal"/>
        <w:tabs>
          <w:tab w:val="clear" w:pos="720"/>
          <w:tab w:val="left" w:pos="0" w:leader="none"/>
          <w:tab w:val="left" w:pos="851" w:leader="none"/>
        </w:tabs>
        <w:spacing w:before="0" w:after="120"/>
        <w:jc w:val="both"/>
        <w:rPr>
          <w:highlight w:val="none"/>
          <w:shd w:fill="FFFFFF" w:val="clear"/>
        </w:rPr>
      </w:pPr>
      <w:r>
        <w:rPr>
          <w:bCs/>
          <w:sz w:val="24"/>
          <w:szCs w:val="24"/>
          <w:shd w:fill="FFFFFF" w:val="clear"/>
        </w:rPr>
        <w:tab/>
        <w:t xml:space="preserve">Цена Договора включает в себя прибыль Поставщика, а также расходы Поставщика на производство или приобретение, транспортировку Продукции до Места поставки, погрузку, разгрузку, перемещение по территории Покупателя, стоимость тары и упаковки, лицензий, сертификации, паспортизации, испытаний, необходимых для использования Продукции (если применимо), </w:t>
      </w:r>
      <w:r>
        <w:rPr>
          <w:sz w:val="24"/>
          <w:szCs w:val="24"/>
          <w:shd w:fill="FFFFFF" w:val="clear"/>
        </w:rPr>
        <w:t xml:space="preserve">подлежащие уплате налоги, сборы и пошлины (в т.ч. по таможенному оформлению, если применимо), </w:t>
      </w:r>
      <w:r>
        <w:rPr>
          <w:bCs/>
          <w:sz w:val="24"/>
          <w:szCs w:val="24"/>
          <w:shd w:fill="FFFFFF" w:val="clear"/>
        </w:rPr>
        <w:t xml:space="preserve">а также </w:t>
      </w:r>
      <w:r>
        <w:rPr>
          <w:sz w:val="24"/>
          <w:szCs w:val="24"/>
          <w:shd w:fill="FFFFFF" w:val="clear"/>
        </w:rPr>
        <w:t xml:space="preserve">все прочие затраты и расходы Поставщика, в том числе страхование груза, получение разрешений и другие сборы связанные с поставкой Продукции и исполнением иных обязательств по Договору. </w:t>
      </w:r>
    </w:p>
    <w:p>
      <w:pPr>
        <w:pStyle w:val="ListParagraph"/>
        <w:numPr>
          <w:ilvl w:val="1"/>
          <w:numId w:val="6"/>
        </w:numPr>
        <w:shd w:val="clear" w:color="auto" w:fill="FFFFFF"/>
        <w:tabs>
          <w:tab w:val="clear" w:pos="720"/>
          <w:tab w:val="left" w:pos="0" w:leader="none"/>
          <w:tab w:val="left" w:pos="851" w:leader="none"/>
        </w:tabs>
        <w:spacing w:before="0" w:after="120"/>
        <w:ind w:left="0" w:firstLine="567"/>
        <w:contextualSpacing w:val="false"/>
        <w:jc w:val="both"/>
        <w:rPr>
          <w:highlight w:val="none"/>
          <w:shd w:fill="FFFFFF" w:val="clear"/>
        </w:rPr>
      </w:pPr>
      <w:r>
        <w:rPr>
          <w:sz w:val="24"/>
          <w:szCs w:val="24"/>
          <w:shd w:fill="FFFFFF" w:val="clear"/>
        </w:rPr>
        <w:t>Стоимость Продукции является фиксированной и не подлежит изменению.</w:t>
      </w:r>
    </w:p>
    <w:p>
      <w:pPr>
        <w:pStyle w:val="ListParagraph"/>
        <w:numPr>
          <w:ilvl w:val="1"/>
          <w:numId w:val="6"/>
        </w:numPr>
        <w:shd w:val="clear" w:color="auto" w:fill="FFFFFF"/>
        <w:tabs>
          <w:tab w:val="clear" w:pos="720"/>
          <w:tab w:val="left" w:pos="0" w:leader="none"/>
          <w:tab w:val="left" w:pos="851" w:leader="none"/>
        </w:tabs>
        <w:spacing w:before="0" w:after="120"/>
        <w:ind w:left="0" w:firstLine="567"/>
        <w:contextualSpacing w:val="false"/>
        <w:jc w:val="both"/>
        <w:rPr>
          <w:highlight w:val="none"/>
          <w:shd w:fill="FFFFFF" w:val="clear"/>
        </w:rPr>
      </w:pPr>
      <w:r>
        <w:rPr>
          <w:sz w:val="24"/>
          <w:szCs w:val="24"/>
          <w:shd w:fill="FFFFFF" w:val="clear"/>
        </w:rPr>
        <w:t xml:space="preserve">Стоимость единицы Продукции определяется Спецификацией (Приложение № 1). </w:t>
      </w:r>
    </w:p>
    <w:p>
      <w:pPr>
        <w:pStyle w:val="ListParagraph"/>
        <w:numPr>
          <w:ilvl w:val="1"/>
          <w:numId w:val="6"/>
        </w:numPr>
        <w:shd w:val="clear" w:color="auto" w:fill="FFFFFF"/>
        <w:tabs>
          <w:tab w:val="clear" w:pos="720"/>
          <w:tab w:val="left" w:pos="0" w:leader="none"/>
          <w:tab w:val="left" w:pos="851" w:leader="none"/>
        </w:tabs>
        <w:spacing w:before="0" w:after="120"/>
        <w:ind w:left="0" w:firstLine="567"/>
        <w:contextualSpacing w:val="false"/>
        <w:jc w:val="both"/>
        <w:rPr>
          <w:highlight w:val="none"/>
          <w:shd w:fill="FFFFFF" w:val="clear"/>
        </w:rPr>
      </w:pPr>
      <w:r>
        <w:rPr>
          <w:sz w:val="24"/>
          <w:szCs w:val="24"/>
          <w:shd w:fill="FFFFFF" w:val="clear"/>
        </w:rPr>
        <w:t xml:space="preserve">Оплата в соответствии с Договором осуществляется следующим образом: </w:t>
      </w:r>
    </w:p>
    <w:p>
      <w:pPr>
        <w:pStyle w:val="Normal"/>
        <w:shd w:val="clear" w:color="auto" w:fill="FFFFFF"/>
        <w:tabs>
          <w:tab w:val="clear" w:pos="720"/>
          <w:tab w:val="left" w:pos="567" w:leader="none"/>
          <w:tab w:val="left" w:pos="1440" w:leader="none"/>
        </w:tabs>
        <w:spacing w:before="0" w:after="120"/>
        <w:jc w:val="both"/>
        <w:rPr>
          <w:highlight w:val="none"/>
          <w:shd w:fill="FFFFFF" w:val="clear"/>
        </w:rPr>
      </w:pPr>
      <w:r>
        <w:rPr>
          <w:sz w:val="24"/>
          <w:szCs w:val="24"/>
          <w:shd w:fill="FFFFFF" w:val="clear"/>
        </w:rPr>
        <w:tab/>
        <w:t>2.5.1. Авансовый платеж в размере 30 % (тридцати процентов) от Цены Договора  выплачивается в срок, не превышающий 30 (тридцать) календарных дней с даты получения Покупателем счета, выставленного Поставщиком, но не ранее 30 (тридцати) календарных дней до даты поставки Продукции.</w:t>
      </w:r>
    </w:p>
    <w:p>
      <w:pPr>
        <w:pStyle w:val="Normal"/>
        <w:shd w:val="clear" w:color="auto" w:fill="FFFFFF"/>
        <w:tabs>
          <w:tab w:val="clear" w:pos="720"/>
          <w:tab w:val="left" w:pos="567" w:leader="none"/>
          <w:tab w:val="left" w:pos="1440" w:leader="none"/>
        </w:tabs>
        <w:spacing w:before="0" w:after="120"/>
        <w:jc w:val="both"/>
        <w:rPr>
          <w:highlight w:val="none"/>
          <w:shd w:fill="FFFFFF" w:val="clear"/>
        </w:rPr>
      </w:pPr>
      <w:r>
        <w:rPr>
          <w:sz w:val="24"/>
          <w:szCs w:val="24"/>
          <w:shd w:fill="FFFFFF" w:val="clear"/>
        </w:rPr>
        <w:tab/>
        <w:t xml:space="preserve">2.5.2.  Платеж в размере 60 % (шестидесяти процентов) от стоимости поставленной Продукции, согласно Спецификации </w:t>
      </w:r>
      <w:bookmarkStart w:id="0" w:name="_GoBack"/>
      <w:bookmarkEnd w:id="0"/>
      <w:r>
        <w:rPr>
          <w:sz w:val="24"/>
          <w:szCs w:val="24"/>
          <w:shd w:fill="FFFFFF" w:val="clear"/>
        </w:rPr>
        <w:t>(Приложение № 1), производится Покупателем в течение 30 (тридцати) календарных дней / 7 (семи) рабочих дней</w:t>
      </w:r>
      <w:r>
        <w:rPr>
          <w:rStyle w:val="FootnoteReference"/>
          <w:sz w:val="24"/>
          <w:szCs w:val="24"/>
          <w:shd w:fill="FFFFFF" w:val="clear"/>
        </w:rPr>
        <w:footnoteReference w:id="2"/>
      </w:r>
      <w:r>
        <w:rPr>
          <w:sz w:val="24"/>
          <w:szCs w:val="24"/>
          <w:shd w:fill="FFFFFF" w:val="clear"/>
        </w:rPr>
        <w:t xml:space="preserve"> с даты подписания Товарной накладной по форме ТОРГ-12 или Универсального передаточного документа (УПД) на Продукцию, при условии получении счета, выставленного Поставщиком с учетом п. 2.6 Договора. При этом в счетах на оплату, выставленных Поставщиком, должна быть отдельно выделена сумма обеспечительного платежа.</w:t>
      </w:r>
    </w:p>
    <w:p>
      <w:pPr>
        <w:pStyle w:val="Normal"/>
        <w:shd w:val="clear" w:color="auto" w:fill="FFFFFF"/>
        <w:tabs>
          <w:tab w:val="clear" w:pos="720"/>
          <w:tab w:val="left" w:pos="567" w:leader="none"/>
          <w:tab w:val="left" w:pos="1440" w:leader="none"/>
        </w:tabs>
        <w:spacing w:before="0" w:after="120"/>
        <w:jc w:val="both"/>
        <w:rPr>
          <w:highlight w:val="none"/>
          <w:shd w:fill="FFFFFF" w:val="clear"/>
        </w:rPr>
      </w:pPr>
      <w:r>
        <w:rPr>
          <w:sz w:val="24"/>
          <w:szCs w:val="24"/>
          <w:shd w:fill="FFFFFF" w:val="clear"/>
        </w:rPr>
        <w:tab/>
        <w:t xml:space="preserve">2.5.3. Обеспечительный платеж в размере 10 % (десяти процентов) от стоимости Продукции производится в течение 70 (семидесяти) календарных дней с даты исполнения Поставщиком всех обязательств по Договору при отсутствии претензий и требований со стороны Покупателя и с учетом п.2.6. Договора на основании счета, выставленного Поставщиком. </w:t>
      </w:r>
    </w:p>
    <w:p>
      <w:pPr>
        <w:pStyle w:val="Normal"/>
        <w:jc w:val="both"/>
        <w:rPr>
          <w:highlight w:val="none"/>
          <w:shd w:fill="FFFFFF" w:val="clear"/>
        </w:rPr>
      </w:pPr>
      <w:r>
        <w:rPr>
          <w:sz w:val="23"/>
          <w:szCs w:val="23"/>
          <w:shd w:fill="FFFFFF" w:val="clear"/>
        </w:rPr>
        <w:t xml:space="preserve">         </w:t>
      </w:r>
      <w:r>
        <w:rPr>
          <w:sz w:val="23"/>
          <w:szCs w:val="23"/>
          <w:shd w:fill="FFFFFF" w:val="clear"/>
        </w:rPr>
        <w:t xml:space="preserve">2.5.4. </w:t>
      </w:r>
      <w:r>
        <w:rPr>
          <w:sz w:val="24"/>
          <w:szCs w:val="24"/>
          <w:shd w:fill="FFFFFF" w:val="clear"/>
        </w:rPr>
        <w:t>Если сумма авансового платежа по Договору составляет 5 000 000 (пять миллионов) рублей и более (без учета НДС) Поставщик в срок не позднее 3 (трех) рабочих дней до предполагаемой даты выплаты авансового платежа, предоставляет обеспечение исполнения обязательств по возврату предварительной оплаты (аванса)</w:t>
      </w:r>
      <w:r>
        <w:rPr>
          <w:sz w:val="24"/>
          <w:shd w:fill="FFFFFF" w:val="clear"/>
          <w:vertAlign w:val="superscript"/>
        </w:rPr>
        <w:t xml:space="preserve"> </w:t>
      </w:r>
      <w:r>
        <w:rPr>
          <w:sz w:val="24"/>
          <w:szCs w:val="24"/>
          <w:shd w:fill="FFFFFF" w:val="clear"/>
        </w:rPr>
        <w:t xml:space="preserve">в виде </w:t>
      </w:r>
      <w:r>
        <w:rPr>
          <w:sz w:val="24"/>
          <w:szCs w:val="24"/>
          <w:shd w:fill="FFFFFF" w:val="clear"/>
        </w:rPr>
        <w:t>банковской</w:t>
      </w:r>
      <w:r>
        <w:rPr>
          <w:sz w:val="24"/>
          <w:szCs w:val="24"/>
          <w:shd w:fill="FFFFFF" w:val="clear"/>
        </w:rPr>
        <w:t xml:space="preserve"> гарантии, оформленной в соответствии с требованиями Приложения № 2 к Договору.</w:t>
      </w:r>
    </w:p>
    <w:p>
      <w:pPr>
        <w:pStyle w:val="Normal"/>
        <w:jc w:val="both"/>
        <w:rPr>
          <w:highlight w:val="none"/>
          <w:shd w:fill="FFFFFF" w:val="clear"/>
        </w:rPr>
      </w:pPr>
      <w:r>
        <w:rPr>
          <w:sz w:val="24"/>
          <w:szCs w:val="24"/>
          <w:shd w:fill="FFFFFF" w:val="clear"/>
        </w:rPr>
        <w:tab/>
        <w:t xml:space="preserve">В случае отзыва лицензии Банка-Гаранта </w:t>
      </w:r>
      <w:r>
        <w:rPr>
          <w:sz w:val="24"/>
          <w:szCs w:val="24"/>
          <w:shd w:fill="FFFFFF" w:val="clear"/>
        </w:rPr>
        <w:t>банковской</w:t>
      </w:r>
      <w:r>
        <w:rPr>
          <w:sz w:val="24"/>
          <w:szCs w:val="24"/>
          <w:shd w:fill="FFFFFF" w:val="clear"/>
        </w:rPr>
        <w:t xml:space="preserve"> гарантия в обеспечение возврата предварительной оплаты (аванса) должна быть заменена на новую </w:t>
      </w:r>
      <w:r>
        <w:rPr>
          <w:sz w:val="24"/>
          <w:szCs w:val="24"/>
          <w:shd w:fill="FFFFFF" w:val="clear"/>
        </w:rPr>
        <w:t>банковскую</w:t>
      </w:r>
      <w:r>
        <w:rPr>
          <w:sz w:val="24"/>
          <w:szCs w:val="24"/>
          <w:shd w:fill="FFFFFF" w:val="clear"/>
        </w:rPr>
        <w:t xml:space="preserve"> гарантию другого Банка-Гаранта в течение 30 (тридцати) календарных дней с даты отзыва лицензии Банка-Гаранта. </w:t>
      </w:r>
    </w:p>
    <w:p>
      <w:pPr>
        <w:pStyle w:val="Normal"/>
        <w:shd w:val="clear" w:color="auto" w:fill="FFFFFF"/>
        <w:tabs>
          <w:tab w:val="clear" w:pos="720"/>
          <w:tab w:val="left" w:pos="567" w:leader="none"/>
          <w:tab w:val="left" w:pos="1440" w:leader="none"/>
        </w:tabs>
        <w:spacing w:before="0" w:after="120"/>
        <w:jc w:val="both"/>
        <w:rPr>
          <w:highlight w:val="none"/>
          <w:shd w:fill="FFFFFF" w:val="clear"/>
        </w:rPr>
      </w:pPr>
      <w:r>
        <w:rPr>
          <w:sz w:val="24"/>
          <w:szCs w:val="24"/>
          <w:shd w:fill="FFFFFF" w:val="clear"/>
        </w:rPr>
        <w:tab/>
        <w:t xml:space="preserve">В случае непредставления Поставщиком в установленный срок новой </w:t>
      </w:r>
      <w:r>
        <w:rPr>
          <w:sz w:val="24"/>
          <w:szCs w:val="24"/>
          <w:shd w:fill="FFFFFF" w:val="clear"/>
        </w:rPr>
        <w:t>банковской</w:t>
      </w:r>
      <w:r>
        <w:rPr>
          <w:sz w:val="24"/>
          <w:szCs w:val="24"/>
          <w:shd w:fill="FFFFFF" w:val="clear"/>
        </w:rPr>
        <w:t xml:space="preserve">  гарантии Покупатель вправе удерживать сумму неотработанного аванса при выплате каждого платежа, причитающегося Поставщику, до полного зачета неотработанного аванса.</w:t>
      </w:r>
    </w:p>
    <w:p>
      <w:pPr>
        <w:pStyle w:val="Normal"/>
        <w:shd w:val="clear" w:color="auto" w:fill="FFFFFF"/>
        <w:tabs>
          <w:tab w:val="clear" w:pos="720"/>
          <w:tab w:val="left" w:pos="567" w:leader="none"/>
          <w:tab w:val="left" w:pos="1440" w:leader="none"/>
        </w:tabs>
        <w:jc w:val="both"/>
        <w:rPr>
          <w:highlight w:val="none"/>
          <w:shd w:fill="FFFFFF" w:val="clear"/>
        </w:rPr>
      </w:pPr>
      <w:r>
        <w:rPr>
          <w:sz w:val="24"/>
          <w:szCs w:val="24"/>
          <w:shd w:fill="FFFFFF" w:val="clear"/>
        </w:rPr>
        <w:tab/>
        <w:t xml:space="preserve">За не предоставление либо несвоевременное предоставление/ переоформление Поставщиком </w:t>
      </w:r>
      <w:r>
        <w:rPr>
          <w:sz w:val="24"/>
          <w:szCs w:val="24"/>
          <w:shd w:fill="FFFFFF" w:val="clear"/>
        </w:rPr>
        <w:t>банковской</w:t>
      </w:r>
      <w:r>
        <w:rPr>
          <w:sz w:val="24"/>
          <w:szCs w:val="24"/>
          <w:shd w:fill="FFFFFF" w:val="clear"/>
        </w:rPr>
        <w:t xml:space="preserve"> гарантии, предусмотренной Договором, Покупатель вправе потребовать уплаты Поставщиком неустойки в размере 0,03 (ноль целых и три сотых) процента от Цены Договора за каждый день просрочки.</w:t>
      </w:r>
    </w:p>
    <w:p>
      <w:pPr>
        <w:pStyle w:val="ListParagraph"/>
        <w:numPr>
          <w:ilvl w:val="1"/>
          <w:numId w:val="6"/>
        </w:numPr>
        <w:shd w:val="clear" w:color="auto" w:fill="FFFFFF"/>
        <w:tabs>
          <w:tab w:val="clear" w:pos="720"/>
          <w:tab w:val="left" w:pos="0" w:leader="none"/>
          <w:tab w:val="left" w:pos="480" w:leader="none"/>
          <w:tab w:val="left" w:pos="851" w:leader="none"/>
        </w:tabs>
        <w:spacing w:before="0" w:after="120"/>
        <w:ind w:left="0" w:firstLine="567"/>
        <w:contextualSpacing w:val="false"/>
        <w:jc w:val="both"/>
        <w:rPr>
          <w:highlight w:val="none"/>
          <w:shd w:fill="FFFFFF" w:val="clear"/>
        </w:rPr>
      </w:pPr>
      <w:r>
        <w:rPr>
          <w:sz w:val="24"/>
          <w:szCs w:val="24"/>
          <w:shd w:fill="FFFFFF" w:val="clear"/>
        </w:rPr>
        <w:t xml:space="preserve"> </w:t>
      </w:r>
      <w:r>
        <w:rPr>
          <w:sz w:val="24"/>
          <w:szCs w:val="24"/>
          <w:shd w:fill="FFFFFF" w:val="clear"/>
        </w:rPr>
        <w:t>В случае выставления Поставщиком счета на сумму меньшую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большую размера предусмотренного Договором платежа, счет к оплате не принимается и должен быть заменен Поставщиком независимо от его фактического вручения Покупателю. В случае получения Покупателем счета Поставщика позднее чем за 10 (Десять) календарных дней до истечения определенного в Договоре срока на оплату, оплата по счету Поставщика осуществляется в течение 10 (Десяти) календарных дней с даты его получения Покупателем.</w:t>
      </w:r>
    </w:p>
    <w:p>
      <w:pPr>
        <w:pStyle w:val="Normal"/>
        <w:widowControl w:val="false"/>
        <w:numPr>
          <w:ilvl w:val="1"/>
          <w:numId w:val="6"/>
        </w:numPr>
        <w:shd w:val="clear" w:color="auto" w:fill="FFFFFF"/>
        <w:tabs>
          <w:tab w:val="clear" w:pos="720"/>
          <w:tab w:val="left" w:pos="1134" w:leader="none"/>
          <w:tab w:val="left" w:pos="1283" w:leader="none"/>
        </w:tabs>
        <w:ind w:left="0" w:firstLine="567"/>
        <w:jc w:val="both"/>
        <w:rPr>
          <w:highlight w:val="none"/>
          <w:shd w:fill="FFFFFF" w:val="clear"/>
        </w:rPr>
      </w:pPr>
      <w:r>
        <w:rPr>
          <w:sz w:val="24"/>
          <w:szCs w:val="24"/>
          <w:shd w:fill="FFFFFF" w:val="clear"/>
        </w:rPr>
        <w:t>Оплата производится в валюте Российской Федерации на расчетный счет Поставщика, указанный в Договоре. Обязательство Покупателя по осуществлению платежа считается исполненным с момента списания денежных средств с расчетного счета Покупателя.</w:t>
      </w:r>
    </w:p>
    <w:p>
      <w:pPr>
        <w:pStyle w:val="ListParagraph"/>
        <w:numPr>
          <w:ilvl w:val="1"/>
          <w:numId w:val="6"/>
        </w:numPr>
        <w:shd w:val="clear" w:color="auto" w:fill="FFFFFF"/>
        <w:tabs>
          <w:tab w:val="clear" w:pos="720"/>
          <w:tab w:val="left" w:pos="0" w:leader="none"/>
          <w:tab w:val="left" w:pos="480" w:leader="none"/>
          <w:tab w:val="left" w:pos="851" w:leader="none"/>
        </w:tabs>
        <w:spacing w:before="0" w:after="120"/>
        <w:ind w:left="0" w:firstLine="567"/>
        <w:contextualSpacing w:val="false"/>
        <w:jc w:val="both"/>
        <w:rPr>
          <w:highlight w:val="none"/>
          <w:shd w:fill="FFFFFF" w:val="clear"/>
        </w:rPr>
      </w:pPr>
      <w:r>
        <w:rPr>
          <w:sz w:val="24"/>
          <w:szCs w:val="24"/>
          <w:shd w:fill="FFFFFF" w:val="clear"/>
        </w:rPr>
        <w:t>По соглашению сторон возможны иные формы расчетов, не противоречащие законодательству Российской Федерации.</w:t>
      </w:r>
    </w:p>
    <w:p>
      <w:pPr>
        <w:pStyle w:val="Normal"/>
        <w:widowControl w:val="false"/>
        <w:numPr>
          <w:ilvl w:val="1"/>
          <w:numId w:val="6"/>
        </w:numPr>
        <w:shd w:val="clear" w:color="auto" w:fill="FFFFFF"/>
        <w:tabs>
          <w:tab w:val="clear" w:pos="720"/>
          <w:tab w:val="left" w:pos="1134" w:leader="none"/>
          <w:tab w:val="left" w:pos="1283" w:leader="none"/>
        </w:tabs>
        <w:ind w:left="0" w:firstLine="567"/>
        <w:jc w:val="both"/>
        <w:rPr>
          <w:highlight w:val="none"/>
          <w:shd w:fill="FFFFFF" w:val="clear"/>
        </w:rPr>
      </w:pPr>
      <w:r>
        <w:rPr>
          <w:sz w:val="24"/>
          <w:szCs w:val="24"/>
          <w:shd w:fill="FFFFFF" w:val="clear"/>
        </w:rPr>
        <w:t xml:space="preserve">Поставщик обязан представить Покупателю счета-фактуры </w:t>
      </w:r>
      <w:r>
        <w:rPr>
          <w:color w:val="000000"/>
          <w:sz w:val="24"/>
          <w:szCs w:val="24"/>
          <w:shd w:fill="FFFFFF" w:val="clear"/>
        </w:rPr>
        <w:t>(УПД)</w:t>
      </w:r>
      <w:r>
        <w:rPr>
          <w:sz w:val="24"/>
          <w:szCs w:val="24"/>
          <w:shd w:fill="FFFFFF" w:val="clear"/>
        </w:rPr>
        <w:t xml:space="preserve">, выставленные в сроки и оформленные в порядке, установленном законодательством Российской Федерации. В случае нарушения Поставщиком требований к оформлению счетов-фактур </w:t>
      </w:r>
      <w:r>
        <w:rPr>
          <w:color w:val="000000"/>
          <w:sz w:val="24"/>
          <w:szCs w:val="24"/>
          <w:shd w:fill="FFFFFF" w:val="clear"/>
        </w:rPr>
        <w:t>(УПД)</w:t>
      </w:r>
      <w:r>
        <w:rPr>
          <w:sz w:val="24"/>
          <w:szCs w:val="24"/>
          <w:shd w:fill="FFFFFF" w:val="clear"/>
        </w:rPr>
        <w:t xml:space="preserve">, он обязан произвести замену счета-фактуры  </w:t>
      </w:r>
      <w:r>
        <w:rPr>
          <w:color w:val="000000"/>
          <w:sz w:val="24"/>
          <w:szCs w:val="24"/>
          <w:shd w:fill="FFFFFF" w:val="clear"/>
        </w:rPr>
        <w:t>(УПД)</w:t>
      </w:r>
      <w:r>
        <w:rPr>
          <w:sz w:val="24"/>
          <w:szCs w:val="24"/>
          <w:shd w:fill="FFFFFF" w:val="clear"/>
        </w:rPr>
        <w:t xml:space="preserve">в течение 3 (трех) рабочих дней с даты получения соответствующего письменного требования Покупателя. В случае непредставления Поставщиком в течение 5 (пяти) </w:t>
      </w:r>
      <w:bookmarkStart w:id="1" w:name="_Hlk130023344"/>
      <w:r>
        <w:rPr>
          <w:sz w:val="24"/>
          <w:szCs w:val="24"/>
          <w:shd w:fill="FFFFFF" w:val="clear"/>
        </w:rPr>
        <w:t xml:space="preserve">календарных </w:t>
      </w:r>
      <w:bookmarkEnd w:id="1"/>
      <w:r>
        <w:rPr>
          <w:sz w:val="24"/>
          <w:szCs w:val="24"/>
          <w:shd w:fill="FFFFFF" w:val="clear"/>
        </w:rPr>
        <w:t xml:space="preserve">дней с даты получения авансового платежа счета-фактуры </w:t>
      </w:r>
      <w:r>
        <w:rPr>
          <w:color w:val="000000"/>
          <w:sz w:val="24"/>
          <w:szCs w:val="24"/>
          <w:shd w:fill="FFFFFF" w:val="clear"/>
        </w:rPr>
        <w:t>(УПД)</w:t>
      </w:r>
      <w:r>
        <w:rPr>
          <w:sz w:val="24"/>
          <w:szCs w:val="24"/>
          <w:shd w:fill="FFFFFF" w:val="clear"/>
        </w:rPr>
        <w:t>, подтверждающего право Покупателя на вычет НДС, уплаченного дополнительно к такому авансу, Поставщик обязан в тот же срок возвратить Покупателю разницу между суммой, фактически перечисленной Покупателем, и суммой соответствующего авансового платежа, взятого без учета НДС.</w:t>
      </w:r>
    </w:p>
    <w:p>
      <w:pPr>
        <w:pStyle w:val="ListParagraph"/>
        <w:numPr>
          <w:ilvl w:val="1"/>
          <w:numId w:val="6"/>
        </w:numPr>
        <w:tabs>
          <w:tab w:val="clear" w:pos="720"/>
          <w:tab w:val="left" w:pos="0" w:leader="none"/>
          <w:tab w:val="left" w:pos="851" w:leader="none"/>
        </w:tabs>
        <w:spacing w:before="0" w:after="120"/>
        <w:ind w:left="0" w:firstLine="567"/>
        <w:contextualSpacing w:val="false"/>
        <w:jc w:val="both"/>
        <w:rPr>
          <w:highlight w:val="none"/>
          <w:shd w:fill="FFFFFF" w:val="clear"/>
        </w:rPr>
      </w:pPr>
      <w:r>
        <w:rPr>
          <w:sz w:val="24"/>
          <w:szCs w:val="24"/>
          <w:shd w:fill="FFFFFF" w:val="clear"/>
        </w:rPr>
        <w:t xml:space="preserve">Если имеются нарушения со стороны Поставщика и Покупатель выставил ему счет на оплату неустойки, то Покупатель вправе удержать платеж в части или полностью, не доплатить Поставщику на сумму неустойки. </w:t>
      </w:r>
    </w:p>
    <w:p>
      <w:pPr>
        <w:pStyle w:val="ListParagraph"/>
        <w:numPr>
          <w:ilvl w:val="1"/>
          <w:numId w:val="6"/>
        </w:numPr>
        <w:tabs>
          <w:tab w:val="clear" w:pos="720"/>
          <w:tab w:val="left" w:pos="0" w:leader="none"/>
          <w:tab w:val="left" w:pos="851" w:leader="none"/>
        </w:tabs>
        <w:spacing w:before="0" w:after="120"/>
        <w:ind w:left="0" w:firstLine="567"/>
        <w:contextualSpacing w:val="false"/>
        <w:jc w:val="both"/>
        <w:rPr>
          <w:highlight w:val="none"/>
          <w:shd w:fill="FFFFFF" w:val="clear"/>
        </w:rPr>
      </w:pPr>
      <w:r>
        <w:rPr>
          <w:sz w:val="24"/>
          <w:szCs w:val="24"/>
          <w:shd w:fill="FFFFFF" w:val="clear"/>
        </w:rPr>
        <w:t xml:space="preserve">Любые и все дополнительные расходы и издержки, понесенные Поставщиком в результате задержки со стороны Покупателя на единовременный период до 30 (Тридцати) дней или совокупной длительностью до 90 (Девяноста) дней, считаются включенными в цену Договора, даже если задержка произошла по вине Покупателя. Просрочка исполнения Покупателем своих обязательств по настоящему Договору на единовременный период до 30 (Тридцати) дней или совокупной длительностью до 90 (Девяноста) дней не предоставляет Поставщику право на соразмерное продление срока исполнения своих обязательств по настоящему Договору. </w:t>
      </w:r>
    </w:p>
    <w:p>
      <w:pPr>
        <w:pStyle w:val="Normal"/>
        <w:tabs>
          <w:tab w:val="clear" w:pos="720"/>
          <w:tab w:val="left" w:pos="0" w:leader="none"/>
          <w:tab w:val="left" w:pos="851" w:leader="none"/>
        </w:tabs>
        <w:spacing w:before="0" w:after="120"/>
        <w:ind w:firstLine="567"/>
        <w:jc w:val="both"/>
        <w:rPr>
          <w:highlight w:val="none"/>
          <w:shd w:fill="FFFFFF" w:val="clear"/>
        </w:rPr>
      </w:pPr>
      <w:r>
        <w:rPr>
          <w:sz w:val="24"/>
          <w:szCs w:val="24"/>
          <w:shd w:fill="FFFFFF" w:val="clear"/>
        </w:rPr>
        <w:t>Поставщик будет иметь право на соразмерное продление срока исполнения своих обязательств, получение компенсации всех разумных и надлежащим образом документально подтвержденных дополнительных расходов, обоснованно понесенных им в результате любой задержки, исключительно при наличии одновременно следующих условий:</w:t>
      </w:r>
    </w:p>
    <w:p>
      <w:pPr>
        <w:pStyle w:val="Normal"/>
        <w:numPr>
          <w:ilvl w:val="0"/>
          <w:numId w:val="7"/>
        </w:numPr>
        <w:tabs>
          <w:tab w:val="clear" w:pos="720"/>
          <w:tab w:val="left" w:pos="0" w:leader="none"/>
          <w:tab w:val="left" w:pos="851" w:leader="none"/>
          <w:tab w:val="left" w:pos="993" w:leader="none"/>
        </w:tabs>
        <w:spacing w:before="0" w:after="120"/>
        <w:ind w:left="0" w:firstLine="567"/>
        <w:jc w:val="both"/>
        <w:rPr>
          <w:highlight w:val="none"/>
          <w:shd w:fill="FFFFFF" w:val="clear"/>
        </w:rPr>
      </w:pPr>
      <w:r>
        <w:rPr>
          <w:sz w:val="24"/>
          <w:szCs w:val="24"/>
          <w:shd w:fill="FFFFFF" w:val="clear"/>
        </w:rPr>
        <w:t>срок задержки составляет единовременно 31 (Тридцать один) день или в совокупности 91 (Девяносто один) день и более;</w:t>
      </w:r>
    </w:p>
    <w:p>
      <w:pPr>
        <w:pStyle w:val="Normal"/>
        <w:numPr>
          <w:ilvl w:val="0"/>
          <w:numId w:val="7"/>
        </w:numPr>
        <w:tabs>
          <w:tab w:val="clear" w:pos="720"/>
          <w:tab w:val="left" w:pos="0" w:leader="none"/>
          <w:tab w:val="left" w:pos="851" w:leader="none"/>
          <w:tab w:val="left" w:pos="993" w:leader="none"/>
        </w:tabs>
        <w:spacing w:before="0" w:after="120"/>
        <w:ind w:left="0" w:firstLine="567"/>
        <w:jc w:val="both"/>
        <w:rPr>
          <w:highlight w:val="none"/>
          <w:shd w:fill="FFFFFF" w:val="clear"/>
        </w:rPr>
      </w:pPr>
      <w:r>
        <w:rPr>
          <w:sz w:val="24"/>
          <w:szCs w:val="24"/>
          <w:shd w:fill="FFFFFF" w:val="clear"/>
        </w:rPr>
        <w:t>такие задержки происходят по вине Покупателя;</w:t>
      </w:r>
    </w:p>
    <w:p>
      <w:pPr>
        <w:pStyle w:val="Normal"/>
        <w:numPr>
          <w:ilvl w:val="0"/>
          <w:numId w:val="7"/>
        </w:numPr>
        <w:tabs>
          <w:tab w:val="clear" w:pos="720"/>
          <w:tab w:val="left" w:pos="0" w:leader="none"/>
          <w:tab w:val="left" w:pos="851" w:leader="none"/>
          <w:tab w:val="left" w:pos="993" w:leader="none"/>
        </w:tabs>
        <w:spacing w:before="0" w:after="120"/>
        <w:ind w:left="0" w:firstLine="567"/>
        <w:jc w:val="both"/>
        <w:rPr>
          <w:highlight w:val="none"/>
          <w:shd w:fill="FFFFFF" w:val="clear"/>
        </w:rPr>
      </w:pPr>
      <w:r>
        <w:rPr>
          <w:sz w:val="24"/>
          <w:szCs w:val="24"/>
          <w:shd w:fill="FFFFFF" w:val="clear"/>
        </w:rPr>
        <w:t>Поставщик в каждом отдельном случае, включая первоначальный 30-дневный срок задержки, надлежащим образом и своевременно уведомляет Покупателя о любых таких задержках, путем направления письменного уведомления;</w:t>
      </w:r>
    </w:p>
    <w:p>
      <w:pPr>
        <w:pStyle w:val="Normal"/>
        <w:numPr>
          <w:ilvl w:val="0"/>
          <w:numId w:val="7"/>
        </w:numPr>
        <w:tabs>
          <w:tab w:val="clear" w:pos="720"/>
          <w:tab w:val="left" w:pos="0" w:leader="none"/>
          <w:tab w:val="left" w:pos="851" w:leader="none"/>
          <w:tab w:val="left" w:pos="993" w:leader="none"/>
        </w:tabs>
        <w:spacing w:before="0" w:after="120"/>
        <w:ind w:left="0" w:firstLine="567"/>
        <w:jc w:val="both"/>
        <w:rPr>
          <w:highlight w:val="none"/>
          <w:shd w:fill="FFFFFF" w:val="clear"/>
        </w:rPr>
      </w:pPr>
      <w:r>
        <w:rPr>
          <w:sz w:val="24"/>
          <w:szCs w:val="24"/>
          <w:shd w:fill="FFFFFF" w:val="clear"/>
        </w:rPr>
        <w:t>исполнение Поставщиком своего обязательства обусловлено исполнением обязательств Покупателем согласно Договору (встречное обязательство);</w:t>
      </w:r>
    </w:p>
    <w:p>
      <w:pPr>
        <w:pStyle w:val="Normal"/>
        <w:numPr>
          <w:ilvl w:val="0"/>
          <w:numId w:val="7"/>
        </w:numPr>
        <w:tabs>
          <w:tab w:val="clear" w:pos="720"/>
          <w:tab w:val="left" w:pos="0" w:leader="none"/>
          <w:tab w:val="left" w:pos="851" w:leader="none"/>
          <w:tab w:val="left" w:pos="993" w:leader="none"/>
        </w:tabs>
        <w:spacing w:before="0" w:after="120"/>
        <w:ind w:left="0" w:firstLine="567"/>
        <w:jc w:val="both"/>
        <w:rPr>
          <w:highlight w:val="none"/>
          <w:shd w:fill="FFFFFF" w:val="clear"/>
        </w:rPr>
      </w:pPr>
      <w:r>
        <w:rPr>
          <w:sz w:val="24"/>
          <w:szCs w:val="24"/>
          <w:shd w:fill="FFFFFF" w:val="clear"/>
        </w:rPr>
        <w:t>обязательство Покупателя, по которому произошла задержка, не является денежным.</w:t>
      </w:r>
    </w:p>
    <w:p>
      <w:pPr>
        <w:pStyle w:val="ListParagraph"/>
        <w:numPr>
          <w:ilvl w:val="1"/>
          <w:numId w:val="6"/>
        </w:numPr>
        <w:tabs>
          <w:tab w:val="clear" w:pos="720"/>
          <w:tab w:val="left" w:pos="0" w:leader="none"/>
          <w:tab w:val="left" w:pos="851" w:leader="none"/>
        </w:tabs>
        <w:spacing w:before="0" w:after="120"/>
        <w:ind w:left="0" w:firstLine="567"/>
        <w:contextualSpacing w:val="false"/>
        <w:jc w:val="both"/>
        <w:rPr>
          <w:highlight w:val="none"/>
          <w:shd w:fill="FFFFFF" w:val="clear"/>
        </w:rPr>
      </w:pPr>
      <w:r>
        <w:rPr>
          <w:sz w:val="24"/>
          <w:szCs w:val="24"/>
          <w:shd w:fill="FFFFFF" w:val="clear"/>
        </w:rPr>
        <w:t>Индексация Цены Договора не допускается.</w:t>
      </w:r>
    </w:p>
    <w:p>
      <w:pPr>
        <w:pStyle w:val="ListParagraph"/>
        <w:numPr>
          <w:ilvl w:val="1"/>
          <w:numId w:val="6"/>
        </w:numPr>
        <w:tabs>
          <w:tab w:val="clear" w:pos="720"/>
          <w:tab w:val="left" w:pos="0" w:leader="none"/>
          <w:tab w:val="left" w:pos="851" w:leader="none"/>
        </w:tabs>
        <w:spacing w:before="0" w:after="120"/>
        <w:ind w:left="0" w:firstLine="567"/>
        <w:contextualSpacing w:val="false"/>
        <w:jc w:val="both"/>
        <w:rPr>
          <w:highlight w:val="none"/>
          <w:shd w:fill="FFFFFF" w:val="clear"/>
        </w:rPr>
      </w:pPr>
      <w:r>
        <w:rPr>
          <w:sz w:val="24"/>
          <w:szCs w:val="24"/>
          <w:shd w:fill="FFFFFF" w:val="clear"/>
        </w:rPr>
        <w:t>Изменение стоимости Договора не требует заключения дополнительного соглашения к Договору только в случае, когда оно вызвано изменением ставки российского НДС.</w:t>
      </w:r>
    </w:p>
    <w:p>
      <w:pPr>
        <w:pStyle w:val="ListParagraph"/>
        <w:numPr>
          <w:ilvl w:val="1"/>
          <w:numId w:val="6"/>
        </w:numPr>
        <w:tabs>
          <w:tab w:val="clear" w:pos="720"/>
          <w:tab w:val="left" w:pos="851" w:leader="none"/>
          <w:tab w:val="left" w:pos="1425" w:leader="none"/>
        </w:tabs>
        <w:spacing w:before="0" w:after="120"/>
        <w:ind w:left="0" w:firstLine="567"/>
        <w:contextualSpacing w:val="false"/>
        <w:jc w:val="both"/>
        <w:rPr>
          <w:highlight w:val="none"/>
          <w:shd w:fill="FFFFFF" w:val="clear"/>
        </w:rPr>
      </w:pPr>
      <w:r>
        <w:rPr>
          <w:rFonts w:cs="Times New Roman"/>
          <w:color w:val="000000"/>
          <w:sz w:val="24"/>
          <w:szCs w:val="24"/>
          <w:shd w:fill="FFFFFF" w:val="clear"/>
        </w:rPr>
        <w:t>Покупатель вправе произвести сальдо взаимных обязательств сторон путем уменьшения сумм причитающихся Поставщику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Поставщика перед Покупателем, в том числе (включая, но не ограничиваясь), суммы неотработанного аванса по Договору, суммы неустоек (пени, штрафы) за неисполнение и / или ненадлежащее исполнение обязательств по Договору, стоимость работ по устранению недостатков поставленной Поставщиком Продукции.</w:t>
      </w:r>
    </w:p>
    <w:p>
      <w:pPr>
        <w:pStyle w:val="Normal"/>
        <w:widowControl w:val="false"/>
        <w:numPr>
          <w:ilvl w:val="0"/>
          <w:numId w:val="6"/>
        </w:numPr>
        <w:shd w:val="clear" w:color="auto" w:fill="FFFFFF"/>
        <w:tabs>
          <w:tab w:val="clear" w:pos="720"/>
          <w:tab w:val="left" w:pos="426" w:leader="none"/>
        </w:tabs>
        <w:spacing w:before="0" w:after="120"/>
        <w:ind w:left="0" w:hanging="0"/>
        <w:jc w:val="center"/>
        <w:rPr>
          <w:highlight w:val="none"/>
          <w:shd w:fill="FFFFFF" w:val="clear"/>
        </w:rPr>
      </w:pPr>
      <w:r>
        <w:rPr>
          <w:b/>
          <w:sz w:val="24"/>
          <w:szCs w:val="24"/>
          <w:shd w:fill="FFFFFF" w:val="clear"/>
        </w:rPr>
        <w:t>Качество, количество и комплектность</w:t>
      </w:r>
    </w:p>
    <w:p>
      <w:pPr>
        <w:pStyle w:val="Normal"/>
        <w:widowControl w:val="false"/>
        <w:numPr>
          <w:ilvl w:val="1"/>
          <w:numId w:val="4"/>
        </w:numPr>
        <w:shd w:val="clear" w:color="auto" w:fill="FFFFFF"/>
        <w:tabs>
          <w:tab w:val="clear" w:pos="720"/>
          <w:tab w:val="left" w:pos="1134" w:leader="none"/>
          <w:tab w:val="left" w:pos="1276" w:leader="none"/>
        </w:tabs>
        <w:spacing w:before="0" w:after="120"/>
        <w:ind w:left="0" w:firstLine="567"/>
        <w:jc w:val="both"/>
        <w:rPr>
          <w:highlight w:val="none"/>
          <w:shd w:fill="FFFFFF" w:val="clear"/>
        </w:rPr>
      </w:pPr>
      <w:r>
        <w:rPr>
          <w:sz w:val="24"/>
          <w:szCs w:val="24"/>
          <w:shd w:fill="FFFFFF" w:val="clear"/>
        </w:rPr>
        <w:t>Продукция должна быть новой, не бывшей в употреблении, пригодной для использования по своему назначению. Поставщик гарантирует, что Продукция принадлежит ему на законном основании, в споре, залоге или под арестом не состоит, правами третьих лиц не обременена.</w:t>
      </w:r>
    </w:p>
    <w:p>
      <w:pPr>
        <w:pStyle w:val="Normal"/>
        <w:widowControl w:val="false"/>
        <w:numPr>
          <w:ilvl w:val="1"/>
          <w:numId w:val="4"/>
        </w:numPr>
        <w:shd w:val="clear" w:color="auto" w:fill="FFFFFF"/>
        <w:tabs>
          <w:tab w:val="clear" w:pos="720"/>
          <w:tab w:val="left" w:pos="1134" w:leader="none"/>
          <w:tab w:val="left" w:pos="1276" w:leader="none"/>
        </w:tabs>
        <w:spacing w:before="0" w:after="120"/>
        <w:ind w:left="0" w:firstLine="567"/>
        <w:jc w:val="both"/>
        <w:rPr>
          <w:highlight w:val="none"/>
          <w:shd w:fill="FFFFFF" w:val="clear"/>
        </w:rPr>
      </w:pPr>
      <w:r>
        <w:rPr>
          <w:sz w:val="24"/>
          <w:szCs w:val="24"/>
          <w:shd w:fill="FFFFFF" w:val="clear"/>
        </w:rPr>
        <w:t>Качество, комплектность, количество и ассортимент поставляемой Продукции должны соответствовать требованиям Покупателя, Договора, Спецификации, государственным стандартам (техническим регламентам), техническим условиям и другой нормативно-технической документации.</w:t>
      </w:r>
    </w:p>
    <w:p>
      <w:pPr>
        <w:pStyle w:val="Normal"/>
        <w:widowControl w:val="false"/>
        <w:numPr>
          <w:ilvl w:val="1"/>
          <w:numId w:val="4"/>
        </w:numPr>
        <w:shd w:val="clear" w:color="auto" w:fill="FFFFFF"/>
        <w:tabs>
          <w:tab w:val="clear" w:pos="720"/>
          <w:tab w:val="left" w:pos="1134" w:leader="none"/>
          <w:tab w:val="left" w:pos="1276" w:leader="none"/>
        </w:tabs>
        <w:spacing w:before="0" w:after="120"/>
        <w:ind w:left="0" w:firstLine="567"/>
        <w:jc w:val="both"/>
        <w:rPr>
          <w:highlight w:val="none"/>
          <w:shd w:fill="FFFFFF" w:val="clear"/>
        </w:rPr>
      </w:pPr>
      <w:r>
        <w:rPr>
          <w:sz w:val="24"/>
          <w:szCs w:val="24"/>
          <w:shd w:fill="FFFFFF" w:val="clear"/>
        </w:rPr>
        <w:t>Поставщик обязан одновременно с передачей Продукции передать Покупателю относящиеся к ней документы, оформленные надлежащим образом:</w:t>
      </w:r>
    </w:p>
    <w:p>
      <w:pPr>
        <w:pStyle w:val="Normal"/>
        <w:widowControl w:val="false"/>
        <w:numPr>
          <w:ilvl w:val="0"/>
          <w:numId w:val="3"/>
        </w:numPr>
        <w:shd w:val="clear" w:color="auto" w:fill="FFFFFF"/>
        <w:tabs>
          <w:tab w:val="clear" w:pos="720"/>
          <w:tab w:val="left" w:pos="0" w:leader="none"/>
          <w:tab w:val="left" w:pos="900" w:leader="none"/>
          <w:tab w:val="left" w:pos="1134" w:leader="none"/>
          <w:tab w:val="left" w:pos="1276" w:leader="none"/>
        </w:tabs>
        <w:spacing w:before="0" w:after="120"/>
        <w:ind w:left="0" w:firstLine="567"/>
        <w:jc w:val="both"/>
        <w:rPr>
          <w:highlight w:val="none"/>
          <w:shd w:fill="FFFFFF" w:val="clear"/>
        </w:rPr>
      </w:pPr>
      <w:r>
        <w:rPr>
          <w:sz w:val="24"/>
          <w:szCs w:val="24"/>
          <w:shd w:fill="FFFFFF" w:val="clear"/>
        </w:rPr>
        <w:t xml:space="preserve">Сертификат качества в </w:t>
      </w:r>
      <w:r>
        <w:rPr>
          <w:color w:val="000000"/>
          <w:sz w:val="24"/>
          <w:szCs w:val="24"/>
          <w:shd w:fill="FFFFFF" w:val="clear"/>
        </w:rPr>
        <w:t xml:space="preserve">1 </w:t>
      </w:r>
      <w:r>
        <w:rPr>
          <w:sz w:val="24"/>
          <w:szCs w:val="24"/>
          <w:shd w:fill="FFFFFF" w:val="clear"/>
        </w:rPr>
        <w:t>экз.;</w:t>
      </w:r>
    </w:p>
    <w:p>
      <w:pPr>
        <w:pStyle w:val="Normal"/>
        <w:widowControl w:val="false"/>
        <w:numPr>
          <w:ilvl w:val="0"/>
          <w:numId w:val="3"/>
        </w:numPr>
        <w:shd w:val="clear" w:color="auto" w:fill="FFFFFF"/>
        <w:tabs>
          <w:tab w:val="clear" w:pos="720"/>
          <w:tab w:val="left" w:pos="0" w:leader="none"/>
          <w:tab w:val="left" w:pos="900" w:leader="none"/>
          <w:tab w:val="left" w:pos="1134" w:leader="none"/>
          <w:tab w:val="left" w:pos="1276" w:leader="none"/>
        </w:tabs>
        <w:spacing w:before="0" w:after="120"/>
        <w:ind w:left="0" w:firstLine="567"/>
        <w:jc w:val="both"/>
        <w:rPr>
          <w:highlight w:val="none"/>
          <w:shd w:fill="FFFFFF" w:val="clear"/>
        </w:rPr>
      </w:pPr>
      <w:r>
        <w:rPr>
          <w:sz w:val="24"/>
          <w:szCs w:val="24"/>
          <w:shd w:fill="FFFFFF" w:val="clear"/>
        </w:rPr>
        <w:t xml:space="preserve">Технический паспорт на русском языке в </w:t>
      </w:r>
      <w:r>
        <w:rPr>
          <w:color w:val="000000"/>
          <w:sz w:val="24"/>
          <w:szCs w:val="24"/>
          <w:shd w:fill="FFFFFF" w:val="clear"/>
        </w:rPr>
        <w:t xml:space="preserve">1 </w:t>
      </w:r>
      <w:r>
        <w:rPr>
          <w:sz w:val="24"/>
          <w:szCs w:val="24"/>
          <w:shd w:fill="FFFFFF" w:val="clear"/>
        </w:rPr>
        <w:t>экз.;</w:t>
      </w:r>
    </w:p>
    <w:p>
      <w:pPr>
        <w:pStyle w:val="Normal"/>
        <w:widowControl w:val="false"/>
        <w:numPr>
          <w:ilvl w:val="0"/>
          <w:numId w:val="3"/>
        </w:numPr>
        <w:shd w:val="clear" w:color="auto" w:fill="FFFFFF"/>
        <w:tabs>
          <w:tab w:val="clear" w:pos="720"/>
          <w:tab w:val="left" w:pos="0" w:leader="none"/>
          <w:tab w:val="left" w:pos="900" w:leader="none"/>
          <w:tab w:val="left" w:pos="1134" w:leader="none"/>
          <w:tab w:val="left" w:pos="1276" w:leader="none"/>
        </w:tabs>
        <w:spacing w:before="0" w:after="120"/>
        <w:ind w:left="0" w:firstLine="567"/>
        <w:jc w:val="both"/>
        <w:rPr>
          <w:highlight w:val="none"/>
          <w:shd w:fill="FFFFFF" w:val="clear"/>
        </w:rPr>
      </w:pPr>
      <w:r>
        <w:rPr>
          <w:sz w:val="24"/>
          <w:szCs w:val="24"/>
          <w:shd w:fill="FFFFFF" w:val="clear"/>
        </w:rPr>
        <w:t xml:space="preserve">Инструкция по эксплуатации (монтажу и т.п.) на русском языке в </w:t>
      </w:r>
      <w:r>
        <w:rPr>
          <w:color w:val="000000"/>
          <w:sz w:val="24"/>
          <w:szCs w:val="24"/>
          <w:shd w:fill="FFFFFF" w:val="clear"/>
        </w:rPr>
        <w:t xml:space="preserve">1 </w:t>
      </w:r>
      <w:r>
        <w:rPr>
          <w:sz w:val="24"/>
          <w:szCs w:val="24"/>
          <w:shd w:fill="FFFFFF" w:val="clear"/>
        </w:rPr>
        <w:t>экз.;</w:t>
      </w:r>
    </w:p>
    <w:p>
      <w:pPr>
        <w:pStyle w:val="Normal"/>
        <w:widowControl w:val="false"/>
        <w:numPr>
          <w:ilvl w:val="0"/>
          <w:numId w:val="3"/>
        </w:numPr>
        <w:shd w:val="clear" w:color="auto" w:fill="FFFFFF"/>
        <w:tabs>
          <w:tab w:val="clear" w:pos="720"/>
          <w:tab w:val="left" w:pos="0" w:leader="none"/>
          <w:tab w:val="left" w:pos="900" w:leader="none"/>
          <w:tab w:val="left" w:pos="1134" w:leader="none"/>
          <w:tab w:val="left" w:pos="1276" w:leader="none"/>
        </w:tabs>
        <w:spacing w:before="0" w:after="120"/>
        <w:ind w:left="0" w:firstLine="567"/>
        <w:jc w:val="both"/>
        <w:rPr>
          <w:highlight w:val="none"/>
          <w:shd w:fill="FFFFFF" w:val="clear"/>
        </w:rPr>
      </w:pPr>
      <w:r>
        <w:rPr>
          <w:sz w:val="24"/>
          <w:szCs w:val="24"/>
          <w:shd w:fill="FFFFFF" w:val="clear"/>
        </w:rPr>
        <w:t xml:space="preserve">Упаковочный лист на Продукцию в </w:t>
      </w:r>
      <w:r>
        <w:rPr>
          <w:color w:val="000000"/>
          <w:sz w:val="24"/>
          <w:szCs w:val="24"/>
          <w:shd w:fill="FFFFFF" w:val="clear"/>
        </w:rPr>
        <w:t xml:space="preserve">1 </w:t>
      </w:r>
      <w:r>
        <w:rPr>
          <w:sz w:val="24"/>
          <w:szCs w:val="24"/>
          <w:shd w:fill="FFFFFF" w:val="clear"/>
        </w:rPr>
        <w:t>экз.;</w:t>
      </w:r>
    </w:p>
    <w:p>
      <w:pPr>
        <w:pStyle w:val="Normal"/>
        <w:widowControl w:val="false"/>
        <w:numPr>
          <w:ilvl w:val="0"/>
          <w:numId w:val="3"/>
        </w:numPr>
        <w:shd w:val="clear" w:color="auto" w:fill="FFFFFF"/>
        <w:tabs>
          <w:tab w:val="clear" w:pos="720"/>
          <w:tab w:val="left" w:pos="0" w:leader="none"/>
          <w:tab w:val="left" w:pos="900" w:leader="none"/>
          <w:tab w:val="left" w:pos="1134" w:leader="none"/>
          <w:tab w:val="left" w:pos="1276" w:leader="none"/>
        </w:tabs>
        <w:spacing w:before="0" w:after="120"/>
        <w:ind w:left="0" w:firstLine="567"/>
        <w:jc w:val="both"/>
        <w:rPr>
          <w:highlight w:val="none"/>
          <w:shd w:fill="FFFFFF" w:val="clear"/>
        </w:rPr>
      </w:pPr>
      <w:r>
        <w:rPr>
          <w:sz w:val="24"/>
          <w:szCs w:val="24"/>
          <w:shd w:fill="FFFFFF" w:val="clear"/>
        </w:rPr>
        <w:t xml:space="preserve">Сертификат о происхождении Продукции в </w:t>
      </w:r>
      <w:r>
        <w:rPr>
          <w:color w:val="000000"/>
          <w:sz w:val="24"/>
          <w:szCs w:val="24"/>
          <w:shd w:fill="FFFFFF" w:val="clear"/>
        </w:rPr>
        <w:t xml:space="preserve">1 </w:t>
      </w:r>
      <w:r>
        <w:rPr>
          <w:sz w:val="24"/>
          <w:szCs w:val="24"/>
          <w:shd w:fill="FFFFFF" w:val="clear"/>
        </w:rPr>
        <w:t>экз.;</w:t>
      </w:r>
    </w:p>
    <w:p>
      <w:pPr>
        <w:pStyle w:val="Normal"/>
        <w:widowControl w:val="false"/>
        <w:numPr>
          <w:ilvl w:val="0"/>
          <w:numId w:val="3"/>
        </w:numPr>
        <w:shd w:val="clear" w:color="auto" w:fill="FFFFFF"/>
        <w:tabs>
          <w:tab w:val="clear" w:pos="720"/>
          <w:tab w:val="left" w:pos="0" w:leader="none"/>
          <w:tab w:val="left" w:pos="900" w:leader="none"/>
          <w:tab w:val="left" w:pos="1134" w:leader="none"/>
          <w:tab w:val="left" w:pos="1276" w:leader="none"/>
        </w:tabs>
        <w:spacing w:before="0" w:after="120"/>
        <w:ind w:left="0" w:firstLine="567"/>
        <w:jc w:val="both"/>
        <w:rPr>
          <w:highlight w:val="none"/>
          <w:shd w:fill="FFFFFF" w:val="clear"/>
        </w:rPr>
      </w:pPr>
      <w:r>
        <w:rPr>
          <w:sz w:val="24"/>
          <w:szCs w:val="24"/>
          <w:shd w:fill="FFFFFF" w:val="clear"/>
        </w:rPr>
        <w:t>иные документы (Сертификат соответствия, Сертификат безопасности, Сертификат пожаробезопасности, Сертификат радиологической безопасности, Санитарный сертификат, Лицензии и т.п.) в зависимости от номенклатуры поставляемой Продукции;</w:t>
      </w:r>
    </w:p>
    <w:p>
      <w:pPr>
        <w:pStyle w:val="Normal"/>
        <w:widowControl w:val="false"/>
        <w:numPr>
          <w:ilvl w:val="0"/>
          <w:numId w:val="3"/>
        </w:numPr>
        <w:shd w:val="clear" w:color="auto" w:fill="FFFFFF"/>
        <w:tabs>
          <w:tab w:val="clear" w:pos="720"/>
          <w:tab w:val="left" w:pos="851" w:leader="none"/>
          <w:tab w:val="left" w:pos="900" w:leader="none"/>
          <w:tab w:val="left" w:pos="1134" w:leader="none"/>
          <w:tab w:val="left" w:pos="1276" w:leader="none"/>
        </w:tabs>
        <w:spacing w:before="0" w:after="120"/>
        <w:ind w:left="0" w:firstLine="567"/>
        <w:jc w:val="both"/>
        <w:rPr>
          <w:highlight w:val="none"/>
          <w:shd w:fill="FFFFFF" w:val="clear"/>
        </w:rPr>
      </w:pPr>
      <w:r>
        <w:rPr>
          <w:sz w:val="24"/>
          <w:szCs w:val="24"/>
          <w:shd w:fill="FFFFFF" w:val="clear"/>
        </w:rPr>
        <w:t>Обязательные первичные документы:</w:t>
      </w:r>
    </w:p>
    <w:p>
      <w:pPr>
        <w:pStyle w:val="Normal"/>
        <w:widowControl w:val="false"/>
        <w:numPr>
          <w:ilvl w:val="0"/>
          <w:numId w:val="5"/>
        </w:numPr>
        <w:shd w:val="clear" w:color="auto" w:fill="FFFFFF"/>
        <w:tabs>
          <w:tab w:val="left" w:pos="720" w:leader="none"/>
          <w:tab w:val="left" w:pos="1134" w:leader="none"/>
          <w:tab w:val="left" w:pos="1276" w:leader="none"/>
        </w:tabs>
        <w:spacing w:before="0" w:after="120"/>
        <w:ind w:left="0" w:firstLine="567"/>
        <w:jc w:val="both"/>
        <w:rPr/>
      </w:pPr>
      <w:r>
        <w:rPr>
          <w:sz w:val="24"/>
          <w:szCs w:val="24"/>
          <w:shd w:fill="FFFFFF" w:val="clear"/>
        </w:rPr>
        <w:t xml:space="preserve">Товарно-транспортную накладную формы № 1-Т (для учета товарно-материальных ценностей и расчетов за их перевозки) или Железнодорожную накладную (форма № ГУ-27) в 1 экз. или Транспортную накладную ((для учета товарно-материальных ценностей и расчетов за их перевозки) по форме согласно Приложению 4 к Правилам перевозки грузов автомобильным транспортом </w:t>
      </w:r>
      <w:r>
        <w:rPr>
          <w:rFonts w:cs="Times New Roman"/>
          <w:sz w:val="24"/>
          <w:szCs w:val="24"/>
          <w:shd w:fill="FFFFFF" w:val="clear"/>
        </w:rPr>
        <w:t>(</w:t>
      </w:r>
      <w:r>
        <w:rPr>
          <w:rFonts w:cs="Times New Roman"/>
          <w:color w:val="000000"/>
          <w:sz w:val="24"/>
          <w:szCs w:val="24"/>
          <w:shd w:fill="FFFFFF" w:val="clear"/>
        </w:rPr>
        <w:t xml:space="preserve">в ред. </w:t>
      </w:r>
      <w:hyperlink r:id="rId2">
        <w:r>
          <w:rPr>
            <w:rStyle w:val="Hyperlink"/>
            <w:rFonts w:cs="Times New Roman"/>
            <w:color w:val="000000"/>
            <w:sz w:val="24"/>
            <w:szCs w:val="24"/>
            <w:u w:val="none"/>
            <w:shd w:fill="FFFFFF" w:val="clear"/>
          </w:rPr>
          <w:t>Постановления Правительства РФ от 21.12.2020 № 2200</w:t>
        </w:r>
      </w:hyperlink>
      <w:r>
        <w:rPr>
          <w:rFonts w:cs="Times New Roman"/>
          <w:sz w:val="24"/>
          <w:szCs w:val="24"/>
          <w:shd w:fill="FFFFFF" w:val="clear"/>
        </w:rPr>
        <w:t>)</w:t>
      </w:r>
      <w:r>
        <w:rPr>
          <w:sz w:val="24"/>
          <w:szCs w:val="24"/>
          <w:shd w:fill="FFFFFF" w:val="clear"/>
        </w:rPr>
        <w:t>;</w:t>
      </w:r>
    </w:p>
    <w:p>
      <w:pPr>
        <w:pStyle w:val="Normal"/>
        <w:widowControl w:val="false"/>
        <w:numPr>
          <w:ilvl w:val="0"/>
          <w:numId w:val="5"/>
        </w:numPr>
        <w:shd w:val="clear" w:color="auto" w:fill="FFFFFF"/>
        <w:tabs>
          <w:tab w:val="left" w:pos="720" w:leader="none"/>
          <w:tab w:val="left" w:pos="1134" w:leader="none"/>
          <w:tab w:val="left" w:pos="1276" w:leader="none"/>
        </w:tabs>
        <w:spacing w:before="0" w:after="120"/>
        <w:ind w:left="0" w:firstLine="567"/>
        <w:jc w:val="both"/>
        <w:rPr>
          <w:highlight w:val="none"/>
          <w:shd w:fill="FFFFFF" w:val="clear"/>
        </w:rPr>
      </w:pPr>
      <w:r>
        <w:rPr>
          <w:sz w:val="24"/>
          <w:szCs w:val="24"/>
          <w:shd w:fill="FFFFFF" w:val="clear"/>
        </w:rPr>
        <w:t>Товарную накладную по форме ТОРГ-12 или Универсальный передаточный документ (УПД).</w:t>
      </w:r>
    </w:p>
    <w:p>
      <w:pPr>
        <w:pStyle w:val="Normal"/>
        <w:widowControl w:val="false"/>
        <w:numPr>
          <w:ilvl w:val="1"/>
          <w:numId w:val="4"/>
        </w:numPr>
        <w:shd w:val="clear" w:color="auto" w:fill="FFFFFF"/>
        <w:tabs>
          <w:tab w:val="clear" w:pos="720"/>
          <w:tab w:val="left" w:pos="1134" w:leader="none"/>
          <w:tab w:val="left" w:pos="1276" w:leader="none"/>
        </w:tabs>
        <w:spacing w:before="0" w:after="120"/>
        <w:ind w:left="0" w:firstLine="567"/>
        <w:jc w:val="both"/>
        <w:rPr>
          <w:highlight w:val="none"/>
          <w:shd w:fill="FFFFFF" w:val="clear"/>
        </w:rPr>
      </w:pPr>
      <w:r>
        <w:rPr>
          <w:sz w:val="24"/>
          <w:szCs w:val="24"/>
          <w:shd w:fill="FFFFFF" w:val="clear"/>
        </w:rPr>
        <w:t xml:space="preserve">В случае отсутствия указанных в п.3.3 Договора документов, Покупатель уведомляет об этом Поставщика и прекращает приемку Продукции до предоставления недостающих документов. Поставщик обязан в течение 3 (трех) календарных дней с даты направления указанного уведомления Покупателя представить недостающие документы, что не освобождает Поставщика от ответственности, предусмотренной условиями Договора за нарушение срока поставки. </w:t>
      </w:r>
    </w:p>
    <w:p>
      <w:pPr>
        <w:pStyle w:val="Normal"/>
        <w:widowControl w:val="false"/>
        <w:numPr>
          <w:ilvl w:val="1"/>
          <w:numId w:val="4"/>
        </w:numPr>
        <w:shd w:val="clear" w:color="auto" w:fill="FFFFFF"/>
        <w:tabs>
          <w:tab w:val="clear" w:pos="720"/>
          <w:tab w:val="left" w:pos="1134" w:leader="none"/>
          <w:tab w:val="left" w:pos="1276" w:leader="none"/>
        </w:tabs>
        <w:spacing w:before="0" w:after="120"/>
        <w:ind w:left="0" w:firstLine="567"/>
        <w:jc w:val="both"/>
        <w:rPr/>
      </w:pPr>
      <w:r>
        <w:rPr>
          <w:sz w:val="24"/>
          <w:szCs w:val="24"/>
          <w:shd w:fill="FFFFFF" w:val="clear"/>
        </w:rPr>
        <w:t xml:space="preserve">Приемка Продукции по количеству тар и упаковок, в которых осуществлялась её отгрузка, производится в день поставки согласно транспортным и сопроводительным документам, упаковочным листам и другим документам Поставщика, представленным в соответствии с п. 3.3. Договора. По результатам проверки упаковочных мест Покупатель подписывает представленную Поставщиком </w:t>
      </w:r>
      <w:r>
        <w:rPr>
          <w:color w:val="000000"/>
          <w:sz w:val="24"/>
          <w:szCs w:val="24"/>
          <w:shd w:fill="FFFFFF" w:val="clear"/>
        </w:rPr>
        <w:t xml:space="preserve">товарно-транспортную накладную формы №1-Т </w:t>
      </w:r>
      <w:r>
        <w:rPr>
          <w:color w:val="000000"/>
          <w:sz w:val="24"/>
          <w:szCs w:val="24"/>
          <w:shd w:fill="FFFFFF" w:val="clear"/>
        </w:rPr>
        <w:t xml:space="preserve">(для учета товарно-материальных ценностей и расчетов за их перевозки) или Железнодорожную накладную (форма № ГУ-27) в 1 экз. или Транспортную накладную ((для учета товарно-материальных ценностей и расчетов за их перевозки) по форме согласно Приложению 4 к Правилам перевозки грузов автомобильным транспортом </w:t>
      </w:r>
      <w:r>
        <w:rPr>
          <w:rFonts w:cs="Times New Roman"/>
          <w:color w:val="000000"/>
          <w:sz w:val="24"/>
          <w:szCs w:val="24"/>
          <w:shd w:fill="FFFFFF" w:val="clear"/>
        </w:rPr>
        <w:t xml:space="preserve">(в ред. </w:t>
      </w:r>
      <w:hyperlink r:id="rId3">
        <w:r>
          <w:rPr>
            <w:rStyle w:val="Hyperlink"/>
            <w:rFonts w:cs="Times New Roman"/>
            <w:color w:val="000000"/>
            <w:sz w:val="24"/>
            <w:szCs w:val="24"/>
            <w:u w:val="none"/>
            <w:shd w:fill="FFFFFF" w:val="clear"/>
          </w:rPr>
          <w:t>Постановления Правительства РФ от 21.12.2020 № 2200</w:t>
        </w:r>
      </w:hyperlink>
      <w:r>
        <w:rPr>
          <w:rFonts w:cs="Times New Roman"/>
          <w:color w:val="000000"/>
          <w:sz w:val="24"/>
          <w:szCs w:val="24"/>
          <w:shd w:fill="FFFFFF" w:val="clear"/>
        </w:rPr>
        <w:t>).</w:t>
      </w:r>
    </w:p>
    <w:p>
      <w:pPr>
        <w:pStyle w:val="Normal"/>
        <w:widowControl w:val="false"/>
        <w:numPr>
          <w:ilvl w:val="1"/>
          <w:numId w:val="4"/>
        </w:numPr>
        <w:shd w:val="clear" w:color="auto" w:fill="FFFFFF"/>
        <w:tabs>
          <w:tab w:val="clear" w:pos="720"/>
          <w:tab w:val="left" w:pos="1134" w:leader="none"/>
          <w:tab w:val="left" w:pos="1276" w:leader="none"/>
        </w:tabs>
        <w:spacing w:before="0" w:after="120"/>
        <w:ind w:left="0" w:firstLine="567"/>
        <w:jc w:val="both"/>
        <w:rPr>
          <w:highlight w:val="none"/>
          <w:shd w:fill="FFFFFF" w:val="clear"/>
        </w:rPr>
      </w:pPr>
      <w:r>
        <w:rPr>
          <w:sz w:val="24"/>
          <w:szCs w:val="24"/>
          <w:shd w:fill="FFFFFF" w:val="clear"/>
        </w:rPr>
        <w:t>При некомплектности, недопоставке, отсутствии необходимых принадлежностей, относящихся к Продукции, Покупатель вправе с одновременным направлением письменного уведомления Поставщику прекратить приемку Продукции до устранения нарушений. Поставщик обязан в течение 3 (трех) календарных дней с указанной даты представить необходимые комплектующие или принадлежности, что не освобождает Поставщика от ответственности за убытки, причиненные нарушением срока поставки.</w:t>
      </w:r>
    </w:p>
    <w:p>
      <w:pPr>
        <w:pStyle w:val="Normal"/>
        <w:widowControl w:val="false"/>
        <w:numPr>
          <w:ilvl w:val="1"/>
          <w:numId w:val="4"/>
        </w:numPr>
        <w:shd w:val="clear" w:color="auto" w:fill="FFFFFF"/>
        <w:tabs>
          <w:tab w:val="clear" w:pos="720"/>
          <w:tab w:val="left" w:pos="1134" w:leader="none"/>
          <w:tab w:val="left" w:pos="1276" w:leader="none"/>
        </w:tabs>
        <w:spacing w:before="0" w:after="120"/>
        <w:ind w:left="0" w:firstLine="567"/>
        <w:jc w:val="both"/>
        <w:rPr/>
      </w:pPr>
      <w:r>
        <w:rPr>
          <w:sz w:val="24"/>
          <w:szCs w:val="24"/>
          <w:shd w:fill="FFFFFF" w:val="clear"/>
        </w:rPr>
        <w:t xml:space="preserve">Приемка Продукции со вскрытием упаковки производится Покупателем в течение 10 (десяти) рабочих дней с даты подписания </w:t>
      </w:r>
      <w:r>
        <w:rPr>
          <w:color w:val="000000"/>
          <w:sz w:val="24"/>
          <w:szCs w:val="24"/>
          <w:shd w:fill="FFFFFF" w:val="clear"/>
        </w:rPr>
        <w:t>товарно-транспортной накладной по форме №1-Т</w:t>
      </w:r>
      <w:r>
        <w:rPr>
          <w:sz w:val="24"/>
          <w:szCs w:val="24"/>
          <w:shd w:fill="FFFFFF" w:val="clear"/>
        </w:rPr>
        <w:t xml:space="preserve"> или транспортной накладной ((для учета товарно-материальных ценностей и расчетов за их перевозки) по форме согласно Приложению 4 к Правилам перевозки грузов автомобильным транспортом </w:t>
      </w:r>
      <w:r>
        <w:rPr>
          <w:rFonts w:cs="Times New Roman"/>
          <w:sz w:val="24"/>
          <w:szCs w:val="24"/>
          <w:shd w:fill="FFFFFF" w:val="clear"/>
        </w:rPr>
        <w:t>(</w:t>
      </w:r>
      <w:r>
        <w:rPr>
          <w:rFonts w:cs="Times New Roman"/>
          <w:color w:val="000000"/>
          <w:sz w:val="24"/>
          <w:szCs w:val="24"/>
          <w:shd w:fill="FFFFFF" w:val="clear"/>
        </w:rPr>
        <w:t xml:space="preserve">в ред. </w:t>
      </w:r>
      <w:hyperlink r:id="rId4">
        <w:r>
          <w:rPr>
            <w:rStyle w:val="Hyperlink"/>
            <w:rFonts w:cs="Times New Roman"/>
            <w:color w:val="000000"/>
            <w:sz w:val="24"/>
            <w:szCs w:val="24"/>
            <w:u w:val="none"/>
            <w:shd w:fill="FFFFFF" w:val="clear"/>
          </w:rPr>
          <w:t>Постановления Правительства РФ от 21.12.2020 № 2200</w:t>
        </w:r>
      </w:hyperlink>
      <w:r>
        <w:rPr>
          <w:rFonts w:cs="Times New Roman"/>
          <w:sz w:val="24"/>
          <w:szCs w:val="24"/>
          <w:shd w:fill="FFFFFF" w:val="clear"/>
        </w:rPr>
        <w:t>)</w:t>
      </w:r>
      <w:r>
        <w:rPr>
          <w:sz w:val="24"/>
          <w:szCs w:val="24"/>
          <w:shd w:fill="FFFFFF" w:val="clear"/>
        </w:rPr>
        <w:t xml:space="preserve">. В случае отсутствия замечаний Покупатель подписывает </w:t>
      </w:r>
      <w:r>
        <w:rPr>
          <w:color w:val="000000"/>
          <w:sz w:val="24"/>
          <w:szCs w:val="24"/>
          <w:shd w:fill="FFFFFF" w:val="clear"/>
        </w:rPr>
        <w:t>товарную накладную унифицированной формы ТОРГ-12.</w:t>
      </w:r>
    </w:p>
    <w:p>
      <w:pPr>
        <w:pStyle w:val="Normal"/>
        <w:widowControl w:val="false"/>
        <w:numPr>
          <w:ilvl w:val="1"/>
          <w:numId w:val="4"/>
        </w:numPr>
        <w:shd w:val="clear" w:color="auto" w:fill="FFFFFF"/>
        <w:tabs>
          <w:tab w:val="clear" w:pos="720"/>
          <w:tab w:val="left" w:pos="1134" w:leader="none"/>
          <w:tab w:val="left" w:pos="1276" w:leader="none"/>
        </w:tabs>
        <w:spacing w:before="0" w:after="120"/>
        <w:ind w:left="0" w:firstLine="567"/>
        <w:jc w:val="both"/>
        <w:rPr>
          <w:highlight w:val="none"/>
          <w:shd w:fill="FFFFFF" w:val="clear"/>
        </w:rPr>
      </w:pPr>
      <w:r>
        <w:rPr>
          <w:sz w:val="24"/>
          <w:szCs w:val="24"/>
          <w:shd w:fill="FFFFFF" w:val="clear"/>
        </w:rPr>
        <w:t>В случае обнаружения внутри упаковочных мест (тары, упаковки) недопоставки, некомплектности, отсутствии необходимых принадлежностей или обнаружения недостатков (дефектов) Продукции, Покупатель незамедлительно прекращает вскрытие упаковки и направляет Поставщику письменное уведомление об обнаруженных недостатках с указанием даты и времени совместной приемки. Поставщик обязан обеспечить присутствие в указанное время своих представителей, уполномоченных доверенностью на проведение совместной приемки и подписание акта о выявленных недостатках. В акте о выявленных недостатках Сторонами указываются, в том числе, сроки и способ их устранения (возврат, замена или ремонт Продукции). Покупатель вправе не производить любые платежи, предусмотренные Договором, до исполнения Поставщиком своих обязательств по Договору, при этом Покупатель не считается просрочившим.</w:t>
      </w:r>
    </w:p>
    <w:p>
      <w:pPr>
        <w:pStyle w:val="Normal"/>
        <w:widowControl w:val="false"/>
        <w:numPr>
          <w:ilvl w:val="1"/>
          <w:numId w:val="4"/>
        </w:numPr>
        <w:shd w:val="clear" w:color="auto" w:fill="FFFFFF"/>
        <w:tabs>
          <w:tab w:val="clear" w:pos="720"/>
          <w:tab w:val="left" w:pos="1134" w:leader="none"/>
          <w:tab w:val="left" w:pos="1276" w:leader="none"/>
        </w:tabs>
        <w:spacing w:before="0" w:after="120"/>
        <w:ind w:left="0" w:firstLine="567"/>
        <w:jc w:val="both"/>
        <w:rPr>
          <w:highlight w:val="none"/>
          <w:shd w:fill="FFFFFF" w:val="clear"/>
        </w:rPr>
      </w:pPr>
      <w:r>
        <w:rPr>
          <w:sz w:val="24"/>
          <w:szCs w:val="24"/>
          <w:shd w:fill="FFFFFF" w:val="clear"/>
        </w:rPr>
        <w:t>При невыполнении Поставщиком требований пункта 3.8. Договора, акт о выявленных недостатках, составленный и подписанный Покупателем в одностороннем порядке, будет являться достаточным юридическим основанием для применения мер ответственности, установленных Договором.</w:t>
      </w:r>
    </w:p>
    <w:p>
      <w:pPr>
        <w:pStyle w:val="Normal"/>
        <w:widowControl w:val="false"/>
        <w:numPr>
          <w:ilvl w:val="1"/>
          <w:numId w:val="4"/>
        </w:numPr>
        <w:shd w:val="clear" w:color="auto" w:fill="FFFFFF"/>
        <w:tabs>
          <w:tab w:val="clear" w:pos="720"/>
          <w:tab w:val="left" w:pos="1134" w:leader="none"/>
          <w:tab w:val="left" w:pos="1276" w:leader="none"/>
        </w:tabs>
        <w:spacing w:before="0" w:after="120"/>
        <w:ind w:left="0" w:firstLine="567"/>
        <w:jc w:val="both"/>
        <w:rPr>
          <w:highlight w:val="none"/>
          <w:shd w:fill="FFFFFF" w:val="clear"/>
        </w:rPr>
      </w:pPr>
      <w:r>
        <w:rPr>
          <w:sz w:val="24"/>
          <w:szCs w:val="24"/>
          <w:shd w:fill="FFFFFF" w:val="clear"/>
        </w:rPr>
        <w:t>В случае когда Продукция, комплектующие, принадлежности или документы, относящиеся к Продукции, не переданы Поставщиком в сроки, указанные в п. 3.4, 3.6 Договора, Покупатель вправе отказаться от Продукции, а Поставщик обязан не позднее 10 (десяти) календарных дней с даты уведомления его Покупателем об отказе от Продукции возместить понесенные убытки, в том числе расходы, связанные с хранением Продукции, а также возвратить Покупателю уплаченный им авансовый платеж</w:t>
      </w:r>
    </w:p>
    <w:p>
      <w:pPr>
        <w:pStyle w:val="Normal"/>
        <w:widowControl w:val="false"/>
        <w:numPr>
          <w:ilvl w:val="1"/>
          <w:numId w:val="4"/>
        </w:numPr>
        <w:shd w:val="clear" w:color="auto" w:fill="FFFFFF"/>
        <w:tabs>
          <w:tab w:val="clear" w:pos="720"/>
          <w:tab w:val="left" w:pos="1134" w:leader="none"/>
          <w:tab w:val="left" w:pos="1276" w:leader="none"/>
        </w:tabs>
        <w:spacing w:before="0" w:after="120"/>
        <w:ind w:left="0" w:firstLine="567"/>
        <w:jc w:val="both"/>
        <w:rPr>
          <w:highlight w:val="none"/>
          <w:shd w:fill="FFFFFF" w:val="clear"/>
        </w:rPr>
      </w:pPr>
      <w:r>
        <w:rPr>
          <w:sz w:val="24"/>
          <w:szCs w:val="24"/>
          <w:shd w:fill="FFFFFF" w:val="clear"/>
        </w:rPr>
        <w:t>По всем иным вопросам, касающимся приемки Продукции, Стороны руководствуются Инструкцией Госарбитража при Совете Министров СССР от 15.06.1965 № П-6, Инструкцией Госарбитража при Совете Министров СССР от 25.04.1966 №П-7 в части, не противоречащей условиям Договора.</w:t>
      </w:r>
    </w:p>
    <w:p>
      <w:pPr>
        <w:pStyle w:val="Normal"/>
        <w:widowControl w:val="false"/>
        <w:numPr>
          <w:ilvl w:val="1"/>
          <w:numId w:val="4"/>
        </w:numPr>
        <w:shd w:val="clear" w:color="auto" w:fill="FFFFFF"/>
        <w:tabs>
          <w:tab w:val="clear" w:pos="720"/>
          <w:tab w:val="left" w:pos="1134" w:leader="none"/>
          <w:tab w:val="left" w:pos="1276" w:leader="none"/>
        </w:tabs>
        <w:spacing w:before="0" w:after="120"/>
        <w:ind w:left="0" w:firstLine="567"/>
        <w:jc w:val="both"/>
        <w:rPr>
          <w:highlight w:val="none"/>
          <w:shd w:fill="FFFFFF" w:val="clear"/>
        </w:rPr>
      </w:pPr>
      <w:r>
        <w:rPr>
          <w:sz w:val="24"/>
          <w:szCs w:val="24"/>
          <w:shd w:fill="FFFFFF" w:val="clear"/>
        </w:rPr>
        <w:t>На Продукцию устанавливается гарантийный срок, равный ________ (______________________) месяцам, исчисляемый с даты подписания Сторонами соответствующей товарной накладной по форме ТОРГ-12 или Универсального передаточного документа (УПД), но не менее гарантийного срока изготовителя (производителя) Продукции.</w:t>
      </w:r>
    </w:p>
    <w:p>
      <w:pPr>
        <w:pStyle w:val="Normal"/>
        <w:widowControl w:val="false"/>
        <w:numPr>
          <w:ilvl w:val="1"/>
          <w:numId w:val="4"/>
        </w:numPr>
        <w:shd w:val="clear" w:color="auto" w:fill="FFFFFF"/>
        <w:tabs>
          <w:tab w:val="clear" w:pos="720"/>
          <w:tab w:val="left" w:pos="1134" w:leader="none"/>
          <w:tab w:val="left" w:pos="1276" w:leader="none"/>
        </w:tabs>
        <w:spacing w:before="0" w:after="120"/>
        <w:ind w:left="0" w:firstLine="567"/>
        <w:jc w:val="both"/>
        <w:rPr>
          <w:highlight w:val="none"/>
          <w:shd w:fill="FFFFFF" w:val="clear"/>
        </w:rPr>
      </w:pPr>
      <w:r>
        <w:rPr>
          <w:sz w:val="24"/>
          <w:szCs w:val="24"/>
          <w:shd w:fill="FFFFFF" w:val="clear"/>
        </w:rPr>
        <w:t>В течение Гарантийного срока Поставщик гарантирует соответствие качества Продукции требованиям, указанным в Договоре, техническом паспорте Продукции, нормативно-технической документации, возможность эксплуатации Продукции в соответствии с ее целевым назначением, а также несет безусловную ответственность за обнаруженные недостатки (дефекты), если не докажет, что такие недостатки (дефекты) явились следствием несоблюдения Покупателем требований по транспортировке, хранению и использованию Продукции, установленных в инструкциях и иных документах, переданных Покупателю в соответствии с п. 3.3. Договора.</w:t>
      </w:r>
    </w:p>
    <w:p>
      <w:pPr>
        <w:pStyle w:val="Normal"/>
        <w:widowControl w:val="false"/>
        <w:numPr>
          <w:ilvl w:val="1"/>
          <w:numId w:val="4"/>
        </w:numPr>
        <w:shd w:val="clear" w:color="auto" w:fill="FFFFFF"/>
        <w:tabs>
          <w:tab w:val="clear" w:pos="720"/>
          <w:tab w:val="left" w:pos="1134" w:leader="none"/>
          <w:tab w:val="left" w:pos="1276" w:leader="none"/>
        </w:tabs>
        <w:spacing w:before="0" w:after="120"/>
        <w:ind w:left="0" w:firstLine="567"/>
        <w:jc w:val="both"/>
        <w:rPr>
          <w:highlight w:val="none"/>
          <w:shd w:fill="FFFFFF" w:val="clear"/>
        </w:rPr>
      </w:pPr>
      <w:r>
        <w:rPr>
          <w:sz w:val="24"/>
          <w:szCs w:val="24"/>
          <w:shd w:fill="FFFFFF" w:val="clear"/>
        </w:rPr>
        <w:t>При обнаружении в течение Гарантийного срока недостатков Продукции Покупатель направляет Поставщику соответствующее письменное уведомление, в котором указывает перечень выявленных недостатков и срок на их устранение.</w:t>
      </w:r>
    </w:p>
    <w:p>
      <w:pPr>
        <w:pStyle w:val="Normal"/>
        <w:widowControl w:val="false"/>
        <w:numPr>
          <w:ilvl w:val="1"/>
          <w:numId w:val="4"/>
        </w:numPr>
        <w:shd w:val="clear" w:color="auto" w:fill="FFFFFF"/>
        <w:tabs>
          <w:tab w:val="clear" w:pos="720"/>
          <w:tab w:val="left" w:pos="1134" w:leader="none"/>
          <w:tab w:val="left" w:pos="1276" w:leader="none"/>
        </w:tabs>
        <w:spacing w:before="0" w:after="120"/>
        <w:ind w:left="0" w:firstLine="567"/>
        <w:jc w:val="both"/>
        <w:rPr>
          <w:highlight w:val="none"/>
          <w:shd w:fill="FFFFFF" w:val="clear"/>
        </w:rPr>
      </w:pPr>
      <w:r>
        <w:rPr>
          <w:sz w:val="24"/>
          <w:szCs w:val="24"/>
          <w:shd w:fill="FFFFFF" w:val="clear"/>
        </w:rPr>
        <w:t xml:space="preserve">Устранение недостатков осуществляется Поставщиком своими силами, за свой счет и в срок, указанный </w:t>
      </w:r>
      <w:bookmarkStart w:id="2" w:name="OLE_LINK6"/>
      <w:bookmarkStart w:id="3" w:name="OLE_LINK5"/>
      <w:r>
        <w:rPr>
          <w:sz w:val="24"/>
          <w:szCs w:val="24"/>
          <w:shd w:fill="FFFFFF" w:val="clear"/>
        </w:rPr>
        <w:t>Покупателем в соответствии с п. 3.14. Договора</w:t>
      </w:r>
      <w:bookmarkEnd w:id="2"/>
      <w:bookmarkEnd w:id="3"/>
      <w:r>
        <w:rPr>
          <w:sz w:val="24"/>
          <w:szCs w:val="24"/>
          <w:shd w:fill="FFFFFF" w:val="clear"/>
        </w:rPr>
        <w:t>, путем замены или ремонта Продукции. Устранение недостатков путем ремонта Продукции может осуществляться только по письменному согласованию с Покупателем. Поставщик также вправе по согласованию с Покупателем вместо замены или ремонта Продукции возвратить Покупателю ее стоимость в соответствии со Спецификацией (Приложение №1). Вывоз Продукции для целей устранения недостатков или утилизации осуществляется Поставщиком.</w:t>
      </w:r>
    </w:p>
    <w:p>
      <w:pPr>
        <w:pStyle w:val="Normal"/>
        <w:widowControl w:val="false"/>
        <w:numPr>
          <w:ilvl w:val="1"/>
          <w:numId w:val="4"/>
        </w:numPr>
        <w:shd w:val="clear" w:color="auto" w:fill="FFFFFF"/>
        <w:tabs>
          <w:tab w:val="clear" w:pos="720"/>
          <w:tab w:val="left" w:pos="1134" w:leader="none"/>
          <w:tab w:val="left" w:pos="1276" w:leader="none"/>
        </w:tabs>
        <w:spacing w:before="0" w:after="120"/>
        <w:ind w:left="0" w:firstLine="567"/>
        <w:jc w:val="both"/>
        <w:rPr>
          <w:highlight w:val="none"/>
          <w:shd w:fill="FFFFFF" w:val="clear"/>
        </w:rPr>
      </w:pPr>
      <w:r>
        <w:rPr>
          <w:sz w:val="24"/>
          <w:szCs w:val="24"/>
          <w:shd w:fill="FFFFFF" w:val="clear"/>
        </w:rPr>
        <w:t>Если Поставщик не устранит недостатки в срок, установленный согласно п. 3.14. Договора, Покупатель вправе устранить их своими силами или силами третьих лиц и потребовать от Поставщика возмещения понесенных расходов. Поставщик обязан возместить расходы Покупателя в течение 10 (десяти) рабочих дней с даты получения соответствующего письменного требования Покупателя.</w:t>
      </w:r>
    </w:p>
    <w:p>
      <w:pPr>
        <w:pStyle w:val="Normal"/>
        <w:widowControl w:val="false"/>
        <w:numPr>
          <w:ilvl w:val="1"/>
          <w:numId w:val="4"/>
        </w:numPr>
        <w:shd w:val="clear" w:color="auto" w:fill="FFFFFF"/>
        <w:tabs>
          <w:tab w:val="clear" w:pos="720"/>
          <w:tab w:val="left" w:pos="1134" w:leader="none"/>
          <w:tab w:val="left" w:pos="1276" w:leader="none"/>
        </w:tabs>
        <w:spacing w:before="0" w:after="120"/>
        <w:ind w:left="0" w:firstLine="567"/>
        <w:jc w:val="both"/>
        <w:rPr>
          <w:highlight w:val="none"/>
          <w:shd w:fill="FFFFFF" w:val="clear"/>
        </w:rPr>
      </w:pPr>
      <w:r>
        <w:rPr>
          <w:sz w:val="24"/>
          <w:szCs w:val="24"/>
          <w:shd w:fill="FFFFFF" w:val="clear"/>
        </w:rPr>
        <w:t>Гарантийный срок на Продукцию увеличивается на тот период времени, в течение которого Покупатель не мог эксплуатировать Продукцию (ее часть) вследствие указанных в настоящем разделе недостатков. Гарантийный срок на замененную или отремонтированную единицу Продукции устанавливается продолжительностью, указанной в п. 3.12. Договора и начинает исчисляться заново с даты приемки Покупателем замены или работ по устранению недостатков.</w:t>
      </w:r>
    </w:p>
    <w:p>
      <w:pPr>
        <w:pStyle w:val="Normal"/>
        <w:widowControl w:val="false"/>
        <w:numPr>
          <w:ilvl w:val="1"/>
          <w:numId w:val="4"/>
        </w:numPr>
        <w:shd w:val="clear" w:color="auto" w:fill="FFFFFF"/>
        <w:tabs>
          <w:tab w:val="clear" w:pos="720"/>
          <w:tab w:val="left" w:pos="1134" w:leader="none"/>
          <w:tab w:val="left" w:pos="1276" w:leader="none"/>
        </w:tabs>
        <w:spacing w:before="0" w:after="120"/>
        <w:ind w:left="0" w:firstLine="567"/>
        <w:jc w:val="both"/>
        <w:rPr>
          <w:highlight w:val="none"/>
          <w:shd w:fill="FFFFFF" w:val="clear"/>
        </w:rPr>
      </w:pPr>
      <w:r>
        <w:rPr>
          <w:sz w:val="24"/>
          <w:szCs w:val="24"/>
          <w:shd w:fill="FFFFFF" w:val="clear"/>
        </w:rPr>
        <w:t>Устранение недостатков Продукции или возврат ее стоимости, в том числе в рамках срока, установленного в соответствии с п. 3.10. Договора, не освобождает Поставщика от ответственности за убытки, причиненные Покупателю вследствие наличия таких недостатков.</w:t>
      </w:r>
    </w:p>
    <w:p>
      <w:pPr>
        <w:pStyle w:val="Normal"/>
        <w:widowControl w:val="false"/>
        <w:numPr>
          <w:ilvl w:val="0"/>
          <w:numId w:val="6"/>
        </w:numPr>
        <w:shd w:val="clear" w:color="auto" w:fill="FFFFFF"/>
        <w:tabs>
          <w:tab w:val="clear" w:pos="720"/>
          <w:tab w:val="left" w:pos="426" w:leader="none"/>
        </w:tabs>
        <w:spacing w:before="0" w:after="120"/>
        <w:ind w:left="0" w:hanging="0"/>
        <w:jc w:val="center"/>
        <w:rPr>
          <w:highlight w:val="none"/>
          <w:shd w:fill="FFFFFF" w:val="clear"/>
        </w:rPr>
      </w:pPr>
      <w:r>
        <w:rPr>
          <w:b/>
          <w:sz w:val="24"/>
          <w:szCs w:val="24"/>
          <w:shd w:fill="FFFFFF" w:val="clear"/>
        </w:rPr>
        <w:t>Тара, упаковка, маркировка</w:t>
      </w:r>
    </w:p>
    <w:p>
      <w:pPr>
        <w:pStyle w:val="Normal"/>
        <w:widowControl w:val="false"/>
        <w:numPr>
          <w:ilvl w:val="1"/>
          <w:numId w:val="6"/>
        </w:numPr>
        <w:shd w:val="clear" w:color="auto" w:fill="FFFFFF"/>
        <w:tabs>
          <w:tab w:val="clear" w:pos="720"/>
          <w:tab w:val="left" w:pos="1276" w:leader="none"/>
          <w:tab w:val="left" w:pos="1418" w:leader="none"/>
        </w:tabs>
        <w:spacing w:before="0" w:after="120"/>
        <w:ind w:left="0" w:firstLine="567"/>
        <w:jc w:val="both"/>
        <w:rPr>
          <w:highlight w:val="none"/>
          <w:shd w:fill="FFFFFF" w:val="clear"/>
        </w:rPr>
      </w:pPr>
      <w:r>
        <w:rPr>
          <w:sz w:val="24"/>
          <w:szCs w:val="24"/>
          <w:shd w:fill="FFFFFF" w:val="clear"/>
        </w:rPr>
        <w:t>Продукция, поставляемая по Договору, должна отгружаться Поставщиком в таре и упаковке, обеспечивающих полную сохранность Продукции от всякого рода повреждений и порчи при ее перевозке и хранении с учетом возможных перегрузок и длительного хранения, в том числе в местностях с неблагоприятными климатическими условиями.</w:t>
      </w:r>
    </w:p>
    <w:p>
      <w:pPr>
        <w:pStyle w:val="Normal"/>
        <w:widowControl w:val="false"/>
        <w:numPr>
          <w:ilvl w:val="1"/>
          <w:numId w:val="6"/>
        </w:numPr>
        <w:shd w:val="clear" w:color="auto" w:fill="FFFFFF"/>
        <w:tabs>
          <w:tab w:val="clear" w:pos="720"/>
          <w:tab w:val="left" w:pos="1276" w:leader="none"/>
          <w:tab w:val="left" w:pos="1418" w:leader="none"/>
        </w:tabs>
        <w:spacing w:before="0" w:after="120"/>
        <w:ind w:left="0" w:firstLine="567"/>
        <w:jc w:val="both"/>
        <w:rPr>
          <w:highlight w:val="none"/>
          <w:shd w:fill="FFFFFF" w:val="clear"/>
        </w:rPr>
      </w:pPr>
      <w:r>
        <w:rPr>
          <w:sz w:val="24"/>
          <w:szCs w:val="24"/>
          <w:shd w:fill="FFFFFF" w:val="clear"/>
        </w:rPr>
        <w:t>При необходимости дополнительных требований к способам затаривания, упаковки и транспортировки, Стороны согласуют их в Спецификации в отношении каждого вида Продукции в соответствии с требованиями ГОСТ, технических регламентов, ОСТ и другой нормативно-технической документации.</w:t>
      </w:r>
    </w:p>
    <w:p>
      <w:pPr>
        <w:pStyle w:val="Normal"/>
        <w:widowControl w:val="false"/>
        <w:numPr>
          <w:ilvl w:val="1"/>
          <w:numId w:val="6"/>
        </w:numPr>
        <w:shd w:val="clear" w:color="auto" w:fill="FFFFFF"/>
        <w:tabs>
          <w:tab w:val="clear" w:pos="720"/>
          <w:tab w:val="left" w:pos="1276" w:leader="none"/>
          <w:tab w:val="left" w:pos="1418" w:leader="none"/>
        </w:tabs>
        <w:spacing w:before="0" w:after="120"/>
        <w:ind w:left="0" w:firstLine="567"/>
        <w:jc w:val="both"/>
        <w:rPr>
          <w:highlight w:val="none"/>
          <w:shd w:fill="FFFFFF" w:val="clear"/>
        </w:rPr>
      </w:pPr>
      <w:r>
        <w:rPr>
          <w:sz w:val="24"/>
          <w:szCs w:val="24"/>
          <w:shd w:fill="FFFFFF" w:val="clear"/>
        </w:rPr>
        <w:t>Продукция, упаковка, тара должны быть надлежащим образом промаркированы. На таре и упаковке должны быть указаны:</w:t>
      </w:r>
    </w:p>
    <w:p>
      <w:pPr>
        <w:pStyle w:val="Normal"/>
        <w:widowControl w:val="false"/>
        <w:numPr>
          <w:ilvl w:val="0"/>
          <w:numId w:val="5"/>
        </w:numPr>
        <w:shd w:val="clear" w:color="auto" w:fill="FFFFFF"/>
        <w:tabs>
          <w:tab w:val="clear" w:pos="720"/>
          <w:tab w:val="left" w:pos="1276" w:leader="none"/>
          <w:tab w:val="left" w:pos="1418" w:leader="none"/>
        </w:tabs>
        <w:spacing w:before="0" w:after="120"/>
        <w:ind w:left="0" w:firstLine="567"/>
        <w:jc w:val="both"/>
        <w:rPr>
          <w:highlight w:val="none"/>
          <w:shd w:fill="FFFFFF" w:val="clear"/>
        </w:rPr>
      </w:pPr>
      <w:r>
        <w:rPr>
          <w:sz w:val="24"/>
          <w:szCs w:val="24"/>
          <w:shd w:fill="FFFFFF" w:val="clear"/>
        </w:rPr>
        <w:t>наименование и адрес грузоотправителя и грузополучателя;</w:t>
      </w:r>
    </w:p>
    <w:p>
      <w:pPr>
        <w:pStyle w:val="Normal"/>
        <w:widowControl w:val="false"/>
        <w:numPr>
          <w:ilvl w:val="0"/>
          <w:numId w:val="5"/>
        </w:numPr>
        <w:shd w:val="clear" w:color="auto" w:fill="FFFFFF"/>
        <w:tabs>
          <w:tab w:val="clear" w:pos="720"/>
          <w:tab w:val="left" w:pos="1276" w:leader="none"/>
          <w:tab w:val="left" w:pos="1418" w:leader="none"/>
        </w:tabs>
        <w:spacing w:before="0" w:after="120"/>
        <w:ind w:left="0" w:firstLine="567"/>
        <w:jc w:val="both"/>
        <w:rPr>
          <w:highlight w:val="none"/>
          <w:shd w:fill="FFFFFF" w:val="clear"/>
        </w:rPr>
      </w:pPr>
      <w:r>
        <w:rPr>
          <w:sz w:val="24"/>
          <w:szCs w:val="24"/>
          <w:shd w:fill="FFFFFF" w:val="clear"/>
        </w:rPr>
        <w:t>номер Товарной накладной и/или Товарно-транспортной накладной;</w:t>
      </w:r>
    </w:p>
    <w:p>
      <w:pPr>
        <w:pStyle w:val="Normal"/>
        <w:widowControl w:val="false"/>
        <w:numPr>
          <w:ilvl w:val="0"/>
          <w:numId w:val="5"/>
        </w:numPr>
        <w:shd w:val="clear" w:color="auto" w:fill="FFFFFF"/>
        <w:tabs>
          <w:tab w:val="clear" w:pos="720"/>
          <w:tab w:val="left" w:pos="1276" w:leader="none"/>
          <w:tab w:val="left" w:pos="1418" w:leader="none"/>
        </w:tabs>
        <w:spacing w:before="0" w:after="120"/>
        <w:ind w:left="0" w:firstLine="567"/>
        <w:jc w:val="both"/>
        <w:rPr>
          <w:highlight w:val="none"/>
          <w:shd w:fill="FFFFFF" w:val="clear"/>
        </w:rPr>
      </w:pPr>
      <w:r>
        <w:rPr>
          <w:sz w:val="24"/>
          <w:szCs w:val="24"/>
          <w:shd w:fill="FFFFFF" w:val="clear"/>
        </w:rPr>
        <w:t>вес, брутто/нетто каждого места;</w:t>
      </w:r>
    </w:p>
    <w:p>
      <w:pPr>
        <w:pStyle w:val="Normal"/>
        <w:widowControl w:val="false"/>
        <w:numPr>
          <w:ilvl w:val="0"/>
          <w:numId w:val="5"/>
        </w:numPr>
        <w:shd w:val="clear" w:color="auto" w:fill="FFFFFF"/>
        <w:tabs>
          <w:tab w:val="clear" w:pos="720"/>
          <w:tab w:val="left" w:pos="1276" w:leader="none"/>
          <w:tab w:val="left" w:pos="1418" w:leader="none"/>
        </w:tabs>
        <w:spacing w:before="0" w:after="120"/>
        <w:ind w:left="0" w:firstLine="567"/>
        <w:jc w:val="both"/>
        <w:rPr>
          <w:highlight w:val="none"/>
          <w:shd w:fill="FFFFFF" w:val="clear"/>
        </w:rPr>
      </w:pPr>
      <w:r>
        <w:rPr>
          <w:sz w:val="24"/>
          <w:szCs w:val="24"/>
          <w:shd w:fill="FFFFFF" w:val="clear"/>
        </w:rPr>
        <w:t>наименование Продукции;</w:t>
      </w:r>
    </w:p>
    <w:p>
      <w:pPr>
        <w:pStyle w:val="Normal"/>
        <w:widowControl w:val="false"/>
        <w:numPr>
          <w:ilvl w:val="0"/>
          <w:numId w:val="5"/>
        </w:numPr>
        <w:shd w:val="clear" w:color="auto" w:fill="FFFFFF"/>
        <w:tabs>
          <w:tab w:val="clear" w:pos="720"/>
          <w:tab w:val="left" w:pos="1276" w:leader="none"/>
          <w:tab w:val="left" w:pos="1418" w:leader="none"/>
        </w:tabs>
        <w:spacing w:before="0" w:after="120"/>
        <w:ind w:left="0" w:firstLine="567"/>
        <w:jc w:val="both"/>
        <w:rPr>
          <w:highlight w:val="none"/>
          <w:shd w:fill="FFFFFF" w:val="clear"/>
        </w:rPr>
      </w:pPr>
      <w:r>
        <w:rPr>
          <w:sz w:val="24"/>
          <w:szCs w:val="24"/>
          <w:shd w:fill="FFFFFF" w:val="clear"/>
        </w:rPr>
        <w:t>номера мест и их общее количество;</w:t>
      </w:r>
    </w:p>
    <w:p>
      <w:pPr>
        <w:pStyle w:val="Normal"/>
        <w:widowControl w:val="false"/>
        <w:numPr>
          <w:ilvl w:val="0"/>
          <w:numId w:val="5"/>
        </w:numPr>
        <w:shd w:val="clear" w:color="auto" w:fill="FFFFFF"/>
        <w:tabs>
          <w:tab w:val="clear" w:pos="720"/>
          <w:tab w:val="left" w:pos="1276" w:leader="none"/>
          <w:tab w:val="left" w:pos="1418" w:leader="none"/>
        </w:tabs>
        <w:spacing w:before="0" w:after="120"/>
        <w:ind w:left="0" w:firstLine="567"/>
        <w:jc w:val="both"/>
        <w:rPr>
          <w:highlight w:val="none"/>
          <w:shd w:fill="FFFFFF" w:val="clear"/>
        </w:rPr>
      </w:pPr>
      <w:r>
        <w:rPr>
          <w:sz w:val="24"/>
          <w:szCs w:val="24"/>
          <w:shd w:fill="FFFFFF" w:val="clear"/>
        </w:rPr>
        <w:t>весогабаритные характеристики мест;</w:t>
      </w:r>
    </w:p>
    <w:p>
      <w:pPr>
        <w:pStyle w:val="Normal"/>
        <w:widowControl w:val="false"/>
        <w:numPr>
          <w:ilvl w:val="0"/>
          <w:numId w:val="5"/>
        </w:numPr>
        <w:shd w:val="clear" w:color="auto" w:fill="FFFFFF"/>
        <w:tabs>
          <w:tab w:val="clear" w:pos="720"/>
          <w:tab w:val="left" w:pos="1276" w:leader="none"/>
          <w:tab w:val="left" w:pos="1418" w:leader="none"/>
        </w:tabs>
        <w:spacing w:before="0" w:after="120"/>
        <w:ind w:left="0" w:firstLine="567"/>
        <w:jc w:val="both"/>
        <w:rPr>
          <w:highlight w:val="none"/>
          <w:shd w:fill="FFFFFF" w:val="clear"/>
        </w:rPr>
      </w:pPr>
      <w:r>
        <w:rPr>
          <w:sz w:val="24"/>
          <w:szCs w:val="24"/>
          <w:shd w:fill="FFFFFF" w:val="clear"/>
        </w:rPr>
        <w:t>центр тяжести;</w:t>
      </w:r>
    </w:p>
    <w:p>
      <w:pPr>
        <w:pStyle w:val="Normal"/>
        <w:widowControl w:val="false"/>
        <w:numPr>
          <w:ilvl w:val="0"/>
          <w:numId w:val="5"/>
        </w:numPr>
        <w:shd w:val="clear" w:color="auto" w:fill="FFFFFF"/>
        <w:tabs>
          <w:tab w:val="clear" w:pos="720"/>
          <w:tab w:val="left" w:pos="1276" w:leader="none"/>
          <w:tab w:val="left" w:pos="1418" w:leader="none"/>
        </w:tabs>
        <w:spacing w:before="0" w:after="120"/>
        <w:ind w:left="0" w:firstLine="567"/>
        <w:jc w:val="both"/>
        <w:rPr>
          <w:highlight w:val="none"/>
          <w:shd w:fill="FFFFFF" w:val="clear"/>
        </w:rPr>
      </w:pPr>
      <w:r>
        <w:rPr>
          <w:sz w:val="24"/>
          <w:szCs w:val="24"/>
          <w:shd w:fill="FFFFFF" w:val="clear"/>
        </w:rPr>
        <w:t>условия хранения;</w:t>
      </w:r>
    </w:p>
    <w:p>
      <w:pPr>
        <w:pStyle w:val="Normal"/>
        <w:widowControl w:val="false"/>
        <w:numPr>
          <w:ilvl w:val="0"/>
          <w:numId w:val="5"/>
        </w:numPr>
        <w:shd w:val="clear" w:color="auto" w:fill="FFFFFF"/>
        <w:tabs>
          <w:tab w:val="clear" w:pos="720"/>
          <w:tab w:val="left" w:pos="1276" w:leader="none"/>
          <w:tab w:val="left" w:pos="1418" w:leader="none"/>
        </w:tabs>
        <w:spacing w:before="0" w:after="120"/>
        <w:ind w:left="0" w:firstLine="567"/>
        <w:jc w:val="both"/>
        <w:rPr>
          <w:highlight w:val="none"/>
          <w:shd w:fill="FFFFFF" w:val="clear"/>
        </w:rPr>
      </w:pPr>
      <w:r>
        <w:rPr>
          <w:sz w:val="24"/>
          <w:szCs w:val="24"/>
          <w:shd w:fill="FFFFFF" w:val="clear"/>
        </w:rPr>
        <w:t>обозначения типа «не бросать» и другие обычно используемые обозначения.</w:t>
      </w:r>
    </w:p>
    <w:p>
      <w:pPr>
        <w:pStyle w:val="Normal"/>
        <w:widowControl w:val="false"/>
        <w:numPr>
          <w:ilvl w:val="1"/>
          <w:numId w:val="6"/>
        </w:numPr>
        <w:shd w:val="clear" w:color="auto" w:fill="FFFFFF"/>
        <w:tabs>
          <w:tab w:val="clear" w:pos="720"/>
          <w:tab w:val="left" w:pos="1276" w:leader="none"/>
          <w:tab w:val="left" w:pos="1418" w:leader="none"/>
        </w:tabs>
        <w:spacing w:before="0" w:after="120"/>
        <w:ind w:left="0" w:firstLine="567"/>
        <w:jc w:val="both"/>
        <w:rPr>
          <w:highlight w:val="none"/>
          <w:shd w:fill="FFFFFF" w:val="clear"/>
        </w:rPr>
      </w:pPr>
      <w:r>
        <w:rPr>
          <w:sz w:val="24"/>
          <w:szCs w:val="24"/>
          <w:shd w:fill="FFFFFF" w:val="clear"/>
        </w:rPr>
        <w:t>Стоимость тары и упаковки включена в Цену Договора; тара и упаковка возврату не подлежат.</w:t>
      </w:r>
    </w:p>
    <w:p>
      <w:pPr>
        <w:pStyle w:val="Normal"/>
        <w:widowControl w:val="false"/>
        <w:shd w:val="clear" w:color="auto" w:fill="FFFFFF"/>
        <w:tabs>
          <w:tab w:val="clear" w:pos="720"/>
          <w:tab w:val="left" w:pos="1276" w:leader="none"/>
          <w:tab w:val="left" w:pos="1418" w:leader="none"/>
        </w:tabs>
        <w:spacing w:before="0" w:after="120"/>
        <w:jc w:val="both"/>
        <w:rPr>
          <w:sz w:val="24"/>
          <w:szCs w:val="24"/>
          <w:highlight w:val="none"/>
          <w:shd w:fill="FFFFFF" w:val="clear"/>
        </w:rPr>
      </w:pPr>
      <w:r>
        <w:rPr>
          <w:sz w:val="24"/>
          <w:szCs w:val="24"/>
          <w:shd w:fill="FFFFFF" w:val="clear"/>
        </w:rPr>
      </w:r>
    </w:p>
    <w:p>
      <w:pPr>
        <w:pStyle w:val="Normal"/>
        <w:widowControl w:val="false"/>
        <w:numPr>
          <w:ilvl w:val="0"/>
          <w:numId w:val="6"/>
        </w:numPr>
        <w:shd w:val="clear" w:color="auto" w:fill="FFFFFF"/>
        <w:tabs>
          <w:tab w:val="clear" w:pos="720"/>
          <w:tab w:val="left" w:pos="426" w:leader="none"/>
        </w:tabs>
        <w:spacing w:before="0" w:after="120"/>
        <w:ind w:left="0" w:hanging="0"/>
        <w:jc w:val="center"/>
        <w:rPr>
          <w:highlight w:val="none"/>
          <w:shd w:fill="FFFFFF" w:val="clear"/>
        </w:rPr>
      </w:pPr>
      <w:r>
        <w:rPr>
          <w:b/>
          <w:sz w:val="24"/>
          <w:szCs w:val="24"/>
          <w:shd w:fill="FFFFFF" w:val="clear"/>
        </w:rPr>
        <w:t>Сроки, порядок и условия поставки, переход права собственности</w:t>
      </w:r>
    </w:p>
    <w:p>
      <w:pPr>
        <w:pStyle w:val="ListParagraph"/>
        <w:numPr>
          <w:ilvl w:val="1"/>
          <w:numId w:val="6"/>
        </w:numPr>
        <w:tabs>
          <w:tab w:val="clear" w:pos="720"/>
          <w:tab w:val="left" w:pos="0" w:leader="none"/>
          <w:tab w:val="left" w:pos="1276" w:leader="none"/>
        </w:tabs>
        <w:spacing w:before="0" w:after="120"/>
        <w:ind w:left="0" w:firstLine="567"/>
        <w:contextualSpacing w:val="false"/>
        <w:jc w:val="both"/>
        <w:rPr>
          <w:highlight w:val="none"/>
          <w:shd w:fill="FFFFFF" w:val="clear"/>
        </w:rPr>
      </w:pPr>
      <w:r>
        <w:rPr>
          <w:sz w:val="24"/>
          <w:szCs w:val="24"/>
          <w:shd w:fill="FFFFFF" w:val="clear"/>
        </w:rPr>
        <w:t xml:space="preserve">Поставка Продукции по Договору осуществляется Поставщиком одной партией в Место поставки согласно п.1.4. Доставка и разгрузка Продукции осуществляется Поставщиком. </w:t>
      </w:r>
    </w:p>
    <w:p>
      <w:pPr>
        <w:pStyle w:val="Normal"/>
        <w:widowControl w:val="false"/>
        <w:numPr>
          <w:ilvl w:val="1"/>
          <w:numId w:val="6"/>
        </w:numPr>
        <w:shd w:val="clear" w:color="auto" w:fill="FFFFFF"/>
        <w:tabs>
          <w:tab w:val="clear" w:pos="720"/>
          <w:tab w:val="left" w:pos="1276" w:leader="none"/>
        </w:tabs>
        <w:spacing w:before="0" w:after="120"/>
        <w:ind w:left="0" w:firstLine="567"/>
        <w:jc w:val="both"/>
        <w:rPr>
          <w:highlight w:val="none"/>
          <w:shd w:fill="FFFFFF" w:val="clear"/>
        </w:rPr>
      </w:pPr>
      <w:r>
        <w:rPr>
          <w:sz w:val="24"/>
          <w:szCs w:val="24"/>
          <w:shd w:fill="FFFFFF" w:val="clear"/>
        </w:rPr>
        <w:t>Поставщик обязан уведомить Покупателя о дате поставки Продукции не позднее, чем за 3 (три) календарных дня до даты поставки.</w:t>
      </w:r>
    </w:p>
    <w:p>
      <w:pPr>
        <w:pStyle w:val="Normal"/>
        <w:widowControl w:val="false"/>
        <w:numPr>
          <w:ilvl w:val="1"/>
          <w:numId w:val="6"/>
        </w:numPr>
        <w:shd w:val="clear" w:color="auto" w:fill="FFFFFF"/>
        <w:tabs>
          <w:tab w:val="clear" w:pos="720"/>
          <w:tab w:val="left" w:pos="1276" w:leader="none"/>
        </w:tabs>
        <w:spacing w:before="0" w:after="120"/>
        <w:ind w:left="0" w:firstLine="567"/>
        <w:jc w:val="both"/>
        <w:rPr>
          <w:highlight w:val="none"/>
          <w:shd w:fill="FFFFFF" w:val="clear"/>
        </w:rPr>
      </w:pPr>
      <w:r>
        <w:rPr>
          <w:sz w:val="24"/>
          <w:szCs w:val="24"/>
          <w:shd w:fill="FFFFFF" w:val="clear"/>
        </w:rPr>
        <w:t xml:space="preserve">Право собственности и риск случайного повреждения, гибели Продукции переходит от Поставщика к Покупателю с момента подписания Покупателем Товарной накладной по форме ТОРГ-12 или Универсального передаточного документа (УПД). Датой поставки Продукции считается дата подписания товарной накладной по форме ТОРГ-12 или Универсального передаточного документа (УПД) Покупателем. </w:t>
      </w:r>
    </w:p>
    <w:p>
      <w:pPr>
        <w:pStyle w:val="Normal"/>
        <w:widowControl w:val="false"/>
        <w:numPr>
          <w:ilvl w:val="1"/>
          <w:numId w:val="6"/>
        </w:numPr>
        <w:shd w:val="clear" w:color="auto" w:fill="FFFFFF"/>
        <w:tabs>
          <w:tab w:val="clear" w:pos="720"/>
          <w:tab w:val="left" w:pos="1276" w:leader="none"/>
        </w:tabs>
        <w:spacing w:before="0" w:after="120"/>
        <w:ind w:left="0" w:firstLine="567"/>
        <w:jc w:val="both"/>
        <w:rPr>
          <w:highlight w:val="none"/>
          <w:shd w:fill="FFFFFF" w:val="clear"/>
        </w:rPr>
      </w:pPr>
      <w:r>
        <w:rPr>
          <w:sz w:val="24"/>
          <w:szCs w:val="24"/>
          <w:shd w:fill="FFFFFF" w:val="clear"/>
        </w:rPr>
        <w:t xml:space="preserve">В случае если документы первичной отчетности оформлены не по форме и/или оформлены не полностью (отсутствуют обязательные реквизиты, заполнены не все поля, разделы), либо оформлены с ошибками, либо предоставлены не в полном объеме, то Покупатель вправе вернуть такие документы Поставщику на переоформление, что не освобождает Поставщика от ответственности за просрочку срока поставки Продукции, до момента предоставления Поставщиком надлежаще оформленных первичных документов. </w:t>
      </w:r>
    </w:p>
    <w:p>
      <w:pPr>
        <w:pStyle w:val="Normal"/>
        <w:widowControl w:val="false"/>
        <w:numPr>
          <w:ilvl w:val="1"/>
          <w:numId w:val="6"/>
        </w:numPr>
        <w:shd w:val="clear" w:color="auto" w:fill="FFFFFF"/>
        <w:tabs>
          <w:tab w:val="clear" w:pos="720"/>
          <w:tab w:val="left" w:pos="1276" w:leader="none"/>
        </w:tabs>
        <w:spacing w:before="0" w:after="120"/>
        <w:ind w:left="0" w:firstLine="567"/>
        <w:jc w:val="both"/>
        <w:rPr>
          <w:highlight w:val="none"/>
          <w:shd w:fill="FFFFFF" w:val="clear"/>
        </w:rPr>
      </w:pPr>
      <w:r>
        <w:rPr>
          <w:sz w:val="24"/>
          <w:szCs w:val="24"/>
          <w:shd w:fill="FFFFFF" w:val="clear"/>
        </w:rPr>
        <w:t xml:space="preserve">Поставщик несет ответственность за получение (если это необходимо) разрешений властей на транспортировку Продукции в Место поставки, лицензий и иных необходимых документов. </w:t>
      </w:r>
    </w:p>
    <w:p>
      <w:pPr>
        <w:pStyle w:val="Normal"/>
        <w:widowControl w:val="false"/>
        <w:shd w:val="clear" w:color="auto" w:fill="FFFFFF"/>
        <w:tabs>
          <w:tab w:val="clear" w:pos="720"/>
          <w:tab w:val="left" w:pos="1276" w:leader="none"/>
        </w:tabs>
        <w:spacing w:before="0" w:after="120"/>
        <w:ind w:left="360" w:hanging="0"/>
        <w:jc w:val="both"/>
        <w:rPr>
          <w:sz w:val="24"/>
          <w:szCs w:val="24"/>
          <w:highlight w:val="none"/>
          <w:shd w:fill="FFFFFF" w:val="clear"/>
        </w:rPr>
      </w:pPr>
      <w:r>
        <w:rPr>
          <w:sz w:val="24"/>
          <w:szCs w:val="24"/>
          <w:shd w:fill="FFFFFF" w:val="clear"/>
        </w:rPr>
      </w:r>
    </w:p>
    <w:p>
      <w:pPr>
        <w:pStyle w:val="Normal"/>
        <w:widowControl w:val="false"/>
        <w:numPr>
          <w:ilvl w:val="0"/>
          <w:numId w:val="6"/>
        </w:numPr>
        <w:shd w:val="clear" w:color="auto" w:fill="FFFFFF"/>
        <w:tabs>
          <w:tab w:val="clear" w:pos="720"/>
          <w:tab w:val="left" w:pos="426" w:leader="none"/>
        </w:tabs>
        <w:spacing w:before="0" w:after="120"/>
        <w:ind w:left="0" w:hanging="0"/>
        <w:jc w:val="center"/>
        <w:rPr>
          <w:highlight w:val="none"/>
          <w:shd w:fill="FFFFFF" w:val="clear"/>
        </w:rPr>
      </w:pPr>
      <w:r>
        <w:rPr>
          <w:b/>
          <w:sz w:val="24"/>
          <w:szCs w:val="24"/>
          <w:shd w:fill="FFFFFF" w:val="clear"/>
        </w:rPr>
        <w:t>Ответственность по Договору</w:t>
      </w:r>
    </w:p>
    <w:p>
      <w:pPr>
        <w:pStyle w:val="Normal"/>
        <w:widowControl w:val="false"/>
        <w:numPr>
          <w:ilvl w:val="1"/>
          <w:numId w:val="6"/>
        </w:numPr>
        <w:shd w:val="clear" w:color="auto" w:fill="FFFFFF"/>
        <w:tabs>
          <w:tab w:val="clear" w:pos="720"/>
          <w:tab w:val="left" w:pos="1276" w:leader="none"/>
        </w:tabs>
        <w:spacing w:before="0" w:after="120"/>
        <w:ind w:left="0" w:firstLine="567"/>
        <w:jc w:val="both"/>
        <w:rPr>
          <w:highlight w:val="none"/>
          <w:shd w:fill="FFFFFF" w:val="clear"/>
        </w:rPr>
      </w:pPr>
      <w:r>
        <w:rPr>
          <w:sz w:val="24"/>
          <w:szCs w:val="24"/>
          <w:shd w:fill="FFFFFF" w:val="clear"/>
        </w:rPr>
        <w:t xml:space="preserve">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 Меры ответственности, предусмотренные Договором, не заменяют мер ответственности, установленных законодательством и должны рассматриваться как дополнительные, если в Договоре прямо не оговорено иное. </w:t>
      </w:r>
    </w:p>
    <w:p>
      <w:pPr>
        <w:pStyle w:val="Normal"/>
        <w:widowControl w:val="false"/>
        <w:numPr>
          <w:ilvl w:val="1"/>
          <w:numId w:val="6"/>
        </w:numPr>
        <w:shd w:val="clear" w:color="auto" w:fill="FFFFFF"/>
        <w:tabs>
          <w:tab w:val="clear" w:pos="720"/>
          <w:tab w:val="left" w:pos="1276" w:leader="none"/>
        </w:tabs>
        <w:spacing w:before="0" w:after="120"/>
        <w:ind w:left="0" w:firstLine="567"/>
        <w:jc w:val="both"/>
        <w:rPr>
          <w:highlight w:val="none"/>
          <w:shd w:fill="FFFFFF" w:val="clear"/>
        </w:rPr>
      </w:pPr>
      <w:r>
        <w:rPr>
          <w:sz w:val="24"/>
          <w:szCs w:val="24"/>
          <w:shd w:fill="FFFFFF" w:val="clear"/>
        </w:rPr>
        <w:t>Неустойка и/или иные штрафные санкции за ненадлежащее исполнение (неисполнение) Покупателем обязательств по внесению предварительной оплаты (аванса) не устанавливается.</w:t>
      </w:r>
    </w:p>
    <w:p>
      <w:pPr>
        <w:pStyle w:val="Normal"/>
        <w:widowControl w:val="false"/>
        <w:numPr>
          <w:ilvl w:val="1"/>
          <w:numId w:val="6"/>
        </w:numPr>
        <w:shd w:val="clear" w:color="auto" w:fill="FFFFFF"/>
        <w:tabs>
          <w:tab w:val="clear" w:pos="720"/>
          <w:tab w:val="left" w:pos="1276" w:leader="none"/>
        </w:tabs>
        <w:spacing w:before="0" w:after="120"/>
        <w:ind w:left="0" w:firstLine="567"/>
        <w:jc w:val="both"/>
        <w:rPr>
          <w:highlight w:val="none"/>
          <w:shd w:fill="FFFFFF" w:val="clear"/>
        </w:rPr>
      </w:pPr>
      <w:r>
        <w:rPr>
          <w:sz w:val="24"/>
          <w:szCs w:val="24"/>
          <w:shd w:fill="FFFFFF" w:val="clear"/>
        </w:rPr>
        <w:t>В случае нарушения Покупателем сроков оплаты поставленной Продукции, Поставщик вправе потребовать уплаты Покупателем неустойки в размере 0,1 (ноль целых и одна десятая) процента от несвоевременно оплаченной суммы за каждый день просрочки.</w:t>
      </w:r>
      <w:r>
        <w:rPr>
          <w:sz w:val="28"/>
          <w:szCs w:val="28"/>
          <w:shd w:fill="FFFFFF" w:val="clear"/>
        </w:rPr>
        <w:t xml:space="preserve"> </w:t>
      </w:r>
      <w:r>
        <w:rPr>
          <w:sz w:val="24"/>
          <w:szCs w:val="24"/>
          <w:shd w:fill="FFFFFF" w:val="clear"/>
        </w:rPr>
        <w:t xml:space="preserve">При этом такая неустойка является единственным возмещением объективно оцененных Сторонами возможных убытков Поставщика (исключительная неустойка). </w:t>
      </w:r>
    </w:p>
    <w:p>
      <w:pPr>
        <w:pStyle w:val="Normal"/>
        <w:widowControl w:val="false"/>
        <w:numPr>
          <w:ilvl w:val="1"/>
          <w:numId w:val="6"/>
        </w:numPr>
        <w:shd w:val="clear" w:color="auto" w:fill="FFFFFF"/>
        <w:tabs>
          <w:tab w:val="clear" w:pos="720"/>
          <w:tab w:val="left" w:pos="1276" w:leader="none"/>
        </w:tabs>
        <w:spacing w:before="0" w:after="120"/>
        <w:ind w:left="0" w:firstLine="567"/>
        <w:jc w:val="both"/>
        <w:rPr>
          <w:highlight w:val="none"/>
          <w:shd w:fill="FFFFFF" w:val="clear"/>
        </w:rPr>
      </w:pPr>
      <w:r>
        <w:rPr>
          <w:sz w:val="24"/>
          <w:szCs w:val="24"/>
          <w:shd w:fill="FFFFFF" w:val="clear"/>
        </w:rPr>
        <w:t xml:space="preserve">В случае </w:t>
      </w:r>
      <w:bookmarkStart w:id="4" w:name="_Hlk130023740"/>
      <w:r>
        <w:rPr>
          <w:sz w:val="24"/>
          <w:szCs w:val="24"/>
          <w:shd w:fill="FFFFFF" w:val="clear"/>
        </w:rPr>
        <w:t xml:space="preserve">нарушения </w:t>
      </w:r>
      <w:bookmarkEnd w:id="4"/>
      <w:r>
        <w:rPr>
          <w:sz w:val="24"/>
          <w:szCs w:val="24"/>
          <w:shd w:fill="FFFFFF" w:val="clear"/>
        </w:rPr>
        <w:t xml:space="preserve">Поставщиком обязательств по поставке Продукции (нарушение срока поставки, недопоставка), Покупатель вправе потребовать уплаты Поставщиком неустойки в размере 0,1% от Цены Договора, за каждый день просрочки. </w:t>
      </w:r>
    </w:p>
    <w:p>
      <w:pPr>
        <w:pStyle w:val="Normal"/>
        <w:tabs>
          <w:tab w:val="clear" w:pos="720"/>
          <w:tab w:val="left" w:pos="1701" w:leader="none"/>
        </w:tabs>
        <w:jc w:val="both"/>
        <w:rPr>
          <w:highlight w:val="none"/>
          <w:shd w:fill="FFFFFF" w:val="clear"/>
        </w:rPr>
      </w:pPr>
      <w:r>
        <w:rPr>
          <w:sz w:val="24"/>
          <w:szCs w:val="24"/>
          <w:shd w:fill="FFFFFF" w:val="clear"/>
        </w:rPr>
        <w:tab/>
        <w:t>В случае несвоевременного устранения Поставщиком выявленных недостатков Продукции, согласно п.3.14 Договора, Покупатель вправе потребовать уплаты Поставщиком:</w:t>
      </w:r>
    </w:p>
    <w:p>
      <w:pPr>
        <w:pStyle w:val="Normal"/>
        <w:numPr>
          <w:ilvl w:val="0"/>
          <w:numId w:val="17"/>
        </w:numPr>
        <w:tabs>
          <w:tab w:val="clear" w:pos="720"/>
          <w:tab w:val="left" w:pos="1701" w:leader="none"/>
        </w:tabs>
        <w:ind w:left="0" w:firstLine="709"/>
        <w:jc w:val="both"/>
        <w:rPr>
          <w:highlight w:val="none"/>
          <w:shd w:fill="FFFFFF" w:val="clear"/>
        </w:rPr>
      </w:pPr>
      <w:r>
        <w:rPr>
          <w:rFonts w:eastAsia="Calibri"/>
          <w:bCs/>
          <w:sz w:val="24"/>
          <w:szCs w:val="24"/>
          <w:shd w:fill="FFFFFF" w:val="clear"/>
        </w:rPr>
        <w:t xml:space="preserve">неустойки в размере 0,1 (ноль целых и одна десятая) процента от Цены Договора за каждый день просрочки – в случае несвоевременного устранения выявленных недостатков </w:t>
      </w:r>
      <w:r>
        <w:rPr>
          <w:sz w:val="24"/>
          <w:szCs w:val="24"/>
          <w:shd w:fill="FFFFFF" w:val="clear"/>
        </w:rPr>
        <w:t>Продукции</w:t>
      </w:r>
      <w:r>
        <w:rPr>
          <w:rFonts w:eastAsia="Calibri"/>
          <w:bCs/>
          <w:sz w:val="24"/>
          <w:szCs w:val="24"/>
          <w:shd w:fill="FFFFFF" w:val="clear"/>
        </w:rPr>
        <w:t xml:space="preserve">, влияющих на возможность эксплуатации (использования) </w:t>
      </w:r>
      <w:r>
        <w:rPr>
          <w:sz w:val="24"/>
          <w:szCs w:val="24"/>
          <w:shd w:fill="FFFFFF" w:val="clear"/>
        </w:rPr>
        <w:t>Продукции</w:t>
      </w:r>
      <w:r>
        <w:rPr>
          <w:rFonts w:eastAsia="Calibri"/>
          <w:bCs/>
          <w:sz w:val="24"/>
          <w:szCs w:val="24"/>
          <w:shd w:fill="FFFFFF" w:val="clear"/>
        </w:rPr>
        <w:t xml:space="preserve"> в целом;</w:t>
      </w:r>
    </w:p>
    <w:p>
      <w:pPr>
        <w:pStyle w:val="Normal"/>
        <w:numPr>
          <w:ilvl w:val="0"/>
          <w:numId w:val="17"/>
        </w:numPr>
        <w:tabs>
          <w:tab w:val="clear" w:pos="720"/>
          <w:tab w:val="left" w:pos="1701" w:leader="none"/>
        </w:tabs>
        <w:ind w:left="0" w:firstLine="709"/>
        <w:jc w:val="both"/>
        <w:rPr>
          <w:highlight w:val="none"/>
          <w:shd w:fill="FFFFFF" w:val="clear"/>
        </w:rPr>
      </w:pPr>
      <w:r>
        <w:rPr>
          <w:rFonts w:eastAsia="Calibri"/>
          <w:bCs/>
          <w:sz w:val="24"/>
          <w:szCs w:val="24"/>
          <w:shd w:fill="FFFFFF" w:val="clear"/>
        </w:rPr>
        <w:t xml:space="preserve">неустойки в размере 0,1 (ноль целых и одна десятая) процента от стоимости некачественной </w:t>
      </w:r>
      <w:r>
        <w:rPr>
          <w:sz w:val="24"/>
          <w:szCs w:val="24"/>
          <w:shd w:fill="FFFFFF" w:val="clear"/>
        </w:rPr>
        <w:t>Продукции</w:t>
      </w:r>
      <w:r>
        <w:rPr>
          <w:rFonts w:eastAsia="Calibri"/>
          <w:bCs/>
          <w:sz w:val="24"/>
          <w:szCs w:val="24"/>
          <w:shd w:fill="FFFFFF" w:val="clear"/>
        </w:rPr>
        <w:t xml:space="preserve"> за каждый день просрочки – в случае несвоевременного устранения выявленных недостатков </w:t>
      </w:r>
      <w:r>
        <w:rPr>
          <w:sz w:val="24"/>
          <w:szCs w:val="24"/>
          <w:shd w:fill="FFFFFF" w:val="clear"/>
        </w:rPr>
        <w:t>Продукции</w:t>
      </w:r>
      <w:r>
        <w:rPr>
          <w:rFonts w:eastAsia="Calibri"/>
          <w:bCs/>
          <w:sz w:val="24"/>
          <w:szCs w:val="24"/>
          <w:shd w:fill="FFFFFF" w:val="clear"/>
        </w:rPr>
        <w:t xml:space="preserve">, не влияющих на возможность эксплуатации (использования) </w:t>
      </w:r>
      <w:r>
        <w:rPr>
          <w:sz w:val="24"/>
          <w:szCs w:val="24"/>
          <w:shd w:fill="FFFFFF" w:val="clear"/>
        </w:rPr>
        <w:t>Продукции</w:t>
      </w:r>
      <w:r>
        <w:rPr>
          <w:rFonts w:eastAsia="Calibri"/>
          <w:bCs/>
          <w:sz w:val="24"/>
          <w:szCs w:val="24"/>
          <w:shd w:fill="FFFFFF" w:val="clear"/>
        </w:rPr>
        <w:t xml:space="preserve"> в целом.</w:t>
      </w:r>
    </w:p>
    <w:p>
      <w:pPr>
        <w:pStyle w:val="Normal"/>
        <w:widowControl w:val="false"/>
        <w:shd w:val="clear" w:color="auto" w:fill="FFFFFF"/>
        <w:tabs>
          <w:tab w:val="clear" w:pos="720"/>
          <w:tab w:val="left" w:pos="1276" w:leader="none"/>
        </w:tabs>
        <w:spacing w:before="0" w:after="120"/>
        <w:jc w:val="both"/>
        <w:rPr>
          <w:highlight w:val="none"/>
          <w:shd w:fill="FFFFFF" w:val="clear"/>
        </w:rPr>
      </w:pPr>
      <w:r>
        <w:rPr>
          <w:sz w:val="24"/>
          <w:szCs w:val="24"/>
          <w:shd w:fill="FFFFFF" w:val="clear"/>
        </w:rPr>
        <w:tab/>
        <w:t xml:space="preserve">Уплата неустойки не лишает Покупателя права требовать от Поставщика уплаты процентов за пользование чужими денежными средствами в отношении предварительной оплаты (аванса), а также компенсации убытков. </w:t>
      </w:r>
    </w:p>
    <w:p>
      <w:pPr>
        <w:pStyle w:val="Normal"/>
        <w:widowControl w:val="false"/>
        <w:numPr>
          <w:ilvl w:val="1"/>
          <w:numId w:val="6"/>
        </w:numPr>
        <w:shd w:val="clear" w:color="auto" w:fill="FFFFFF"/>
        <w:tabs>
          <w:tab w:val="clear" w:pos="720"/>
          <w:tab w:val="left" w:pos="1276" w:leader="none"/>
        </w:tabs>
        <w:spacing w:before="0" w:after="120"/>
        <w:ind w:left="0" w:firstLine="567"/>
        <w:jc w:val="both"/>
        <w:rPr>
          <w:highlight w:val="none"/>
          <w:shd w:fill="FFFFFF" w:val="clear"/>
        </w:rPr>
      </w:pPr>
      <w:r>
        <w:rPr>
          <w:sz w:val="24"/>
          <w:szCs w:val="24"/>
          <w:shd w:fill="FFFFFF" w:val="clear"/>
        </w:rPr>
        <w:t>В случае нарушения Поставщиком обязательств по поставке Продукции на срок свыше 15 (пятнадцати) календарных дней Покупатель имеет право расторгнуть Договор в одностороннем порядке, а также потребовать возмещения убытков. При этом Покупатель также вправе возвратить Поставщику не бывшую в употреблении Продукцию, ранее принятую по Договору, и потребовать возврата уплаченных денежных средств. В случае отказа Поставщика от приемки Продукции, Покупатель вправе передать ее в депозит нотариуса с отнесением расходов на счет Поставщика.</w:t>
      </w:r>
    </w:p>
    <w:p>
      <w:pPr>
        <w:pStyle w:val="Normal"/>
        <w:widowControl w:val="false"/>
        <w:numPr>
          <w:ilvl w:val="1"/>
          <w:numId w:val="6"/>
        </w:numPr>
        <w:shd w:val="clear" w:color="auto" w:fill="FFFFFF"/>
        <w:tabs>
          <w:tab w:val="clear" w:pos="720"/>
          <w:tab w:val="left" w:pos="1276" w:leader="none"/>
        </w:tabs>
        <w:spacing w:before="0" w:after="120"/>
        <w:ind w:left="0" w:firstLine="567"/>
        <w:jc w:val="both"/>
        <w:rPr>
          <w:highlight w:val="none"/>
          <w:shd w:fill="FFFFFF" w:val="clear"/>
        </w:rPr>
      </w:pPr>
      <w:r>
        <w:rPr>
          <w:sz w:val="24"/>
          <w:szCs w:val="24"/>
          <w:shd w:fill="FFFFFF" w:val="clear"/>
        </w:rPr>
        <w:t xml:space="preserve">В случае, если в результате составления и выставления Поставщиком счетов-фактур </w:t>
      </w:r>
      <w:r>
        <w:rPr>
          <w:sz w:val="24"/>
          <w:szCs w:val="24"/>
          <w:shd w:fill="FFFFFF" w:val="clear"/>
        </w:rPr>
        <w:t>(УПД)</w:t>
      </w:r>
      <w:r>
        <w:rPr>
          <w:sz w:val="24"/>
          <w:szCs w:val="24"/>
          <w:shd w:fill="FFFFFF" w:val="clear"/>
        </w:rPr>
        <w:t xml:space="preserve"> с нарушением порядка и требований, установленных законодательством Российской Федерации, Покупатель понес расходы, связанные с уплатой начисленных налоговыми органами по такому основанию сумм налога на добавленную стоимость, пеней и налоговых санкций, Поставщик обязан компенсировать Покупателю сумму таких расходов. Основанием для компенсации являются решения налоговых органов, вынесенные по итогам проведения мероприятий налогового контроля. Сумма расходов компенсируется Поставщиком в течение 10 (десяти) рабочих дней с даты получения соответствующего письменного требования Покупателя. </w:t>
      </w:r>
      <w:r>
        <w:rPr>
          <w:sz w:val="24"/>
          <w:szCs w:val="24"/>
          <w:shd w:fill="FFFFFF" w:val="clear"/>
        </w:rPr>
        <w:t>В случае нарушения Поставщиком сроков, предусмотренных п. 2.9. Договора, Покупатель имеет право требовать от Поставщика уплаты штрафа в размере 50 000 (Пятидесяти тысяч) рублей за каждый случай нарушения</w:t>
      </w:r>
      <w:r>
        <w:rPr>
          <w:sz w:val="24"/>
          <w:szCs w:val="24"/>
          <w:shd w:fill="FFFFFF" w:val="clear"/>
        </w:rPr>
        <w:t>.</w:t>
      </w:r>
    </w:p>
    <w:p>
      <w:pPr>
        <w:pStyle w:val="Normal"/>
        <w:widowControl w:val="false"/>
        <w:numPr>
          <w:ilvl w:val="1"/>
          <w:numId w:val="6"/>
        </w:numPr>
        <w:shd w:val="clear" w:color="auto" w:fill="FFFFFF"/>
        <w:tabs>
          <w:tab w:val="clear" w:pos="720"/>
          <w:tab w:val="left" w:pos="1276" w:leader="none"/>
        </w:tabs>
        <w:spacing w:before="0" w:after="120"/>
        <w:ind w:left="0" w:firstLine="567"/>
        <w:jc w:val="both"/>
        <w:rPr>
          <w:highlight w:val="none"/>
          <w:shd w:fill="FFFFFF" w:val="clear"/>
        </w:rPr>
      </w:pPr>
      <w:r>
        <w:rPr>
          <w:sz w:val="24"/>
          <w:szCs w:val="24"/>
          <w:shd w:fill="FFFFFF" w:val="clear"/>
        </w:rPr>
        <w:t xml:space="preserve">Поставщик гарантирует Покупателю, что он обладает всеми необходимыми правами на соответствующие патенты и изобретения, связанные с поставляемой Продукцией. Если Покупателю будет предъявлена претензия, связанная с нарушением патентных или иных имущественных прав, то Поставщик обязан полностью возместить убытки, возникшие у Покупателя из-за нарушения вышеуказанных прав.  </w:t>
      </w:r>
    </w:p>
    <w:p>
      <w:pPr>
        <w:pStyle w:val="Normal"/>
        <w:widowControl w:val="false"/>
        <w:numPr>
          <w:ilvl w:val="1"/>
          <w:numId w:val="6"/>
        </w:numPr>
        <w:shd w:val="clear" w:color="auto" w:fill="FFFFFF"/>
        <w:tabs>
          <w:tab w:val="clear" w:pos="720"/>
          <w:tab w:val="left" w:pos="1276" w:leader="none"/>
        </w:tabs>
        <w:spacing w:before="0" w:after="120"/>
        <w:ind w:left="0" w:firstLine="567"/>
        <w:jc w:val="both"/>
        <w:rPr>
          <w:highlight w:val="none"/>
          <w:shd w:fill="FFFFFF" w:val="clear"/>
        </w:rPr>
      </w:pPr>
      <w:r>
        <w:rPr>
          <w:sz w:val="24"/>
          <w:szCs w:val="24"/>
          <w:shd w:fill="FFFFFF" w:val="clear"/>
        </w:rPr>
        <w:t xml:space="preserve">Помимо иных предусмотренных Договором и законодательством Российской Федерации мер ответственности Поставщика за невыполнение (ненадлежащее выполнение) Договора, Поставщик возмещает Покупателю, причиненный ущерб в размере фактически понесенных и документально подтвержденных расходов Покупателя, произведенных им для восстановления нарушенного права. Кроме того, Покупатель имеет право требовать от Поставщика возмещения упущенной выгоды, а также штрафов и неустоек, предъявленных Покупателю третьими лицами и связанных с неисполнением (ненадлежащим исполнением) Поставщиком обязательств по Договору.  </w:t>
      </w:r>
    </w:p>
    <w:p>
      <w:pPr>
        <w:pStyle w:val="Normal"/>
        <w:widowControl w:val="false"/>
        <w:numPr>
          <w:ilvl w:val="1"/>
          <w:numId w:val="6"/>
        </w:numPr>
        <w:shd w:val="clear" w:color="auto" w:fill="FFFFFF"/>
        <w:tabs>
          <w:tab w:val="clear" w:pos="720"/>
          <w:tab w:val="left" w:pos="1134" w:leader="none"/>
          <w:tab w:val="left" w:pos="1283" w:leader="none"/>
        </w:tabs>
        <w:spacing w:before="0" w:after="120"/>
        <w:ind w:left="0" w:firstLine="567"/>
        <w:jc w:val="both"/>
        <w:rPr>
          <w:highlight w:val="none"/>
          <w:shd w:fill="FFFFFF" w:val="clear"/>
        </w:rPr>
      </w:pPr>
      <w:r>
        <w:rPr>
          <w:sz w:val="24"/>
          <w:szCs w:val="24"/>
          <w:shd w:fill="FFFFFF" w:val="clear"/>
        </w:rPr>
        <w:t xml:space="preserve">Обязанность по уплате неустойки, предусмотренной Договором, возникает у любой из Сторон только при условии получения требования другой Стороны. При этом расчет суммы неустойки может быть произведен с даты фактического нарушения обязательств. </w:t>
      </w:r>
    </w:p>
    <w:p>
      <w:pPr>
        <w:pStyle w:val="Normal"/>
        <w:widowControl w:val="false"/>
        <w:numPr>
          <w:ilvl w:val="1"/>
          <w:numId w:val="6"/>
        </w:numPr>
        <w:shd w:val="clear" w:color="auto" w:fill="FFFFFF"/>
        <w:tabs>
          <w:tab w:val="clear" w:pos="720"/>
          <w:tab w:val="left" w:pos="1134" w:leader="none"/>
          <w:tab w:val="left" w:pos="1283" w:leader="none"/>
        </w:tabs>
        <w:spacing w:before="0" w:after="120"/>
        <w:ind w:left="0" w:firstLine="567"/>
        <w:jc w:val="both"/>
        <w:rPr>
          <w:highlight w:val="none"/>
          <w:shd w:fill="FFFFFF" w:val="clear"/>
        </w:rPr>
      </w:pPr>
      <w:r>
        <w:rPr>
          <w:sz w:val="24"/>
          <w:szCs w:val="24"/>
          <w:shd w:fill="FFFFFF" w:val="clear"/>
        </w:rPr>
        <w:t xml:space="preserve">Во избежание сомнений, кроме случаев, когда Договором прямо предусмотрено иное, любая задержка в реализации права, предоставленного законом или Договором, не означает отказ от такого права и, таким образом, не влечет прекращения возможности реализовать это право в дальнейшем. </w:t>
      </w:r>
    </w:p>
    <w:p>
      <w:pPr>
        <w:pStyle w:val="Normal"/>
        <w:widowControl w:val="false"/>
        <w:numPr>
          <w:ilvl w:val="1"/>
          <w:numId w:val="6"/>
        </w:numPr>
        <w:shd w:val="clear" w:color="auto" w:fill="FFFFFF"/>
        <w:tabs>
          <w:tab w:val="clear" w:pos="720"/>
          <w:tab w:val="left" w:pos="1276" w:leader="none"/>
        </w:tabs>
        <w:spacing w:before="0" w:after="120"/>
        <w:ind w:left="0" w:firstLine="567"/>
        <w:jc w:val="both"/>
        <w:rPr>
          <w:highlight w:val="none"/>
          <w:shd w:fill="FFFFFF" w:val="clear"/>
        </w:rPr>
      </w:pPr>
      <w:r>
        <w:rPr>
          <w:sz w:val="24"/>
          <w:szCs w:val="24"/>
          <w:shd w:fill="FFFFFF" w:val="clear"/>
        </w:rPr>
        <w:t>В случае изменения в течение срока действия Договора каких-либо собственников (включая конечных бенефициаров) Поставщика, а  также внесения изменений в документы, упомянутые в настоящем пункте,  Поставщик обязуется в течение 3 (трех) рабочих дней уведомить о таких изменениях Покупателя в порядке, установленном п.14.7 Договора, представив заверенные копии документов, подтверждающие такие изменения, а именно:</w:t>
      </w:r>
    </w:p>
    <w:p>
      <w:pPr>
        <w:pStyle w:val="ListParagraph"/>
        <w:numPr>
          <w:ilvl w:val="2"/>
          <w:numId w:val="6"/>
        </w:numPr>
        <w:tabs>
          <w:tab w:val="clear" w:pos="720"/>
          <w:tab w:val="left" w:pos="567" w:leader="none"/>
        </w:tabs>
        <w:spacing w:before="0" w:after="120"/>
        <w:ind w:left="0" w:firstLine="567"/>
        <w:contextualSpacing w:val="false"/>
        <w:jc w:val="both"/>
        <w:outlineLvl w:val="0"/>
        <w:rPr>
          <w:highlight w:val="none"/>
          <w:shd w:fill="FFFFFF" w:val="clear"/>
        </w:rPr>
      </w:pPr>
      <w:r>
        <w:rPr>
          <w:sz w:val="24"/>
          <w:szCs w:val="24"/>
          <w:shd w:fill="FFFFFF" w:val="clear"/>
        </w:rPr>
        <w:t xml:space="preserve">Для всех юридических лиц, созданных и действующих в соответствии с законодательством Российской Федерации: </w:t>
      </w:r>
    </w:p>
    <w:p>
      <w:pPr>
        <w:pStyle w:val="Normal"/>
        <w:numPr>
          <w:ilvl w:val="0"/>
          <w:numId w:val="9"/>
        </w:numPr>
        <w:tabs>
          <w:tab w:val="clear" w:pos="720"/>
          <w:tab w:val="left" w:pos="0" w:leader="none"/>
        </w:tabs>
        <w:spacing w:before="0" w:after="120"/>
        <w:ind w:left="0" w:firstLine="567"/>
        <w:jc w:val="both"/>
        <w:outlineLvl w:val="0"/>
        <w:rPr>
          <w:highlight w:val="none"/>
          <w:shd w:fill="FFFFFF" w:val="clear"/>
        </w:rPr>
      </w:pPr>
      <w:r>
        <w:rPr>
          <w:sz w:val="24"/>
          <w:szCs w:val="24"/>
          <w:shd w:fill="FFFFFF" w:val="clear"/>
        </w:rPr>
        <w:t>выписка из Единого государственного реестра юридических лиц, после изменений, указанных в п. 6.11 Договора, а также:</w:t>
      </w:r>
    </w:p>
    <w:p>
      <w:pPr>
        <w:pStyle w:val="ListParagraph"/>
        <w:numPr>
          <w:ilvl w:val="2"/>
          <w:numId w:val="6"/>
        </w:numPr>
        <w:tabs>
          <w:tab w:val="clear" w:pos="720"/>
          <w:tab w:val="left" w:pos="567" w:leader="none"/>
        </w:tabs>
        <w:spacing w:before="0" w:after="120"/>
        <w:ind w:left="0" w:firstLine="567"/>
        <w:contextualSpacing w:val="false"/>
        <w:jc w:val="both"/>
        <w:outlineLvl w:val="0"/>
        <w:rPr>
          <w:highlight w:val="none"/>
          <w:shd w:fill="FFFFFF" w:val="clear"/>
        </w:rPr>
      </w:pPr>
      <w:r>
        <w:rPr>
          <w:sz w:val="24"/>
          <w:szCs w:val="24"/>
          <w:shd w:fill="FFFFFF" w:val="clear"/>
        </w:rPr>
        <w:t>для юридических лиц, зарегистрированных в форме акционерных обществ:</w:t>
      </w:r>
    </w:p>
    <w:p>
      <w:pPr>
        <w:pStyle w:val="Normal"/>
        <w:numPr>
          <w:ilvl w:val="0"/>
          <w:numId w:val="9"/>
        </w:numPr>
        <w:tabs>
          <w:tab w:val="clear" w:pos="720"/>
          <w:tab w:val="left" w:pos="567" w:leader="none"/>
        </w:tabs>
        <w:spacing w:before="0" w:after="120"/>
        <w:ind w:left="0" w:firstLine="567"/>
        <w:outlineLvl w:val="0"/>
        <w:rPr>
          <w:highlight w:val="none"/>
          <w:shd w:fill="FFFFFF" w:val="clear"/>
        </w:rPr>
      </w:pPr>
      <w:r>
        <w:rPr>
          <w:sz w:val="24"/>
          <w:szCs w:val="24"/>
          <w:shd w:fill="FFFFFF" w:val="clear"/>
        </w:rPr>
        <w:t>список владельцев ценных бумаг;</w:t>
      </w:r>
    </w:p>
    <w:p>
      <w:pPr>
        <w:pStyle w:val="Normal"/>
        <w:numPr>
          <w:ilvl w:val="0"/>
          <w:numId w:val="9"/>
        </w:numPr>
        <w:tabs>
          <w:tab w:val="clear" w:pos="720"/>
          <w:tab w:val="left" w:pos="567" w:leader="none"/>
        </w:tabs>
        <w:spacing w:before="0" w:after="120"/>
        <w:ind w:left="0" w:firstLine="567"/>
        <w:outlineLvl w:val="0"/>
        <w:rPr>
          <w:highlight w:val="none"/>
          <w:shd w:fill="FFFFFF" w:val="clear"/>
        </w:rPr>
      </w:pPr>
      <w:r>
        <w:rPr>
          <w:sz w:val="24"/>
          <w:szCs w:val="24"/>
          <w:shd w:fill="FFFFFF" w:val="clear"/>
        </w:rPr>
        <w:t>список аффилированных лиц на последнюю отчетную дату;</w:t>
      </w:r>
    </w:p>
    <w:p>
      <w:pPr>
        <w:pStyle w:val="Normal"/>
        <w:numPr>
          <w:ilvl w:val="0"/>
          <w:numId w:val="9"/>
        </w:numPr>
        <w:tabs>
          <w:tab w:val="clear" w:pos="720"/>
          <w:tab w:val="left" w:pos="567" w:leader="none"/>
        </w:tabs>
        <w:spacing w:before="0" w:after="120"/>
        <w:ind w:left="0" w:firstLine="567"/>
        <w:outlineLvl w:val="0"/>
        <w:rPr>
          <w:highlight w:val="none"/>
          <w:shd w:fill="FFFFFF" w:val="clear"/>
        </w:rPr>
      </w:pPr>
      <w:r>
        <w:rPr>
          <w:sz w:val="24"/>
          <w:szCs w:val="24"/>
          <w:shd w:fill="FFFFFF" w:val="clear"/>
        </w:rPr>
        <w:t>ежеквартальный отчет на последнюю отчетную дату.</w:t>
      </w:r>
    </w:p>
    <w:p>
      <w:pPr>
        <w:pStyle w:val="ListParagraph"/>
        <w:numPr>
          <w:ilvl w:val="2"/>
          <w:numId w:val="6"/>
        </w:numPr>
        <w:tabs>
          <w:tab w:val="clear" w:pos="720"/>
          <w:tab w:val="left" w:pos="567" w:leader="none"/>
        </w:tabs>
        <w:spacing w:before="0" w:after="120"/>
        <w:ind w:left="0" w:firstLine="567"/>
        <w:contextualSpacing w:val="false"/>
        <w:jc w:val="both"/>
        <w:outlineLvl w:val="0"/>
        <w:rPr>
          <w:highlight w:val="none"/>
          <w:shd w:fill="FFFFFF" w:val="clear"/>
        </w:rPr>
      </w:pPr>
      <w:r>
        <w:rPr>
          <w:sz w:val="24"/>
          <w:szCs w:val="24"/>
          <w:shd w:fill="FFFFFF" w:val="clear"/>
        </w:rPr>
        <w:t>для юридических лиц, зарегистрированных в форме обществ с ограниченной ответственностью:</w:t>
      </w:r>
    </w:p>
    <w:p>
      <w:pPr>
        <w:pStyle w:val="Normal"/>
        <w:numPr>
          <w:ilvl w:val="0"/>
          <w:numId w:val="9"/>
        </w:numPr>
        <w:tabs>
          <w:tab w:val="clear" w:pos="720"/>
          <w:tab w:val="left" w:pos="567" w:leader="none"/>
        </w:tabs>
        <w:spacing w:before="0" w:after="120"/>
        <w:ind w:left="0" w:firstLine="567"/>
        <w:jc w:val="both"/>
        <w:outlineLvl w:val="0"/>
        <w:rPr>
          <w:highlight w:val="none"/>
          <w:shd w:fill="FFFFFF" w:val="clear"/>
        </w:rPr>
      </w:pPr>
      <w:r>
        <w:rPr>
          <w:sz w:val="24"/>
          <w:szCs w:val="24"/>
          <w:shd w:fill="FFFFFF" w:val="clear"/>
        </w:rPr>
        <w:t xml:space="preserve">учредительный договор/договор об учреждении (создании)/решение единственного учредителя о создании; </w:t>
      </w:r>
    </w:p>
    <w:p>
      <w:pPr>
        <w:pStyle w:val="Normal"/>
        <w:numPr>
          <w:ilvl w:val="0"/>
          <w:numId w:val="9"/>
        </w:numPr>
        <w:tabs>
          <w:tab w:val="clear" w:pos="720"/>
          <w:tab w:val="left" w:pos="567" w:leader="none"/>
        </w:tabs>
        <w:spacing w:before="0" w:after="120"/>
        <w:ind w:left="0" w:firstLine="567"/>
        <w:jc w:val="both"/>
        <w:outlineLvl w:val="0"/>
        <w:rPr>
          <w:highlight w:val="none"/>
          <w:shd w:fill="FFFFFF" w:val="clear"/>
        </w:rPr>
      </w:pPr>
      <w:r>
        <w:rPr>
          <w:sz w:val="24"/>
          <w:szCs w:val="24"/>
          <w:shd w:fill="FFFFFF" w:val="clear"/>
        </w:rPr>
        <w:t>решение (протокол) о приеме новых участников;</w:t>
      </w:r>
    </w:p>
    <w:p>
      <w:pPr>
        <w:pStyle w:val="Normal"/>
        <w:numPr>
          <w:ilvl w:val="0"/>
          <w:numId w:val="9"/>
        </w:numPr>
        <w:tabs>
          <w:tab w:val="clear" w:pos="720"/>
          <w:tab w:val="left" w:pos="567" w:leader="none"/>
        </w:tabs>
        <w:spacing w:before="0" w:after="120"/>
        <w:ind w:left="0" w:firstLine="567"/>
        <w:jc w:val="both"/>
        <w:outlineLvl w:val="0"/>
        <w:rPr>
          <w:highlight w:val="none"/>
          <w:shd w:fill="FFFFFF" w:val="clear"/>
        </w:rPr>
      </w:pPr>
      <w:r>
        <w:rPr>
          <w:sz w:val="24"/>
          <w:szCs w:val="24"/>
          <w:shd w:fill="FFFFFF" w:val="clear"/>
        </w:rPr>
        <w:t>устав.</w:t>
      </w:r>
    </w:p>
    <w:p>
      <w:pPr>
        <w:pStyle w:val="ListParagraph"/>
        <w:numPr>
          <w:ilvl w:val="2"/>
          <w:numId w:val="6"/>
        </w:numPr>
        <w:tabs>
          <w:tab w:val="clear" w:pos="720"/>
          <w:tab w:val="left" w:pos="567" w:leader="none"/>
        </w:tabs>
        <w:spacing w:before="0" w:after="120"/>
        <w:ind w:left="0" w:firstLine="567"/>
        <w:contextualSpacing w:val="false"/>
        <w:jc w:val="both"/>
        <w:outlineLvl w:val="0"/>
        <w:rPr>
          <w:highlight w:val="none"/>
          <w:shd w:fill="FFFFFF" w:val="clear"/>
        </w:rPr>
      </w:pPr>
      <w:r>
        <w:rPr>
          <w:sz w:val="24"/>
          <w:szCs w:val="24"/>
          <w:shd w:fill="FFFFFF" w:val="clear"/>
        </w:rPr>
        <w:t xml:space="preserve">для юридических лиц, зарегистрированных в форме общественных или религиозных организаций (объединений): </w:t>
      </w:r>
    </w:p>
    <w:p>
      <w:pPr>
        <w:pStyle w:val="Normal"/>
        <w:numPr>
          <w:ilvl w:val="0"/>
          <w:numId w:val="9"/>
        </w:numPr>
        <w:tabs>
          <w:tab w:val="clear" w:pos="720"/>
          <w:tab w:val="left" w:pos="567" w:leader="none"/>
        </w:tabs>
        <w:spacing w:before="0" w:after="120"/>
        <w:ind w:left="0" w:firstLine="567"/>
        <w:jc w:val="both"/>
        <w:outlineLvl w:val="0"/>
        <w:rPr>
          <w:highlight w:val="none"/>
          <w:shd w:fill="FFFFFF" w:val="clear"/>
        </w:rPr>
      </w:pPr>
      <w:r>
        <w:rPr>
          <w:sz w:val="24"/>
          <w:szCs w:val="24"/>
          <w:shd w:fill="FFFFFF" w:val="clear"/>
        </w:rPr>
        <w:t>учредительный договор или положение;</w:t>
      </w:r>
    </w:p>
    <w:p>
      <w:pPr>
        <w:pStyle w:val="Normal"/>
        <w:numPr>
          <w:ilvl w:val="0"/>
          <w:numId w:val="9"/>
        </w:numPr>
        <w:tabs>
          <w:tab w:val="clear" w:pos="720"/>
          <w:tab w:val="left" w:pos="567" w:leader="none"/>
        </w:tabs>
        <w:spacing w:before="0" w:after="120"/>
        <w:ind w:left="0" w:firstLine="567"/>
        <w:jc w:val="both"/>
        <w:outlineLvl w:val="0"/>
        <w:rPr>
          <w:highlight w:val="none"/>
          <w:shd w:fill="FFFFFF" w:val="clear"/>
        </w:rPr>
      </w:pPr>
      <w:r>
        <w:rPr>
          <w:sz w:val="24"/>
          <w:szCs w:val="24"/>
          <w:shd w:fill="FFFFFF" w:val="clear"/>
        </w:rPr>
        <w:t>решение о создании.</w:t>
      </w:r>
    </w:p>
    <w:p>
      <w:pPr>
        <w:pStyle w:val="ListParagraph"/>
        <w:numPr>
          <w:ilvl w:val="2"/>
          <w:numId w:val="6"/>
        </w:numPr>
        <w:tabs>
          <w:tab w:val="clear" w:pos="720"/>
          <w:tab w:val="left" w:pos="567" w:leader="none"/>
        </w:tabs>
        <w:spacing w:before="0" w:after="120"/>
        <w:ind w:left="0" w:firstLine="567"/>
        <w:contextualSpacing w:val="false"/>
        <w:jc w:val="both"/>
        <w:outlineLvl w:val="0"/>
        <w:rPr>
          <w:highlight w:val="none"/>
          <w:shd w:fill="FFFFFF" w:val="clear"/>
        </w:rPr>
      </w:pPr>
      <w:r>
        <w:rPr>
          <w:sz w:val="24"/>
          <w:szCs w:val="24"/>
          <w:shd w:fill="FFFFFF" w:val="clear"/>
        </w:rPr>
        <w:t xml:space="preserve">для юридических лиц, зарегистрированных в форме фонда: </w:t>
      </w:r>
    </w:p>
    <w:p>
      <w:pPr>
        <w:pStyle w:val="Normal"/>
        <w:numPr>
          <w:ilvl w:val="0"/>
          <w:numId w:val="9"/>
        </w:numPr>
        <w:tabs>
          <w:tab w:val="clear" w:pos="720"/>
          <w:tab w:val="left" w:pos="567" w:leader="none"/>
        </w:tabs>
        <w:spacing w:before="0" w:after="120"/>
        <w:ind w:left="0" w:firstLine="567"/>
        <w:jc w:val="both"/>
        <w:outlineLvl w:val="0"/>
        <w:rPr>
          <w:highlight w:val="none"/>
          <w:shd w:fill="FFFFFF" w:val="clear"/>
        </w:rPr>
      </w:pPr>
      <w:r>
        <w:rPr>
          <w:sz w:val="24"/>
          <w:szCs w:val="24"/>
          <w:shd w:fill="FFFFFF" w:val="clear"/>
        </w:rPr>
        <w:t xml:space="preserve">документ о выборе (назначении) попечительского совета фонда; </w:t>
      </w:r>
    </w:p>
    <w:p>
      <w:pPr>
        <w:pStyle w:val="Normal"/>
        <w:numPr>
          <w:ilvl w:val="0"/>
          <w:numId w:val="9"/>
        </w:numPr>
        <w:tabs>
          <w:tab w:val="clear" w:pos="720"/>
          <w:tab w:val="left" w:pos="567" w:leader="none"/>
        </w:tabs>
        <w:spacing w:before="0" w:after="120"/>
        <w:ind w:left="0" w:firstLine="567"/>
        <w:jc w:val="both"/>
        <w:outlineLvl w:val="0"/>
        <w:rPr>
          <w:highlight w:val="none"/>
          <w:shd w:fill="FFFFFF" w:val="clear"/>
        </w:rPr>
      </w:pPr>
      <w:r>
        <w:rPr>
          <w:sz w:val="24"/>
          <w:szCs w:val="24"/>
          <w:shd w:fill="FFFFFF" w:val="clear"/>
        </w:rPr>
        <w:t>решение о создании.</w:t>
      </w:r>
    </w:p>
    <w:p>
      <w:pPr>
        <w:pStyle w:val="ListParagraph"/>
        <w:numPr>
          <w:ilvl w:val="2"/>
          <w:numId w:val="6"/>
        </w:numPr>
        <w:tabs>
          <w:tab w:val="clear" w:pos="720"/>
          <w:tab w:val="left" w:pos="567" w:leader="none"/>
        </w:tabs>
        <w:spacing w:before="0" w:after="120"/>
        <w:ind w:left="0" w:firstLine="567"/>
        <w:contextualSpacing w:val="false"/>
        <w:jc w:val="both"/>
        <w:outlineLvl w:val="0"/>
        <w:rPr>
          <w:highlight w:val="none"/>
          <w:shd w:fill="FFFFFF" w:val="clear"/>
        </w:rPr>
      </w:pPr>
      <w:r>
        <w:rPr>
          <w:sz w:val="24"/>
          <w:szCs w:val="24"/>
          <w:shd w:fill="FFFFFF" w:val="clear"/>
        </w:rPr>
        <w:t>для юридических лиц, зарегистрированных в форме некоммерческого партнерства:</w:t>
      </w:r>
    </w:p>
    <w:p>
      <w:pPr>
        <w:pStyle w:val="Normal"/>
        <w:numPr>
          <w:ilvl w:val="0"/>
          <w:numId w:val="9"/>
        </w:numPr>
        <w:tabs>
          <w:tab w:val="clear" w:pos="720"/>
          <w:tab w:val="left" w:pos="567" w:leader="none"/>
        </w:tabs>
        <w:spacing w:before="0" w:after="120"/>
        <w:ind w:left="0" w:firstLine="567"/>
        <w:outlineLvl w:val="0"/>
        <w:rPr>
          <w:highlight w:val="none"/>
          <w:shd w:fill="FFFFFF" w:val="clear"/>
        </w:rPr>
      </w:pPr>
      <w:r>
        <w:rPr>
          <w:sz w:val="24"/>
          <w:szCs w:val="24"/>
          <w:shd w:fill="FFFFFF" w:val="clear"/>
        </w:rPr>
        <w:t xml:space="preserve">решение и договор о создании. </w:t>
      </w:r>
    </w:p>
    <w:p>
      <w:pPr>
        <w:pStyle w:val="ListParagraph"/>
        <w:numPr>
          <w:ilvl w:val="2"/>
          <w:numId w:val="6"/>
        </w:numPr>
        <w:tabs>
          <w:tab w:val="clear" w:pos="720"/>
          <w:tab w:val="left" w:pos="567" w:leader="none"/>
        </w:tabs>
        <w:spacing w:before="0" w:after="120"/>
        <w:ind w:left="0" w:firstLine="567"/>
        <w:contextualSpacing w:val="false"/>
        <w:jc w:val="both"/>
        <w:outlineLvl w:val="0"/>
        <w:rPr>
          <w:highlight w:val="none"/>
          <w:shd w:fill="FFFFFF" w:val="clear"/>
        </w:rPr>
      </w:pPr>
      <w:r>
        <w:rPr>
          <w:sz w:val="24"/>
          <w:szCs w:val="24"/>
          <w:shd w:fill="FFFFFF" w:val="clear"/>
        </w:rPr>
        <w:t xml:space="preserve">для иных организационно-правовых форм юридических лиц – документы, предусмотренные действующим законодательством РФ, устанавливающие правоспособность и правовой статус юридического лица, а также документы, содержащие сведения об учредителях (участниках, акционерах, товарищах или вкладчиках) или иных лицах, способных прямо или косвенно контролировать деятельность юридического лица. </w:t>
      </w:r>
    </w:p>
    <w:p>
      <w:pPr>
        <w:pStyle w:val="ListParagraph"/>
        <w:numPr>
          <w:ilvl w:val="2"/>
          <w:numId w:val="6"/>
        </w:numPr>
        <w:tabs>
          <w:tab w:val="clear" w:pos="720"/>
          <w:tab w:val="left" w:pos="567" w:leader="none"/>
        </w:tabs>
        <w:spacing w:before="0" w:after="120"/>
        <w:ind w:left="0" w:firstLine="567"/>
        <w:contextualSpacing w:val="false"/>
        <w:jc w:val="both"/>
        <w:outlineLvl w:val="0"/>
        <w:rPr>
          <w:highlight w:val="none"/>
          <w:shd w:fill="FFFFFF" w:val="clear"/>
        </w:rPr>
      </w:pPr>
      <w:r>
        <w:rPr>
          <w:sz w:val="24"/>
          <w:szCs w:val="24"/>
          <w:shd w:fill="FFFFFF" w:val="clear"/>
        </w:rPr>
        <w:t>Для всех организаций, созданных и действующих в соответствии с законодательством иностранных государств:</w:t>
      </w:r>
    </w:p>
    <w:p>
      <w:pPr>
        <w:pStyle w:val="Normal"/>
        <w:numPr>
          <w:ilvl w:val="0"/>
          <w:numId w:val="9"/>
        </w:numPr>
        <w:spacing w:before="0" w:after="120"/>
        <w:ind w:left="709" w:hanging="283"/>
        <w:outlineLvl w:val="0"/>
        <w:rPr>
          <w:highlight w:val="none"/>
          <w:shd w:fill="FFFFFF" w:val="clear"/>
        </w:rPr>
      </w:pPr>
      <w:r>
        <w:rPr>
          <w:sz w:val="24"/>
          <w:szCs w:val="24"/>
          <w:shd w:fill="FFFFFF" w:val="clear"/>
        </w:rPr>
        <w:t>выписка из торгового реестра страны инкорпорации;</w:t>
      </w:r>
    </w:p>
    <w:p>
      <w:pPr>
        <w:pStyle w:val="Normal"/>
        <w:numPr>
          <w:ilvl w:val="0"/>
          <w:numId w:val="9"/>
        </w:numPr>
        <w:spacing w:before="0" w:after="120"/>
        <w:ind w:left="709" w:hanging="283"/>
        <w:outlineLvl w:val="0"/>
        <w:rPr>
          <w:highlight w:val="none"/>
          <w:shd w:fill="FFFFFF" w:val="clear"/>
        </w:rPr>
      </w:pPr>
      <w:r>
        <w:rPr>
          <w:sz w:val="24"/>
          <w:szCs w:val="24"/>
          <w:shd w:fill="FFFFFF" w:val="clear"/>
        </w:rPr>
        <w:t>предусмотренные законодательством иностранного государства документы обо всех лицах, способных прямо или косвенно контролировать деятельность юридического лица.</w:t>
      </w:r>
    </w:p>
    <w:p>
      <w:pPr>
        <w:pStyle w:val="ListParagraph"/>
        <w:numPr>
          <w:ilvl w:val="2"/>
          <w:numId w:val="6"/>
        </w:numPr>
        <w:tabs>
          <w:tab w:val="clear" w:pos="720"/>
          <w:tab w:val="left" w:pos="567" w:leader="none"/>
        </w:tabs>
        <w:spacing w:before="0" w:after="120"/>
        <w:ind w:left="0" w:firstLine="567"/>
        <w:contextualSpacing w:val="false"/>
        <w:jc w:val="both"/>
        <w:outlineLvl w:val="0"/>
        <w:rPr>
          <w:highlight w:val="none"/>
          <w:shd w:fill="FFFFFF" w:val="clear"/>
        </w:rPr>
      </w:pPr>
      <w:r>
        <w:rPr>
          <w:sz w:val="24"/>
          <w:szCs w:val="24"/>
          <w:shd w:fill="FFFFFF" w:val="clear"/>
        </w:rPr>
        <w:t>Для всех организаций независимо от страны инкорпорации и при наличии в составе учредителей, участников или иных владельцев доверительных управляющих, номинальных держателей, трастов или иных лиц, не являющихся собственниками – документы, служащие основанием прав таких лиц.</w:t>
      </w:r>
    </w:p>
    <w:p>
      <w:pPr>
        <w:pStyle w:val="ListParagraph"/>
        <w:numPr>
          <w:ilvl w:val="2"/>
          <w:numId w:val="6"/>
        </w:numPr>
        <w:tabs>
          <w:tab w:val="clear" w:pos="720"/>
          <w:tab w:val="left" w:pos="567" w:leader="none"/>
        </w:tabs>
        <w:spacing w:before="0" w:after="120"/>
        <w:ind w:left="0" w:firstLine="567"/>
        <w:contextualSpacing w:val="false"/>
        <w:jc w:val="both"/>
        <w:outlineLvl w:val="0"/>
        <w:rPr>
          <w:highlight w:val="none"/>
          <w:shd w:fill="FFFFFF" w:val="clear"/>
        </w:rPr>
      </w:pPr>
      <w:r>
        <w:rPr>
          <w:sz w:val="24"/>
          <w:szCs w:val="24"/>
          <w:shd w:fill="FFFFFF" w:val="clear"/>
        </w:rPr>
        <w:t>Для физических лиц, являющихся налоговыми резидентами Российской Федерации – оригинал Согласия на передачу персональных и охраняемых законом данных по утверждённой форме.</w:t>
      </w:r>
    </w:p>
    <w:p>
      <w:pPr>
        <w:pStyle w:val="ListParagraph"/>
        <w:widowControl/>
        <w:numPr>
          <w:ilvl w:val="1"/>
          <w:numId w:val="6"/>
        </w:numPr>
        <w:shd w:val="clear" w:color="auto" w:fill="FFFFFF"/>
        <w:tabs>
          <w:tab w:val="clear" w:pos="720"/>
        </w:tabs>
        <w:ind w:left="0" w:firstLine="567"/>
        <w:jc w:val="both"/>
        <w:rPr>
          <w:highlight w:val="none"/>
          <w:shd w:fill="FFFFFF" w:val="clear"/>
        </w:rPr>
      </w:pPr>
      <w:r>
        <w:rPr>
          <w:color w:val="000000"/>
          <w:sz w:val="24"/>
          <w:szCs w:val="24"/>
          <w:shd w:fill="FFFFFF" w:val="clear"/>
        </w:rPr>
        <w:t xml:space="preserve">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w:t>
      </w:r>
      <w:r>
        <w:rPr>
          <w:bCs/>
          <w:color w:val="000000"/>
          <w:sz w:val="24"/>
          <w:szCs w:val="24"/>
          <w:shd w:fill="FFFFFF" w:val="clear"/>
        </w:rPr>
        <w:t>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pPr>
        <w:pStyle w:val="ListParagraph"/>
        <w:widowControl/>
        <w:shd w:val="clear" w:color="auto" w:fill="FFFFFF"/>
        <w:tabs>
          <w:tab w:val="clear" w:pos="720"/>
          <w:tab w:val="left" w:pos="840" w:leader="none"/>
        </w:tabs>
        <w:ind w:left="0" w:firstLine="567"/>
        <w:jc w:val="both"/>
        <w:rPr>
          <w:highlight w:val="none"/>
          <w:shd w:fill="FFFFFF" w:val="clear"/>
        </w:rPr>
      </w:pPr>
      <w:r>
        <w:rPr>
          <w:bCs/>
          <w:color w:val="000000"/>
          <w:sz w:val="24"/>
          <w:szCs w:val="24"/>
          <w:shd w:fill="FFFFFF" w:val="clear"/>
        </w:rPr>
        <w:t>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для целей Договора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pPr>
        <w:pStyle w:val="ListParagraph"/>
        <w:widowControl/>
        <w:shd w:val="clear" w:color="auto" w:fill="FFFFFF"/>
        <w:tabs>
          <w:tab w:val="clear" w:pos="720"/>
          <w:tab w:val="left" w:pos="840" w:leader="none"/>
        </w:tabs>
        <w:ind w:left="0" w:firstLine="567"/>
        <w:jc w:val="both"/>
        <w:rPr>
          <w:highlight w:val="none"/>
          <w:shd w:fill="FFFFFF" w:val="clear"/>
        </w:rPr>
      </w:pPr>
      <w:r>
        <w:rPr>
          <w:bCs/>
          <w:color w:val="000000"/>
          <w:sz w:val="24"/>
          <w:szCs w:val="24"/>
          <w:shd w:fill="FFFFFF" w:val="clear"/>
        </w:rPr>
        <w:t>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pPr>
        <w:pStyle w:val="ListParagraph"/>
        <w:widowControl/>
        <w:shd w:val="clear" w:color="auto" w:fill="FFFFFF"/>
        <w:tabs>
          <w:tab w:val="clear" w:pos="720"/>
          <w:tab w:val="left" w:pos="840" w:leader="none"/>
        </w:tabs>
        <w:ind w:left="0" w:firstLine="567"/>
        <w:jc w:val="both"/>
        <w:rPr>
          <w:highlight w:val="none"/>
          <w:shd w:fill="FFFFFF" w:val="clear"/>
        </w:rPr>
      </w:pPr>
      <w:r>
        <w:rPr>
          <w:bCs/>
          <w:color w:val="000000"/>
          <w:sz w:val="24"/>
          <w:szCs w:val="24"/>
          <w:shd w:fill="FFFFFF" w:val="clear"/>
        </w:rPr>
        <w:t>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pPr>
        <w:pStyle w:val="ListParagraph"/>
        <w:widowControl/>
        <w:shd w:val="clear" w:color="auto" w:fill="FFFFFF"/>
        <w:tabs>
          <w:tab w:val="clear" w:pos="720"/>
          <w:tab w:val="left" w:pos="840" w:leader="none"/>
        </w:tabs>
        <w:ind w:left="0" w:firstLine="567"/>
        <w:jc w:val="both"/>
        <w:rPr>
          <w:highlight w:val="none"/>
          <w:shd w:fill="FFFFFF" w:val="clear"/>
        </w:rPr>
      </w:pPr>
      <w:r>
        <w:rPr>
          <w:bCs/>
          <w:color w:val="000000"/>
          <w:sz w:val="24"/>
          <w:szCs w:val="24"/>
          <w:shd w:fill="FFFFFF" w:val="clear"/>
        </w:rPr>
        <w:t xml:space="preserve">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pPr>
        <w:pStyle w:val="ListParagraph"/>
        <w:widowControl/>
        <w:shd w:val="clear" w:color="auto" w:fill="FFFFFF"/>
        <w:tabs>
          <w:tab w:val="clear" w:pos="720"/>
          <w:tab w:val="left" w:pos="840" w:leader="none"/>
        </w:tabs>
        <w:ind w:left="0" w:firstLine="567"/>
        <w:jc w:val="both"/>
        <w:rPr>
          <w:highlight w:val="none"/>
          <w:shd w:fill="FFFFFF" w:val="clear"/>
        </w:rPr>
      </w:pPr>
      <w:r>
        <w:rPr>
          <w:bCs/>
          <w:color w:val="000000"/>
          <w:sz w:val="24"/>
          <w:szCs w:val="24"/>
          <w:shd w:fill="FFFFFF" w:val="clear"/>
        </w:rPr>
        <w:t xml:space="preserve">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pPr>
        <w:pStyle w:val="ListParagraph"/>
        <w:shd w:val="clear" w:color="auto" w:fill="FFFFFF"/>
        <w:tabs>
          <w:tab w:val="clear" w:pos="720"/>
          <w:tab w:val="left" w:pos="567" w:leader="none"/>
          <w:tab w:val="left" w:pos="840" w:leader="none"/>
        </w:tabs>
        <w:ind w:left="0" w:firstLine="567"/>
        <w:jc w:val="both"/>
        <w:rPr>
          <w:highlight w:val="none"/>
          <w:shd w:fill="FFFFFF" w:val="clear"/>
        </w:rPr>
      </w:pPr>
      <w:r>
        <w:rPr>
          <w:color w:val="000000"/>
          <w:sz w:val="24"/>
          <w:szCs w:val="24"/>
          <w:shd w:fill="FFFFFF" w:val="clear"/>
        </w:rPr>
        <w:t xml:space="preserve">Каналы связи Линия доверия Группы РусГидро: </w:t>
      </w:r>
    </w:p>
    <w:p>
      <w:pPr>
        <w:pStyle w:val="ListParagraph"/>
        <w:shd w:val="clear" w:color="auto" w:fill="FFFFFF"/>
        <w:tabs>
          <w:tab w:val="clear" w:pos="720"/>
          <w:tab w:val="left" w:pos="567" w:leader="none"/>
          <w:tab w:val="left" w:pos="840" w:leader="none"/>
        </w:tabs>
        <w:ind w:left="0" w:firstLine="567"/>
        <w:jc w:val="both"/>
        <w:rPr>
          <w:highlight w:val="none"/>
          <w:shd w:fill="FFFFFF" w:val="clear"/>
        </w:rPr>
      </w:pPr>
      <w:r>
        <w:rPr>
          <w:sz w:val="24"/>
          <w:szCs w:val="24"/>
          <w:shd w:fill="FFFFFF" w:val="clear"/>
        </w:rPr>
        <w:t>Электронная почта: ld@rushydro.ru.</w:t>
      </w:r>
    </w:p>
    <w:p>
      <w:pPr>
        <w:pStyle w:val="ListParagraph"/>
        <w:shd w:val="clear" w:color="auto" w:fill="FFFFFF"/>
        <w:tabs>
          <w:tab w:val="clear" w:pos="720"/>
          <w:tab w:val="left" w:pos="567" w:leader="none"/>
          <w:tab w:val="left" w:pos="840" w:leader="none"/>
        </w:tabs>
        <w:ind w:left="0" w:firstLine="567"/>
        <w:jc w:val="both"/>
        <w:rPr>
          <w:highlight w:val="none"/>
          <w:shd w:fill="FFFFFF" w:val="clear"/>
        </w:rPr>
      </w:pPr>
      <w:r>
        <w:rPr>
          <w:sz w:val="24"/>
          <w:szCs w:val="24"/>
          <w:shd w:fill="FFFFFF" w:val="clear"/>
        </w:rPr>
        <w:t>Специальная форма «обратной связи», размещенная на официальном сайте Общества в сети интернет: http://www.rushydro.ru/ (далее перейти по ссылке «Линия доверия» и заполнить поля специальной формы «обратной связи»);</w:t>
      </w:r>
    </w:p>
    <w:p>
      <w:pPr>
        <w:pStyle w:val="Normal"/>
        <w:numPr>
          <w:ilvl w:val="0"/>
          <w:numId w:val="0"/>
        </w:numPr>
        <w:tabs>
          <w:tab w:val="clear" w:pos="720"/>
          <w:tab w:val="left" w:pos="567" w:leader="none"/>
        </w:tabs>
        <w:spacing w:before="0" w:after="120"/>
        <w:ind w:left="0" w:hanging="0"/>
        <w:jc w:val="both"/>
        <w:outlineLvl w:val="0"/>
        <w:rPr>
          <w:highlight w:val="none"/>
          <w:shd w:fill="FFFFFF" w:val="clear"/>
        </w:rPr>
      </w:pPr>
      <w:r>
        <w:rPr>
          <w:sz w:val="24"/>
          <w:szCs w:val="24"/>
          <w:shd w:fill="FFFFFF" w:val="clear"/>
        </w:rPr>
        <w:t>Телефонный автоответчик (необходимо позвонить по телефону +7(495) 785-09-37 (круглосуточно), дождаться сигнала о начале записи и оставить устное обращение).</w:t>
      </w:r>
    </w:p>
    <w:p>
      <w:pPr>
        <w:pStyle w:val="Normal"/>
        <w:widowControl/>
        <w:numPr>
          <w:ilvl w:val="0"/>
          <w:numId w:val="0"/>
        </w:numPr>
        <w:tabs>
          <w:tab w:val="clear" w:pos="720"/>
          <w:tab w:val="left" w:pos="567" w:leader="none"/>
        </w:tabs>
        <w:bidi w:val="0"/>
        <w:spacing w:before="0" w:after="120"/>
        <w:ind w:left="0" w:right="0" w:firstLine="567"/>
        <w:jc w:val="both"/>
        <w:outlineLvl w:val="0"/>
        <w:rPr>
          <w:highlight w:val="none"/>
          <w:shd w:fill="FFFFFF" w:val="clear"/>
        </w:rPr>
      </w:pPr>
      <w:r>
        <w:rPr>
          <w:sz w:val="24"/>
          <w:szCs w:val="24"/>
          <w:shd w:fill="FFFFFF" w:val="clear"/>
        </w:rPr>
        <w:t>6.13 На сумму подлежащего возврату аванса начисляется неустойка в размере 0,1 (ноль целых и одна десятая) процента с даты, установленной для возврата аванса.</w:t>
      </w:r>
    </w:p>
    <w:p>
      <w:pPr>
        <w:pStyle w:val="Normal"/>
        <w:widowControl w:val="false"/>
        <w:numPr>
          <w:ilvl w:val="0"/>
          <w:numId w:val="6"/>
        </w:numPr>
        <w:shd w:val="clear" w:color="auto" w:fill="FFFFFF"/>
        <w:tabs>
          <w:tab w:val="clear" w:pos="720"/>
          <w:tab w:val="left" w:pos="426" w:leader="none"/>
          <w:tab w:val="left" w:pos="1276" w:leader="none"/>
        </w:tabs>
        <w:spacing w:before="0" w:after="120"/>
        <w:ind w:left="0" w:hanging="0"/>
        <w:jc w:val="center"/>
        <w:rPr>
          <w:highlight w:val="none"/>
          <w:shd w:fill="FFFFFF" w:val="clear"/>
        </w:rPr>
      </w:pPr>
      <w:r>
        <w:rPr>
          <w:b/>
          <w:bCs/>
          <w:sz w:val="24"/>
          <w:szCs w:val="24"/>
          <w:shd w:fill="FFFFFF" w:val="clear"/>
        </w:rPr>
        <w:t>Особые положения</w:t>
      </w:r>
    </w:p>
    <w:p>
      <w:pPr>
        <w:pStyle w:val="Normal"/>
        <w:widowControl w:val="false"/>
        <w:numPr>
          <w:ilvl w:val="1"/>
          <w:numId w:val="6"/>
        </w:numPr>
        <w:shd w:val="clear" w:color="auto" w:fill="FFFFFF"/>
        <w:tabs>
          <w:tab w:val="clear" w:pos="720"/>
          <w:tab w:val="left" w:pos="1276" w:leader="none"/>
        </w:tabs>
        <w:spacing w:before="0" w:after="120"/>
        <w:ind w:left="0" w:firstLine="567"/>
        <w:jc w:val="both"/>
        <w:rPr/>
      </w:pPr>
      <w:r>
        <w:rPr>
          <w:sz w:val="24"/>
          <w:szCs w:val="24"/>
          <w:shd w:fill="FFFFFF" w:val="clear"/>
        </w:rPr>
        <w:t xml:space="preserve">Поставщик обязуется не привлекать и не допускать привлечения к исполнению обязательств по Договору (каждому из Договоров) организации, 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5">
        <w:r>
          <w:rPr>
            <w:sz w:val="24"/>
            <w:szCs w:val="24"/>
            <w:shd w:fill="FFFFFF" w:val="clear"/>
          </w:rPr>
          <w:t>№ 18162/09</w:t>
        </w:r>
      </w:hyperlink>
      <w:r>
        <w:rPr>
          <w:sz w:val="24"/>
          <w:szCs w:val="24"/>
          <w:shd w:fill="FFFFFF" w:val="clear"/>
        </w:rPr>
        <w:t xml:space="preserve"> и от 25.05.2010 </w:t>
      </w:r>
      <w:hyperlink r:id="rId6">
        <w:r>
          <w:rPr>
            <w:sz w:val="24"/>
            <w:szCs w:val="24"/>
            <w:shd w:fill="FFFFFF" w:val="clear"/>
          </w:rPr>
          <w:t>№ 15658/09</w:t>
        </w:r>
      </w:hyperlink>
      <w:r>
        <w:rPr>
          <w:sz w:val="24"/>
          <w:szCs w:val="24"/>
          <w:shd w:fill="FFFFFF" w:val="clear"/>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и/или соответствующие </w:t>
      </w:r>
      <w:hyperlink r:id="rId7">
        <w:r>
          <w:rPr>
            <w:sz w:val="24"/>
            <w:szCs w:val="24"/>
            <w:shd w:fill="FFFFFF" w:val="clear"/>
          </w:rPr>
          <w:t>Критери</w:t>
        </w:r>
      </w:hyperlink>
      <w:r>
        <w:rPr>
          <w:sz w:val="24"/>
          <w:szCs w:val="24"/>
          <w:shd w:fill="FFFFFF" w:val="clear"/>
        </w:rPr>
        <w:t xml:space="preserve">ям оценки рисков, используемым налоговыми органами в процессе отбора объектов для проведения выездных налоговых проверок (утв. Приказом ФНС России от 30.05.2007 № ММ-3-06/333@ или заменяющий его документ). </w:t>
      </w:r>
    </w:p>
    <w:p>
      <w:pPr>
        <w:pStyle w:val="Normal"/>
        <w:widowControl w:val="false"/>
        <w:numPr>
          <w:ilvl w:val="1"/>
          <w:numId w:val="6"/>
        </w:numPr>
        <w:shd w:val="clear" w:color="auto" w:fill="FFFFFF"/>
        <w:tabs>
          <w:tab w:val="clear" w:pos="720"/>
          <w:tab w:val="left" w:pos="1276" w:leader="none"/>
        </w:tabs>
        <w:spacing w:before="0" w:after="120"/>
        <w:ind w:left="0" w:firstLine="567"/>
        <w:jc w:val="both"/>
        <w:rPr>
          <w:highlight w:val="none"/>
          <w:shd w:fill="FFFFFF" w:val="clear"/>
        </w:rPr>
      </w:pPr>
      <w:r>
        <w:rPr>
          <w:sz w:val="24"/>
          <w:szCs w:val="24"/>
          <w:shd w:fill="FFFFFF" w:val="clear"/>
        </w:rPr>
        <w:t xml:space="preserve">Поставщик обязуется незамедлительно уведомить Покупателя о появлении в ходе исполнения  Договора у привлеченных организаций признаков недобросовестности, указанных в п. 7.1 Договора, а также обеспечить прекращение участия таких организаций в исполнении Договора. </w:t>
      </w:r>
    </w:p>
    <w:p>
      <w:pPr>
        <w:pStyle w:val="Normal"/>
        <w:widowControl w:val="false"/>
        <w:numPr>
          <w:ilvl w:val="1"/>
          <w:numId w:val="6"/>
        </w:numPr>
        <w:shd w:val="clear" w:color="auto" w:fill="FFFFFF"/>
        <w:tabs>
          <w:tab w:val="clear" w:pos="720"/>
          <w:tab w:val="left" w:pos="1276" w:leader="none"/>
        </w:tabs>
        <w:spacing w:before="0" w:after="120"/>
        <w:ind w:left="0" w:firstLine="567"/>
        <w:jc w:val="both"/>
        <w:rPr>
          <w:highlight w:val="none"/>
          <w:shd w:fill="FFFFFF" w:val="clear"/>
        </w:rPr>
      </w:pPr>
      <w:r>
        <w:rPr>
          <w:sz w:val="24"/>
          <w:szCs w:val="24"/>
          <w:shd w:fill="FFFFFF" w:val="clear"/>
        </w:rPr>
        <w:t xml:space="preserve">В случае нарушения Поставщиком обязательств, установленных в п.п. 7.1, 7.2 Договора, Покупатель в дополнение к основаниям, предусмотренным Договором, вправе заявить отказ от  Договора в одностороннем порядке путем направления уведомления с указанием даты расторжения (далее – Уведомление). Дата расторжения не должна наступать ранее 10 (десяти) рабочих дней с даты получения Уведомления Поставщиком. </w:t>
        <w:tab/>
        <w:t>Договор будет считаться расторгнутым с даты, указанной в Уведомлении при условии, что Покупатель не отзовет указанное Уведомление по итогам рассмотрения мотивированных возражений Поставщика до указанной даты расторжения.</w:t>
      </w:r>
    </w:p>
    <w:p>
      <w:pPr>
        <w:pStyle w:val="Normal"/>
        <w:widowControl w:val="false"/>
        <w:numPr>
          <w:ilvl w:val="1"/>
          <w:numId w:val="6"/>
        </w:numPr>
        <w:shd w:val="clear" w:color="auto" w:fill="FFFFFF"/>
        <w:tabs>
          <w:tab w:val="clear" w:pos="720"/>
          <w:tab w:val="left" w:pos="1276" w:leader="none"/>
        </w:tabs>
        <w:spacing w:before="0" w:after="120"/>
        <w:ind w:left="0" w:firstLine="567"/>
        <w:jc w:val="both"/>
        <w:rPr>
          <w:highlight w:val="none"/>
          <w:shd w:fill="FFFFFF" w:val="clear"/>
        </w:rPr>
      </w:pPr>
      <w:r>
        <w:rPr>
          <w:sz w:val="24"/>
          <w:szCs w:val="24"/>
          <w:shd w:fill="FFFFFF" w:val="clear"/>
        </w:rPr>
        <w:tab/>
        <w:t>При этом Поставщик принимает обязательство уплатить Покупателю штраф в размере суммы денежных средств, перечисленной организации, отвечающей признакам недобросовестности, а также компенсировать убытки, причиненные  Покупателю в результате нарушения обязательств, установленных в п.п. 7.1, 7.2  Договора, сверх суммы штрафа.</w:t>
      </w:r>
    </w:p>
    <w:p>
      <w:pPr>
        <w:pStyle w:val="Normal"/>
        <w:widowControl w:val="false"/>
        <w:numPr>
          <w:ilvl w:val="1"/>
          <w:numId w:val="6"/>
        </w:numPr>
        <w:shd w:val="clear" w:color="auto" w:fill="FFFFFF"/>
        <w:tabs>
          <w:tab w:val="clear" w:pos="720"/>
          <w:tab w:val="left" w:pos="1276" w:leader="none"/>
        </w:tabs>
        <w:spacing w:before="0" w:after="120"/>
        <w:ind w:left="0" w:firstLine="567"/>
        <w:jc w:val="both"/>
        <w:rPr>
          <w:highlight w:val="none"/>
          <w:shd w:fill="FFFFFF" w:val="clear"/>
        </w:rPr>
      </w:pPr>
      <w:r>
        <w:rPr>
          <w:sz w:val="24"/>
          <w:szCs w:val="24"/>
          <w:shd w:fill="FFFFFF" w:val="clear"/>
        </w:rPr>
        <w:t>Штраф, предусмотренный п. 7.4 Договора, оплачивается в течение 10 (десяти) дней с даты получения соответствующего требования. Покупатель вправе предъявить требование об уплате штрафа независимо от расторжения Договора в соответствии с п. 7.3 Договора.</w:t>
      </w:r>
    </w:p>
    <w:p>
      <w:pPr>
        <w:pStyle w:val="Normal"/>
        <w:widowControl w:val="false"/>
        <w:numPr>
          <w:ilvl w:val="1"/>
          <w:numId w:val="6"/>
        </w:numPr>
        <w:shd w:val="clear" w:color="auto" w:fill="FFFFFF"/>
        <w:tabs>
          <w:tab w:val="clear" w:pos="720"/>
          <w:tab w:val="left" w:pos="1276" w:leader="none"/>
        </w:tabs>
        <w:spacing w:before="0" w:after="120"/>
        <w:ind w:left="0" w:firstLine="567"/>
        <w:jc w:val="both"/>
        <w:rPr>
          <w:highlight w:val="none"/>
          <w:shd w:fill="FFFFFF" w:val="clear"/>
        </w:rPr>
      </w:pPr>
      <w:r>
        <w:rPr>
          <w:sz w:val="24"/>
          <w:szCs w:val="24"/>
          <w:shd w:fill="FFFFFF" w:val="clear"/>
        </w:rPr>
        <w:t>Покупатель вправе приостановить осуществление платежей, причитающихся Поставщику, независимо от наличия оснований и наступления сроков таких платежей, до уплаты штрафа, предусмотренного п. 7.4 Договора, при этом Покупатель не будет считаться просрочившим и/или нарушившим свои обязательства по Договору.</w:t>
      </w:r>
    </w:p>
    <w:p>
      <w:pPr>
        <w:pStyle w:val="Normal"/>
        <w:widowControl w:val="false"/>
        <w:shd w:val="clear" w:color="auto" w:fill="FFFFFF"/>
        <w:tabs>
          <w:tab w:val="clear" w:pos="720"/>
          <w:tab w:val="left" w:pos="1276" w:leader="none"/>
        </w:tabs>
        <w:spacing w:before="0" w:after="120"/>
        <w:jc w:val="both"/>
        <w:rPr>
          <w:highlight w:val="none"/>
          <w:shd w:fill="FFFFFF" w:val="clear"/>
        </w:rPr>
      </w:pPr>
      <w:r>
        <w:rPr>
          <w:sz w:val="24"/>
          <w:szCs w:val="24"/>
          <w:shd w:fill="FFFFFF" w:val="clear"/>
        </w:rPr>
        <w:tab/>
        <w:t xml:space="preserve">Независимо от других положений Договора, обязательства Поставщика по п.7.3-7.5 Договора продолжают действовать в течение 4 (четырех) лет после окончания срока действия договора.  </w:t>
      </w:r>
    </w:p>
    <w:p>
      <w:pPr>
        <w:pStyle w:val="Normal"/>
        <w:widowControl w:val="false"/>
        <w:numPr>
          <w:ilvl w:val="0"/>
          <w:numId w:val="6"/>
        </w:numPr>
        <w:shd w:val="clear" w:color="auto" w:fill="FFFFFF"/>
        <w:tabs>
          <w:tab w:val="clear" w:pos="720"/>
          <w:tab w:val="left" w:pos="426" w:leader="none"/>
        </w:tabs>
        <w:spacing w:before="0" w:after="120"/>
        <w:ind w:left="0" w:hanging="0"/>
        <w:jc w:val="center"/>
        <w:rPr>
          <w:highlight w:val="none"/>
          <w:shd w:fill="FFFFFF" w:val="clear"/>
        </w:rPr>
      </w:pPr>
      <w:r>
        <w:rPr>
          <w:b/>
          <w:sz w:val="24"/>
          <w:szCs w:val="24"/>
          <w:shd w:fill="FFFFFF" w:val="clear"/>
        </w:rPr>
        <w:t>Форс</w:t>
      </w:r>
      <w:r>
        <w:rPr>
          <w:b/>
          <w:bCs/>
          <w:sz w:val="24"/>
          <w:szCs w:val="24"/>
          <w:shd w:fill="FFFFFF" w:val="clear"/>
        </w:rPr>
        <w:t>-мажор</w:t>
      </w:r>
    </w:p>
    <w:p>
      <w:pPr>
        <w:pStyle w:val="Normal"/>
        <w:widowControl w:val="false"/>
        <w:numPr>
          <w:ilvl w:val="1"/>
          <w:numId w:val="6"/>
        </w:numPr>
        <w:shd w:val="clear" w:color="auto" w:fill="FFFFFF"/>
        <w:tabs>
          <w:tab w:val="clear" w:pos="720"/>
          <w:tab w:val="left" w:pos="1134" w:leader="none"/>
          <w:tab w:val="left" w:pos="1283" w:leader="none"/>
        </w:tabs>
        <w:spacing w:before="0" w:after="120"/>
        <w:ind w:left="0" w:firstLine="567"/>
        <w:jc w:val="both"/>
        <w:rPr>
          <w:highlight w:val="none"/>
          <w:shd w:fill="FFFFFF" w:val="clear"/>
        </w:rPr>
      </w:pPr>
      <w:r>
        <w:rPr>
          <w:sz w:val="24"/>
          <w:szCs w:val="24"/>
          <w:shd w:fill="FFFFFF" w:val="clear"/>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Стороны не могли ни предвидеть, ни предотвратить разумными мерами, а именно: стихийные бедствия, пожары, наводнения, землетрясения, военные действия, отраслевые или общенациональные забастовки, гражданские беспорядки, изменения в законодательстве Российской Федерации, а также принятие иных обязательных к исполнению нормативных актов.</w:t>
      </w:r>
    </w:p>
    <w:p>
      <w:pPr>
        <w:pStyle w:val="Normal"/>
        <w:widowControl w:val="false"/>
        <w:numPr>
          <w:ilvl w:val="1"/>
          <w:numId w:val="6"/>
        </w:numPr>
        <w:shd w:val="clear" w:color="auto" w:fill="FFFFFF"/>
        <w:tabs>
          <w:tab w:val="clear" w:pos="720"/>
          <w:tab w:val="left" w:pos="1134" w:leader="none"/>
          <w:tab w:val="left" w:pos="1283" w:leader="none"/>
        </w:tabs>
        <w:spacing w:before="0" w:after="120"/>
        <w:ind w:left="0" w:firstLine="567"/>
        <w:jc w:val="both"/>
        <w:rPr>
          <w:highlight w:val="none"/>
          <w:shd w:fill="FFFFFF" w:val="clear"/>
        </w:rPr>
      </w:pPr>
      <w:r>
        <w:rPr>
          <w:sz w:val="24"/>
          <w:szCs w:val="24"/>
          <w:shd w:fill="FFFFFF" w:val="clear"/>
        </w:rPr>
        <w:t>Сторона имеет право ссылаться на обстоятельства непреодолимой силы только в случае, если такие обстоятельства непосредственно повлияли на возможность исполнения этой Стороной условий Договора.</w:t>
      </w:r>
    </w:p>
    <w:p>
      <w:pPr>
        <w:pStyle w:val="Normal"/>
        <w:widowControl w:val="false"/>
        <w:numPr>
          <w:ilvl w:val="1"/>
          <w:numId w:val="6"/>
        </w:numPr>
        <w:shd w:val="clear" w:color="auto" w:fill="FFFFFF"/>
        <w:tabs>
          <w:tab w:val="clear" w:pos="720"/>
          <w:tab w:val="left" w:pos="1134" w:leader="none"/>
          <w:tab w:val="left" w:pos="1283" w:leader="none"/>
        </w:tabs>
        <w:spacing w:before="0" w:after="120"/>
        <w:ind w:left="0" w:firstLine="567"/>
        <w:jc w:val="both"/>
        <w:rPr>
          <w:highlight w:val="none"/>
          <w:shd w:fill="FFFFFF" w:val="clear"/>
        </w:rPr>
      </w:pPr>
      <w:r>
        <w:rPr>
          <w:sz w:val="24"/>
          <w:szCs w:val="24"/>
          <w:shd w:fill="FFFFFF" w:val="clear"/>
        </w:rPr>
        <w:t>Сторона, для которой наступили обстоятельства непреодолимой силы, должна незамедлительно, но в любом случае не позднее 5 (пяти) календарных дней, письменно известить другую Сторону о наступлении и планируемой дате прекращения указанных обстоятельств.</w:t>
      </w:r>
    </w:p>
    <w:p>
      <w:pPr>
        <w:pStyle w:val="Normal"/>
        <w:widowControl w:val="false"/>
        <w:numPr>
          <w:ilvl w:val="1"/>
          <w:numId w:val="6"/>
        </w:numPr>
        <w:shd w:val="clear" w:color="auto" w:fill="FFFFFF"/>
        <w:tabs>
          <w:tab w:val="clear" w:pos="720"/>
          <w:tab w:val="left" w:pos="1134" w:leader="none"/>
          <w:tab w:val="left" w:pos="1283" w:leader="none"/>
        </w:tabs>
        <w:spacing w:before="0" w:after="120"/>
        <w:ind w:left="0" w:firstLine="567"/>
        <w:jc w:val="both"/>
        <w:rPr>
          <w:highlight w:val="none"/>
          <w:shd w:fill="FFFFFF" w:val="clear"/>
        </w:rPr>
      </w:pPr>
      <w:r>
        <w:rPr>
          <w:sz w:val="24"/>
          <w:szCs w:val="24"/>
          <w:shd w:fill="FFFFFF" w:val="clear"/>
        </w:rPr>
        <w:t xml:space="preserve">Не извещение или несвоевременное извещение об обстоятельствах непреодолимой силы лишает соответствующую Сторону права в дальнейшем ссылаться на их наступление как на основание освобождения или ограничения ответственности по Договору. </w:t>
      </w:r>
    </w:p>
    <w:p>
      <w:pPr>
        <w:pStyle w:val="Normal"/>
        <w:widowControl w:val="false"/>
        <w:numPr>
          <w:ilvl w:val="1"/>
          <w:numId w:val="6"/>
        </w:numPr>
        <w:shd w:val="clear" w:color="auto" w:fill="FFFFFF"/>
        <w:tabs>
          <w:tab w:val="clear" w:pos="720"/>
          <w:tab w:val="left" w:pos="1134" w:leader="none"/>
          <w:tab w:val="left" w:pos="1283" w:leader="none"/>
        </w:tabs>
        <w:spacing w:before="0" w:after="120"/>
        <w:ind w:left="0" w:firstLine="567"/>
        <w:jc w:val="both"/>
        <w:rPr>
          <w:highlight w:val="none"/>
          <w:shd w:fill="FFFFFF" w:val="clear"/>
        </w:rPr>
      </w:pPr>
      <w:r>
        <w:rPr>
          <w:sz w:val="24"/>
          <w:szCs w:val="24"/>
          <w:shd w:fill="FFFFFF" w:val="clear"/>
        </w:rPr>
        <w:t>Письменное уведомление Торгово-промышленной палаты является достаточным подтверждением о действии и длительности обстоятельств непреодолимой силы.</w:t>
      </w:r>
    </w:p>
    <w:p>
      <w:pPr>
        <w:pStyle w:val="Normal"/>
        <w:widowControl w:val="false"/>
        <w:numPr>
          <w:ilvl w:val="1"/>
          <w:numId w:val="6"/>
        </w:numPr>
        <w:shd w:val="clear" w:color="auto" w:fill="FFFFFF"/>
        <w:tabs>
          <w:tab w:val="clear" w:pos="720"/>
          <w:tab w:val="left" w:pos="1134" w:leader="none"/>
          <w:tab w:val="left" w:pos="1283" w:leader="none"/>
        </w:tabs>
        <w:spacing w:before="0" w:after="120"/>
        <w:ind w:left="0" w:firstLine="567"/>
        <w:jc w:val="both"/>
        <w:rPr>
          <w:highlight w:val="none"/>
          <w:shd w:fill="FFFFFF" w:val="clear"/>
        </w:rPr>
      </w:pPr>
      <w:r>
        <w:rPr>
          <w:sz w:val="24"/>
          <w:szCs w:val="24"/>
          <w:shd w:fill="FFFFFF" w:val="clear"/>
        </w:rPr>
        <w:t>В случае если форс-мажорные обстоятельства и их последствия продолжают действовать более 30 (тридцати) календарных дней или когда при наступлении таких обстоятельств становится ясно, что их последствия будут действовать более этого срока, Стороны в возможно короткий срок проведут переговоры с целью выявления приемлемых для обеих сторон альтернативных способов исполнения Договора или его прекращения.</w:t>
      </w:r>
    </w:p>
    <w:p>
      <w:pPr>
        <w:pStyle w:val="Normal"/>
        <w:widowControl w:val="false"/>
        <w:numPr>
          <w:ilvl w:val="0"/>
          <w:numId w:val="6"/>
        </w:numPr>
        <w:shd w:val="clear" w:color="auto" w:fill="FFFFFF"/>
        <w:tabs>
          <w:tab w:val="clear" w:pos="720"/>
          <w:tab w:val="left" w:pos="426" w:leader="none"/>
        </w:tabs>
        <w:spacing w:before="0" w:after="120"/>
        <w:ind w:left="0" w:hanging="0"/>
        <w:jc w:val="center"/>
        <w:rPr>
          <w:highlight w:val="none"/>
          <w:shd w:fill="FFFFFF" w:val="clear"/>
        </w:rPr>
      </w:pPr>
      <w:r>
        <w:rPr>
          <w:b/>
          <w:sz w:val="24"/>
          <w:szCs w:val="24"/>
          <w:shd w:fill="FFFFFF" w:val="clear"/>
        </w:rPr>
        <w:t>Конфиденциальность</w:t>
      </w:r>
    </w:p>
    <w:p>
      <w:pPr>
        <w:pStyle w:val="Normal"/>
        <w:widowControl w:val="false"/>
        <w:numPr>
          <w:ilvl w:val="1"/>
          <w:numId w:val="6"/>
        </w:numPr>
        <w:shd w:val="clear" w:color="auto" w:fill="FFFFFF"/>
        <w:tabs>
          <w:tab w:val="clear" w:pos="720"/>
          <w:tab w:val="left" w:pos="1134" w:leader="none"/>
          <w:tab w:val="left" w:pos="1283" w:leader="none"/>
        </w:tabs>
        <w:spacing w:before="0" w:after="120"/>
        <w:ind w:left="0" w:firstLine="567"/>
        <w:jc w:val="both"/>
        <w:rPr>
          <w:highlight w:val="none"/>
          <w:shd w:fill="FFFFFF" w:val="clear"/>
        </w:rPr>
      </w:pPr>
      <w:r>
        <w:rPr>
          <w:sz w:val="24"/>
          <w:szCs w:val="24"/>
          <w:shd w:fill="FFFFFF" w:val="clear"/>
        </w:rPr>
        <w:t>Под конфиденциальной информацией (далее – «Информация») для целей Договора понимается любая информация, передаваемая Покупателем Поставщику в устной либо документарной форме, в виде электронного файла, в любом другом виде, а также полученная Поставщиком самостоятельно в ходе визитов на Место поставки, иную территорию Покупателя в процессе проведения переговоров, заключения и исполнения Договора, в отношении которой соблюдаются следующие условия:</w:t>
      </w:r>
    </w:p>
    <w:p>
      <w:pPr>
        <w:pStyle w:val="Normal"/>
        <w:numPr>
          <w:ilvl w:val="0"/>
          <w:numId w:val="8"/>
        </w:numPr>
        <w:tabs>
          <w:tab w:val="clear" w:pos="720"/>
          <w:tab w:val="left" w:pos="851" w:leader="none"/>
        </w:tabs>
        <w:spacing w:before="0" w:after="120"/>
        <w:ind w:left="851" w:hanging="284"/>
        <w:jc w:val="both"/>
        <w:rPr>
          <w:highlight w:val="none"/>
          <w:shd w:fill="FFFFFF" w:val="clear"/>
        </w:rPr>
      </w:pPr>
      <w:r>
        <w:rPr>
          <w:bCs/>
          <w:sz w:val="24"/>
          <w:szCs w:val="24"/>
          <w:shd w:fill="FFFFFF" w:val="clear"/>
        </w:rPr>
        <w:t>данная Информация имеет действительную или потенциальную коммерческую ценность для Покупателя в силу неизвестности ее третьим лицам;</w:t>
      </w:r>
    </w:p>
    <w:p>
      <w:pPr>
        <w:pStyle w:val="Normal"/>
        <w:numPr>
          <w:ilvl w:val="0"/>
          <w:numId w:val="8"/>
        </w:numPr>
        <w:tabs>
          <w:tab w:val="clear" w:pos="720"/>
          <w:tab w:val="left" w:pos="851" w:leader="none"/>
        </w:tabs>
        <w:spacing w:before="0" w:after="120"/>
        <w:ind w:left="851" w:hanging="284"/>
        <w:jc w:val="both"/>
        <w:rPr>
          <w:highlight w:val="none"/>
          <w:shd w:fill="FFFFFF" w:val="clear"/>
        </w:rPr>
      </w:pPr>
      <w:r>
        <w:rPr>
          <w:bCs/>
          <w:sz w:val="24"/>
          <w:szCs w:val="24"/>
          <w:shd w:fill="FFFFFF" w:val="clear"/>
        </w:rPr>
        <w:t xml:space="preserve">данная Информация не относится к категории общедоступной или обязательной к раскрытию Покупателем в соответствии с законодательством Российской Федерации. </w:t>
      </w:r>
    </w:p>
    <w:p>
      <w:pPr>
        <w:pStyle w:val="Normal"/>
        <w:widowControl w:val="false"/>
        <w:numPr>
          <w:ilvl w:val="1"/>
          <w:numId w:val="6"/>
        </w:numPr>
        <w:shd w:val="clear" w:color="auto" w:fill="FFFFFF"/>
        <w:tabs>
          <w:tab w:val="clear" w:pos="720"/>
          <w:tab w:val="left" w:pos="1134" w:leader="none"/>
          <w:tab w:val="left" w:pos="1283" w:leader="none"/>
        </w:tabs>
        <w:spacing w:before="0" w:after="120"/>
        <w:ind w:left="0" w:firstLine="567"/>
        <w:jc w:val="both"/>
        <w:rPr>
          <w:highlight w:val="none"/>
          <w:shd w:fill="FFFFFF" w:val="clear"/>
        </w:rPr>
      </w:pPr>
      <w:r>
        <w:rPr>
          <w:sz w:val="24"/>
          <w:szCs w:val="24"/>
          <w:shd w:fill="FFFFFF" w:val="clear"/>
        </w:rPr>
        <w:t xml:space="preserve">Условия Договора и сам факт его заключения составляют Информацию в той части, в которой такие обстоятельства не были известны третьим лицам на момент заключения Договора в рамках проводимых Покупателем закупочных процедур. </w:t>
      </w:r>
    </w:p>
    <w:p>
      <w:pPr>
        <w:pStyle w:val="Normal"/>
        <w:widowControl w:val="false"/>
        <w:numPr>
          <w:ilvl w:val="1"/>
          <w:numId w:val="6"/>
        </w:numPr>
        <w:shd w:val="clear" w:color="auto" w:fill="FFFFFF"/>
        <w:tabs>
          <w:tab w:val="clear" w:pos="720"/>
          <w:tab w:val="left" w:pos="1134" w:leader="none"/>
          <w:tab w:val="left" w:pos="1283" w:leader="none"/>
        </w:tabs>
        <w:spacing w:before="0" w:after="120"/>
        <w:ind w:left="0" w:firstLine="567"/>
        <w:jc w:val="both"/>
        <w:rPr>
          <w:highlight w:val="none"/>
          <w:shd w:fill="FFFFFF" w:val="clear"/>
        </w:rPr>
      </w:pPr>
      <w:r>
        <w:rPr>
          <w:sz w:val="24"/>
          <w:szCs w:val="24"/>
          <w:shd w:fill="FFFFFF" w:val="clear"/>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pPr>
        <w:pStyle w:val="Normal"/>
        <w:widowControl w:val="false"/>
        <w:numPr>
          <w:ilvl w:val="1"/>
          <w:numId w:val="6"/>
        </w:numPr>
        <w:shd w:val="clear" w:color="auto" w:fill="FFFFFF"/>
        <w:tabs>
          <w:tab w:val="clear" w:pos="720"/>
          <w:tab w:val="left" w:pos="1134" w:leader="none"/>
          <w:tab w:val="left" w:pos="1283" w:leader="none"/>
        </w:tabs>
        <w:spacing w:before="0" w:after="120"/>
        <w:ind w:left="0" w:firstLine="567"/>
        <w:jc w:val="both"/>
        <w:rPr>
          <w:highlight w:val="none"/>
          <w:shd w:fill="FFFFFF" w:val="clear"/>
        </w:rPr>
      </w:pPr>
      <w:r>
        <w:rPr>
          <w:sz w:val="24"/>
          <w:szCs w:val="24"/>
          <w:shd w:fill="FFFFFF" w:val="clear"/>
        </w:rPr>
        <w:t>На документ, содержащий Информацию, Покупателем может быть нанесен гриф «Коммерческая тайна» с указанием обладателя этой информации.</w:t>
      </w:r>
    </w:p>
    <w:p>
      <w:pPr>
        <w:pStyle w:val="Normal"/>
        <w:widowControl w:val="false"/>
        <w:numPr>
          <w:ilvl w:val="1"/>
          <w:numId w:val="6"/>
        </w:numPr>
        <w:shd w:val="clear" w:color="auto" w:fill="FFFFFF"/>
        <w:tabs>
          <w:tab w:val="clear" w:pos="720"/>
          <w:tab w:val="left" w:pos="1134" w:leader="none"/>
          <w:tab w:val="left" w:pos="1283" w:leader="none"/>
        </w:tabs>
        <w:spacing w:before="0" w:after="120"/>
        <w:ind w:left="0" w:firstLine="567"/>
        <w:jc w:val="both"/>
        <w:rPr>
          <w:highlight w:val="none"/>
          <w:shd w:fill="FFFFFF" w:val="clear"/>
        </w:rPr>
      </w:pPr>
      <w:r>
        <w:rPr>
          <w:sz w:val="24"/>
          <w:szCs w:val="24"/>
          <w:shd w:fill="FFFFFF" w:val="clear"/>
        </w:rPr>
        <w:t>Информация, подлежащая сохранению в тайне и неразглашению, может включать в себя, без ограничения приведенным перечнем:</w:t>
      </w:r>
    </w:p>
    <w:p>
      <w:pPr>
        <w:pStyle w:val="Normal"/>
        <w:numPr>
          <w:ilvl w:val="0"/>
          <w:numId w:val="8"/>
        </w:numPr>
        <w:tabs>
          <w:tab w:val="clear" w:pos="720"/>
          <w:tab w:val="left" w:pos="0" w:leader="none"/>
        </w:tabs>
        <w:spacing w:before="0" w:after="120"/>
        <w:ind w:left="851" w:hanging="284"/>
        <w:jc w:val="both"/>
        <w:rPr>
          <w:highlight w:val="none"/>
          <w:shd w:fill="FFFFFF" w:val="clear"/>
        </w:rPr>
      </w:pPr>
      <w:r>
        <w:rPr>
          <w:bCs/>
          <w:sz w:val="24"/>
          <w:szCs w:val="24"/>
          <w:shd w:fill="FFFFFF" w:val="clear"/>
        </w:rPr>
        <w:t>финансовую отчетность;</w:t>
      </w:r>
    </w:p>
    <w:p>
      <w:pPr>
        <w:pStyle w:val="Normal"/>
        <w:numPr>
          <w:ilvl w:val="0"/>
          <w:numId w:val="8"/>
        </w:numPr>
        <w:tabs>
          <w:tab w:val="clear" w:pos="720"/>
          <w:tab w:val="left" w:pos="0" w:leader="none"/>
        </w:tabs>
        <w:spacing w:before="0" w:after="120"/>
        <w:ind w:left="851" w:hanging="284"/>
        <w:jc w:val="both"/>
        <w:rPr>
          <w:highlight w:val="none"/>
          <w:shd w:fill="FFFFFF" w:val="clear"/>
        </w:rPr>
      </w:pPr>
      <w:r>
        <w:rPr>
          <w:bCs/>
          <w:sz w:val="24"/>
          <w:szCs w:val="24"/>
          <w:shd w:fill="FFFFFF" w:val="clear"/>
        </w:rPr>
        <w:t>учетные регистры бухгалтерского учета;</w:t>
      </w:r>
    </w:p>
    <w:p>
      <w:pPr>
        <w:pStyle w:val="Normal"/>
        <w:numPr>
          <w:ilvl w:val="0"/>
          <w:numId w:val="8"/>
        </w:numPr>
        <w:tabs>
          <w:tab w:val="clear" w:pos="720"/>
          <w:tab w:val="left" w:pos="0" w:leader="none"/>
        </w:tabs>
        <w:spacing w:before="0" w:after="120"/>
        <w:ind w:left="851" w:hanging="284"/>
        <w:jc w:val="both"/>
        <w:rPr>
          <w:highlight w:val="none"/>
          <w:shd w:fill="FFFFFF" w:val="clear"/>
        </w:rPr>
      </w:pPr>
      <w:r>
        <w:rPr>
          <w:bCs/>
          <w:sz w:val="24"/>
          <w:szCs w:val="24"/>
          <w:shd w:fill="FFFFFF" w:val="clear"/>
        </w:rPr>
        <w:t>бизнес-планы;</w:t>
      </w:r>
    </w:p>
    <w:p>
      <w:pPr>
        <w:pStyle w:val="Normal"/>
        <w:numPr>
          <w:ilvl w:val="0"/>
          <w:numId w:val="8"/>
        </w:numPr>
        <w:tabs>
          <w:tab w:val="clear" w:pos="720"/>
          <w:tab w:val="left" w:pos="0" w:leader="none"/>
        </w:tabs>
        <w:spacing w:before="0" w:after="120"/>
        <w:ind w:left="851" w:hanging="284"/>
        <w:jc w:val="both"/>
        <w:rPr>
          <w:highlight w:val="none"/>
          <w:shd w:fill="FFFFFF" w:val="clear"/>
        </w:rPr>
      </w:pPr>
      <w:r>
        <w:rPr>
          <w:bCs/>
          <w:sz w:val="24"/>
          <w:szCs w:val="24"/>
          <w:shd w:fill="FFFFFF" w:val="clear"/>
        </w:rPr>
        <w:t>договоры и соглашения, заключаемые или заключенные непосредственно Покупателем либо в его пользу, а также информацию и сведения, содержащиеся в данных договорах и соглашениях;</w:t>
      </w:r>
    </w:p>
    <w:p>
      <w:pPr>
        <w:pStyle w:val="Normal"/>
        <w:numPr>
          <w:ilvl w:val="0"/>
          <w:numId w:val="8"/>
        </w:numPr>
        <w:tabs>
          <w:tab w:val="clear" w:pos="720"/>
          <w:tab w:val="left" w:pos="0" w:leader="none"/>
        </w:tabs>
        <w:spacing w:before="0" w:after="120"/>
        <w:ind w:left="851" w:hanging="284"/>
        <w:jc w:val="both"/>
        <w:rPr>
          <w:highlight w:val="none"/>
          <w:shd w:fill="FFFFFF" w:val="clear"/>
        </w:rPr>
      </w:pPr>
      <w:r>
        <w:rPr>
          <w:bCs/>
          <w:sz w:val="24"/>
          <w:szCs w:val="24"/>
          <w:shd w:fill="FFFFFF" w:val="clear"/>
        </w:rPr>
        <w:t>сведения о финансовых, правовых, организационных и других взаимоотношениях между Покупателем и третьими лицами;</w:t>
      </w:r>
    </w:p>
    <w:p>
      <w:pPr>
        <w:pStyle w:val="Normal"/>
        <w:numPr>
          <w:ilvl w:val="0"/>
          <w:numId w:val="8"/>
        </w:numPr>
        <w:tabs>
          <w:tab w:val="clear" w:pos="720"/>
          <w:tab w:val="left" w:pos="0" w:leader="none"/>
        </w:tabs>
        <w:spacing w:before="0" w:after="120"/>
        <w:ind w:left="851" w:hanging="284"/>
        <w:jc w:val="both"/>
        <w:rPr>
          <w:highlight w:val="none"/>
          <w:shd w:fill="FFFFFF" w:val="clear"/>
        </w:rPr>
      </w:pPr>
      <w:r>
        <w:rPr>
          <w:bCs/>
          <w:sz w:val="24"/>
          <w:szCs w:val="24"/>
          <w:shd w:fill="FFFFFF" w:val="clear"/>
        </w:rPr>
        <w:t>сведения о находящихся на регистрации товарных знаках Заказчика, а также об объектах интеллектуальной собственности Заказчика, сведения о которых не являются опубликованными;</w:t>
      </w:r>
    </w:p>
    <w:p>
      <w:pPr>
        <w:pStyle w:val="Normal"/>
        <w:numPr>
          <w:ilvl w:val="0"/>
          <w:numId w:val="8"/>
        </w:numPr>
        <w:tabs>
          <w:tab w:val="clear" w:pos="720"/>
          <w:tab w:val="left" w:pos="0" w:leader="none"/>
        </w:tabs>
        <w:spacing w:before="0" w:after="120"/>
        <w:ind w:left="851" w:hanging="284"/>
        <w:jc w:val="both"/>
        <w:rPr>
          <w:highlight w:val="none"/>
          <w:shd w:fill="FFFFFF" w:val="clear"/>
        </w:rPr>
      </w:pPr>
      <w:r>
        <w:rPr>
          <w:bCs/>
          <w:sz w:val="24"/>
          <w:szCs w:val="24"/>
          <w:shd w:fill="FFFFFF" w:val="clear"/>
        </w:rPr>
        <w:t>сведения о подрядчиках, поставщиках оборудования, сырья и материалов, а также о покупателях продукции и их аффилированных лицах;</w:t>
      </w:r>
    </w:p>
    <w:p>
      <w:pPr>
        <w:pStyle w:val="Normal"/>
        <w:numPr>
          <w:ilvl w:val="0"/>
          <w:numId w:val="8"/>
        </w:numPr>
        <w:tabs>
          <w:tab w:val="clear" w:pos="720"/>
          <w:tab w:val="left" w:pos="0" w:leader="none"/>
        </w:tabs>
        <w:spacing w:before="0" w:after="120"/>
        <w:ind w:left="851" w:hanging="284"/>
        <w:jc w:val="both"/>
        <w:rPr>
          <w:highlight w:val="none"/>
          <w:shd w:fill="FFFFFF" w:val="clear"/>
        </w:rPr>
      </w:pPr>
      <w:r>
        <w:rPr>
          <w:bCs/>
          <w:sz w:val="24"/>
          <w:szCs w:val="24"/>
          <w:shd w:fill="FFFFFF" w:val="clear"/>
        </w:rPr>
        <w:t>сведения об объемах производства и/или реализации продукции и услуг Заказчика или его аффилированных лиц;</w:t>
      </w:r>
    </w:p>
    <w:p>
      <w:pPr>
        <w:pStyle w:val="Normal"/>
        <w:numPr>
          <w:ilvl w:val="0"/>
          <w:numId w:val="8"/>
        </w:numPr>
        <w:tabs>
          <w:tab w:val="clear" w:pos="720"/>
          <w:tab w:val="left" w:pos="0" w:leader="none"/>
        </w:tabs>
        <w:spacing w:before="0" w:after="120"/>
        <w:ind w:left="851" w:hanging="284"/>
        <w:jc w:val="both"/>
        <w:rPr>
          <w:highlight w:val="none"/>
          <w:shd w:fill="FFFFFF" w:val="clear"/>
        </w:rPr>
      </w:pPr>
      <w:r>
        <w:rPr>
          <w:bCs/>
          <w:sz w:val="24"/>
          <w:szCs w:val="24"/>
          <w:shd w:fill="FFFFFF" w:val="clear"/>
        </w:rPr>
        <w:t>материалы обобщения, анализа, оценки, иных действий по обработке вышеуказанной Информации и документов.</w:t>
      </w:r>
    </w:p>
    <w:p>
      <w:pPr>
        <w:pStyle w:val="Normal"/>
        <w:widowControl w:val="false"/>
        <w:numPr>
          <w:ilvl w:val="1"/>
          <w:numId w:val="6"/>
        </w:numPr>
        <w:shd w:val="clear" w:color="auto" w:fill="FFFFFF"/>
        <w:tabs>
          <w:tab w:val="clear" w:pos="720"/>
          <w:tab w:val="left" w:pos="1134" w:leader="none"/>
          <w:tab w:val="left" w:pos="1283" w:leader="none"/>
        </w:tabs>
        <w:spacing w:before="0" w:after="120"/>
        <w:ind w:left="0" w:firstLine="567"/>
        <w:jc w:val="both"/>
        <w:rPr>
          <w:highlight w:val="none"/>
          <w:shd w:fill="FFFFFF" w:val="clear"/>
        </w:rPr>
      </w:pPr>
      <w:r>
        <w:rPr>
          <w:sz w:val="24"/>
          <w:szCs w:val="24"/>
          <w:shd w:fill="FFFFFF" w:val="clear"/>
        </w:rPr>
        <w:t xml:space="preserve">Поставщик обязан безусловно обеспечить защиту и сохранение конфиденциальности Информации в течение срока действия Договора и в течение 3 (трех) лет после прекращения его действия, в том числе: </w:t>
      </w:r>
    </w:p>
    <w:p>
      <w:pPr>
        <w:pStyle w:val="Normal"/>
        <w:widowControl w:val="false"/>
        <w:numPr>
          <w:ilvl w:val="2"/>
          <w:numId w:val="6"/>
        </w:numPr>
        <w:shd w:val="clear" w:color="auto" w:fill="FFFFFF"/>
        <w:tabs>
          <w:tab w:val="clear" w:pos="720"/>
          <w:tab w:val="left" w:pos="1276" w:leader="none"/>
        </w:tabs>
        <w:spacing w:before="0" w:after="120"/>
        <w:ind w:left="0" w:firstLine="567"/>
        <w:jc w:val="both"/>
        <w:rPr>
          <w:highlight w:val="none"/>
          <w:shd w:fill="FFFFFF" w:val="clear"/>
        </w:rPr>
      </w:pPr>
      <w:r>
        <w:rPr>
          <w:sz w:val="24"/>
          <w:szCs w:val="24"/>
          <w:shd w:fill="FFFFFF" w:val="clear"/>
        </w:rPr>
        <w:t>не разглашать, не обсуждать содержание, не предоставлять копий, не публиковать и не раскрывать в какой-либо иной форме третьим лицам Информацию без получения предварительного письменного согласия Покупателя, если иное не предусмотрено законодательством Российской Федерации и п. 9.6.7 Договора;</w:t>
      </w:r>
    </w:p>
    <w:p>
      <w:pPr>
        <w:pStyle w:val="Normal"/>
        <w:widowControl w:val="false"/>
        <w:numPr>
          <w:ilvl w:val="2"/>
          <w:numId w:val="6"/>
        </w:numPr>
        <w:shd w:val="clear" w:color="auto" w:fill="FFFFFF"/>
        <w:tabs>
          <w:tab w:val="clear" w:pos="720"/>
          <w:tab w:val="left" w:pos="1276" w:leader="none"/>
        </w:tabs>
        <w:spacing w:before="0" w:after="120"/>
        <w:ind w:left="0" w:firstLine="567"/>
        <w:jc w:val="both"/>
        <w:rPr>
          <w:highlight w:val="none"/>
          <w:shd w:fill="FFFFFF" w:val="clear"/>
        </w:rPr>
      </w:pPr>
      <w:r>
        <w:rPr>
          <w:sz w:val="24"/>
          <w:szCs w:val="24"/>
          <w:shd w:fill="FFFFFF" w:val="clear"/>
        </w:rPr>
        <w:t>принимать меры предосторожности, обычно используемые для защиты такого рода информации в деловом обороте, однако, если в организации Поставщика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то Поставщик обязан использовать в отношении защиты Информации обычно используемые им меры защиты;</w:t>
      </w:r>
    </w:p>
    <w:p>
      <w:pPr>
        <w:pStyle w:val="Normal"/>
        <w:widowControl w:val="false"/>
        <w:numPr>
          <w:ilvl w:val="2"/>
          <w:numId w:val="6"/>
        </w:numPr>
        <w:shd w:val="clear" w:color="auto" w:fill="FFFFFF"/>
        <w:tabs>
          <w:tab w:val="clear" w:pos="720"/>
          <w:tab w:val="left" w:pos="1276" w:leader="none"/>
        </w:tabs>
        <w:spacing w:before="0" w:after="120"/>
        <w:ind w:left="0" w:firstLine="567"/>
        <w:jc w:val="both"/>
        <w:rPr>
          <w:highlight w:val="none"/>
          <w:shd w:fill="FFFFFF" w:val="clear"/>
        </w:rPr>
      </w:pPr>
      <w:r>
        <w:rPr>
          <w:sz w:val="24"/>
          <w:szCs w:val="24"/>
          <w:shd w:fill="FFFFFF" w:val="clear"/>
        </w:rPr>
        <w:t xml:space="preserve">использовать Информацию исключительно для целей, для которых она была предоставлена; </w:t>
      </w:r>
    </w:p>
    <w:p>
      <w:pPr>
        <w:pStyle w:val="Normal"/>
        <w:widowControl w:val="false"/>
        <w:numPr>
          <w:ilvl w:val="2"/>
          <w:numId w:val="6"/>
        </w:numPr>
        <w:shd w:val="clear" w:color="auto" w:fill="FFFFFF"/>
        <w:tabs>
          <w:tab w:val="clear" w:pos="720"/>
          <w:tab w:val="left" w:pos="1276" w:leader="none"/>
        </w:tabs>
        <w:spacing w:before="0" w:after="120"/>
        <w:ind w:left="0" w:firstLine="567"/>
        <w:jc w:val="both"/>
        <w:rPr>
          <w:highlight w:val="none"/>
          <w:shd w:fill="FFFFFF" w:val="clear"/>
        </w:rPr>
      </w:pPr>
      <w:r>
        <w:rPr>
          <w:sz w:val="24"/>
          <w:szCs w:val="24"/>
          <w:shd w:fill="FFFFFF" w:val="clear"/>
        </w:rPr>
        <w:t xml:space="preserve">не осуществлять действий (бездействия), результатом которых может быть несанкционированное раскрытие Информации третьим лицам; </w:t>
      </w:r>
    </w:p>
    <w:p>
      <w:pPr>
        <w:pStyle w:val="Normal"/>
        <w:widowControl w:val="false"/>
        <w:numPr>
          <w:ilvl w:val="2"/>
          <w:numId w:val="6"/>
        </w:numPr>
        <w:shd w:val="clear" w:color="auto" w:fill="FFFFFF"/>
        <w:tabs>
          <w:tab w:val="clear" w:pos="720"/>
          <w:tab w:val="left" w:pos="1276" w:leader="none"/>
        </w:tabs>
        <w:spacing w:before="0" w:after="120"/>
        <w:ind w:left="0" w:firstLine="567"/>
        <w:jc w:val="both"/>
        <w:rPr>
          <w:highlight w:val="none"/>
          <w:shd w:fill="FFFFFF" w:val="clear"/>
        </w:rPr>
      </w:pPr>
      <w:r>
        <w:rPr>
          <w:sz w:val="24"/>
          <w:szCs w:val="24"/>
          <w:shd w:fill="FFFFFF" w:val="clear"/>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Покупателя, а также обеспечить содействие, которое потребует Покупатель для предотвращения несанкционированного раскрытия;</w:t>
      </w:r>
    </w:p>
    <w:p>
      <w:pPr>
        <w:pStyle w:val="Normal"/>
        <w:widowControl w:val="false"/>
        <w:numPr>
          <w:ilvl w:val="2"/>
          <w:numId w:val="6"/>
        </w:numPr>
        <w:shd w:val="clear" w:color="auto" w:fill="FFFFFF"/>
        <w:tabs>
          <w:tab w:val="clear" w:pos="720"/>
          <w:tab w:val="left" w:pos="1276" w:leader="none"/>
        </w:tabs>
        <w:spacing w:before="0" w:after="120"/>
        <w:ind w:left="0" w:firstLine="567"/>
        <w:jc w:val="both"/>
        <w:rPr>
          <w:highlight w:val="none"/>
          <w:shd w:fill="FFFFFF" w:val="clear"/>
        </w:rPr>
      </w:pPr>
      <w:r>
        <w:rPr>
          <w:sz w:val="24"/>
          <w:szCs w:val="24"/>
          <w:shd w:fill="FFFFFF" w:val="clear"/>
        </w:rPr>
        <w:t xml:space="preserve">по требованию Покупателя уничтожить всю Информацию, которую будет невозможно передать Покупателю по его запросу или которая будет находиться на технических средствах Поставщика. При этом Покупатель признает, что обязательства 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или методики создания резервных копий; </w:t>
      </w:r>
    </w:p>
    <w:p>
      <w:pPr>
        <w:pStyle w:val="Normal"/>
        <w:widowControl w:val="false"/>
        <w:numPr>
          <w:ilvl w:val="2"/>
          <w:numId w:val="6"/>
        </w:numPr>
        <w:shd w:val="clear" w:color="auto" w:fill="FFFFFF"/>
        <w:tabs>
          <w:tab w:val="clear" w:pos="720"/>
          <w:tab w:val="left" w:pos="1276" w:leader="none"/>
        </w:tabs>
        <w:spacing w:before="0" w:after="120"/>
        <w:ind w:left="0" w:firstLine="567"/>
        <w:jc w:val="both"/>
        <w:rPr>
          <w:highlight w:val="none"/>
          <w:shd w:fill="FFFFFF" w:val="clear"/>
        </w:rPr>
      </w:pPr>
      <w:r>
        <w:rPr>
          <w:sz w:val="24"/>
          <w:szCs w:val="24"/>
          <w:shd w:fill="FFFFFF" w:val="clear"/>
        </w:rPr>
        <w:t>раскрывать Информацию только своим работникам, акционерам, членам Совета Директоров и аудиторам только в случае служебной необходимости в объеме, требуемом для исполнения Договора, оставаясь ответственным за действия таких лиц, как за свои собственные;</w:t>
      </w:r>
    </w:p>
    <w:p>
      <w:pPr>
        <w:pStyle w:val="Normal"/>
        <w:widowControl w:val="false"/>
        <w:numPr>
          <w:ilvl w:val="2"/>
          <w:numId w:val="6"/>
        </w:numPr>
        <w:shd w:val="clear" w:color="auto" w:fill="FFFFFF"/>
        <w:tabs>
          <w:tab w:val="clear" w:pos="720"/>
          <w:tab w:val="left" w:pos="1276" w:leader="none"/>
        </w:tabs>
        <w:spacing w:before="0" w:after="120"/>
        <w:ind w:left="0" w:firstLine="567"/>
        <w:jc w:val="both"/>
        <w:rPr>
          <w:highlight w:val="none"/>
          <w:shd w:fill="FFFFFF" w:val="clear"/>
        </w:rPr>
      </w:pPr>
      <w:r>
        <w:rPr>
          <w:sz w:val="24"/>
          <w:szCs w:val="24"/>
          <w:shd w:fill="FFFFFF" w:val="clear"/>
        </w:rPr>
        <w:t>не разглашать третьим лицам факта передачи или получения Информации.</w:t>
      </w:r>
    </w:p>
    <w:p>
      <w:pPr>
        <w:pStyle w:val="Normal"/>
        <w:widowControl w:val="false"/>
        <w:numPr>
          <w:ilvl w:val="1"/>
          <w:numId w:val="6"/>
        </w:numPr>
        <w:shd w:val="clear" w:color="auto" w:fill="FFFFFF"/>
        <w:tabs>
          <w:tab w:val="clear" w:pos="720"/>
          <w:tab w:val="left" w:pos="1134" w:leader="none"/>
          <w:tab w:val="left" w:pos="1283" w:leader="none"/>
        </w:tabs>
        <w:spacing w:before="0" w:after="120"/>
        <w:ind w:left="0" w:firstLine="567"/>
        <w:jc w:val="both"/>
        <w:rPr>
          <w:highlight w:val="none"/>
          <w:shd w:fill="FFFFFF" w:val="clear"/>
        </w:rPr>
      </w:pPr>
      <w:r>
        <w:rPr>
          <w:sz w:val="24"/>
          <w:szCs w:val="24"/>
          <w:shd w:fill="FFFFFF" w:val="clear"/>
        </w:rPr>
        <w:t>Поставщик, нарушивший условия настоящего раздела Договора, возмещает Покупателю все понесенные расходы и убытки, вызванные таким нарушением, в течение 10 (десяти) дней с даты получения соответствующего требования.</w:t>
      </w:r>
    </w:p>
    <w:p>
      <w:pPr>
        <w:pStyle w:val="Normal"/>
        <w:widowControl w:val="false"/>
        <w:numPr>
          <w:ilvl w:val="1"/>
          <w:numId w:val="6"/>
        </w:numPr>
        <w:shd w:val="clear" w:color="auto" w:fill="FFFFFF"/>
        <w:tabs>
          <w:tab w:val="clear" w:pos="720"/>
          <w:tab w:val="left" w:pos="1134" w:leader="none"/>
          <w:tab w:val="left" w:pos="1283" w:leader="none"/>
        </w:tabs>
        <w:spacing w:before="0" w:after="120"/>
        <w:ind w:left="0" w:firstLine="567"/>
        <w:jc w:val="both"/>
        <w:rPr>
          <w:highlight w:val="none"/>
          <w:shd w:fill="FFFFFF" w:val="clear"/>
        </w:rPr>
      </w:pPr>
      <w:r>
        <w:rPr>
          <w:sz w:val="24"/>
          <w:szCs w:val="24"/>
          <w:shd w:fill="FFFFFF" w:val="clear"/>
        </w:rPr>
        <w:t xml:space="preserve">Поставщик обязуется в договорах с третьими лицами обеспечить повторение условий Договора в части соблюдения режима конфиденциальности. </w:t>
      </w:r>
    </w:p>
    <w:p>
      <w:pPr>
        <w:pStyle w:val="Normal"/>
        <w:widowControl w:val="false"/>
        <w:numPr>
          <w:ilvl w:val="1"/>
          <w:numId w:val="6"/>
        </w:numPr>
        <w:shd w:val="clear" w:color="auto" w:fill="FFFFFF"/>
        <w:tabs>
          <w:tab w:val="clear" w:pos="720"/>
          <w:tab w:val="left" w:pos="1134" w:leader="none"/>
          <w:tab w:val="left" w:pos="1283" w:leader="none"/>
        </w:tabs>
        <w:spacing w:before="0" w:after="120"/>
        <w:ind w:left="0" w:firstLine="567"/>
        <w:jc w:val="both"/>
        <w:rPr>
          <w:highlight w:val="none"/>
          <w:shd w:fill="FFFFFF" w:val="clear"/>
        </w:rPr>
      </w:pPr>
      <w:r>
        <w:rPr>
          <w:sz w:val="24"/>
          <w:szCs w:val="24"/>
          <w:shd w:fill="FFFFFF" w:val="clear"/>
        </w:rPr>
        <w:t xml:space="preserve">Условия защиты конфиденциальной информации, представляемой Поставщиком Покупателю, могут быть урегулированы отдельно заключаемым Сторонами соглашением. </w:t>
      </w:r>
    </w:p>
    <w:p>
      <w:pPr>
        <w:pStyle w:val="Normal"/>
        <w:widowControl w:val="false"/>
        <w:numPr>
          <w:ilvl w:val="0"/>
          <w:numId w:val="6"/>
        </w:numPr>
        <w:shd w:val="clear" w:color="auto" w:fill="FFFFFF"/>
        <w:tabs>
          <w:tab w:val="clear" w:pos="720"/>
          <w:tab w:val="left" w:pos="426" w:leader="none"/>
        </w:tabs>
        <w:spacing w:before="0" w:after="120"/>
        <w:ind w:left="0" w:hanging="0"/>
        <w:jc w:val="center"/>
        <w:rPr>
          <w:highlight w:val="none"/>
          <w:shd w:fill="FFFFFF" w:val="clear"/>
        </w:rPr>
      </w:pPr>
      <w:r>
        <w:rPr>
          <w:b/>
          <w:sz w:val="24"/>
          <w:szCs w:val="24"/>
          <w:shd w:fill="FFFFFF" w:val="clear"/>
        </w:rPr>
        <w:t>Инсайдерская оговорка</w:t>
      </w:r>
    </w:p>
    <w:p>
      <w:pPr>
        <w:pStyle w:val="Normal"/>
        <w:widowControl w:val="false"/>
        <w:numPr>
          <w:ilvl w:val="1"/>
          <w:numId w:val="6"/>
        </w:numPr>
        <w:shd w:val="clear" w:color="auto" w:fill="FFFFFF"/>
        <w:tabs>
          <w:tab w:val="clear" w:pos="720"/>
          <w:tab w:val="left" w:pos="1134" w:leader="none"/>
          <w:tab w:val="left" w:pos="1283" w:leader="none"/>
        </w:tabs>
        <w:spacing w:before="0" w:after="120"/>
        <w:ind w:left="0" w:firstLine="567"/>
        <w:jc w:val="both"/>
        <w:rPr>
          <w:highlight w:val="none"/>
          <w:shd w:fill="FFFFFF" w:val="clear"/>
        </w:rPr>
      </w:pPr>
      <w:r>
        <w:rPr>
          <w:sz w:val="24"/>
          <w:szCs w:val="24"/>
          <w:shd w:fill="FFFFFF" w:val="clear"/>
        </w:rPr>
        <w:t>Поставщик также обязуется:</w:t>
      </w:r>
    </w:p>
    <w:p>
      <w:pPr>
        <w:pStyle w:val="ListParagraph"/>
        <w:numPr>
          <w:ilvl w:val="2"/>
          <w:numId w:val="6"/>
        </w:numPr>
        <w:shd w:val="clear" w:color="auto" w:fill="FFFFFF"/>
        <w:tabs>
          <w:tab w:val="clear" w:pos="720"/>
          <w:tab w:val="left" w:pos="1283" w:leader="none"/>
        </w:tabs>
        <w:spacing w:before="0" w:after="120"/>
        <w:ind w:left="0" w:firstLine="567"/>
        <w:contextualSpacing w:val="false"/>
        <w:jc w:val="both"/>
        <w:rPr>
          <w:highlight w:val="none"/>
          <w:shd w:fill="FFFFFF" w:val="clear"/>
        </w:rPr>
      </w:pPr>
      <w:r>
        <w:rPr>
          <w:sz w:val="24"/>
          <w:szCs w:val="24"/>
          <w:shd w:fill="FFFFFF" w:val="clear"/>
        </w:rPr>
        <w:t>не допускать случаев неправомерного использования инсайдерской информации Покупателя и/или ПАО «РусГидро» и/или разглашения инсайдерской информации Покупателя и/или ПАО «РусГидро», а также принимать все зависящие от него меры для защиты инсайдерской информации Покупателя и/или ПАО «РусГидро» от неправомерного использования;</w:t>
      </w:r>
    </w:p>
    <w:p>
      <w:pPr>
        <w:pStyle w:val="ListParagraph"/>
        <w:numPr>
          <w:ilvl w:val="2"/>
          <w:numId w:val="6"/>
        </w:numPr>
        <w:shd w:val="clear" w:color="auto" w:fill="FFFFFF"/>
        <w:tabs>
          <w:tab w:val="clear" w:pos="720"/>
          <w:tab w:val="left" w:pos="1283" w:leader="none"/>
        </w:tabs>
        <w:spacing w:before="0" w:after="120"/>
        <w:ind w:left="0" w:firstLine="567"/>
        <w:contextualSpacing w:val="false"/>
        <w:jc w:val="both"/>
        <w:rPr>
          <w:highlight w:val="none"/>
          <w:shd w:fill="FFFFFF" w:val="clear"/>
        </w:rPr>
      </w:pPr>
      <w:r>
        <w:rPr>
          <w:sz w:val="24"/>
          <w:szCs w:val="24"/>
          <w:shd w:fill="FFFFFF" w:val="clear"/>
        </w:rPr>
        <w:t>ознакомиться с действующей редакцией Положения об инсайдерской информации ПАО «РусГидро», размещенной на официальном сайте ПАО «РусГидро» в сети Интернет и соблюдать ее требования, а также требования законодательства Российской Федерации об инсайдерской информации и манипулировании рынком.</w:t>
      </w:r>
    </w:p>
    <w:p>
      <w:pPr>
        <w:pStyle w:val="Normal"/>
        <w:widowControl w:val="false"/>
        <w:numPr>
          <w:ilvl w:val="0"/>
          <w:numId w:val="6"/>
        </w:numPr>
        <w:shd w:val="clear" w:color="auto" w:fill="FFFFFF"/>
        <w:tabs>
          <w:tab w:val="clear" w:pos="720"/>
          <w:tab w:val="left" w:pos="426" w:leader="none"/>
        </w:tabs>
        <w:spacing w:before="0" w:after="120"/>
        <w:ind w:left="0" w:hanging="0"/>
        <w:jc w:val="center"/>
        <w:rPr>
          <w:highlight w:val="none"/>
          <w:shd w:fill="FFFFFF" w:val="clear"/>
        </w:rPr>
      </w:pPr>
      <w:r>
        <w:rPr>
          <w:b/>
          <w:sz w:val="24"/>
          <w:szCs w:val="24"/>
          <w:shd w:fill="FFFFFF" w:val="clear"/>
        </w:rPr>
        <w:t>Разрешение споров</w:t>
      </w:r>
    </w:p>
    <w:p>
      <w:pPr>
        <w:pStyle w:val="Normal"/>
        <w:widowControl w:val="false"/>
        <w:numPr>
          <w:ilvl w:val="1"/>
          <w:numId w:val="6"/>
        </w:numPr>
        <w:shd w:val="clear" w:color="auto" w:fill="FFFFFF"/>
        <w:tabs>
          <w:tab w:val="left" w:pos="720" w:leader="none"/>
        </w:tabs>
        <w:spacing w:before="0" w:after="120"/>
        <w:ind w:left="0" w:firstLine="567"/>
        <w:jc w:val="both"/>
        <w:rPr>
          <w:highlight w:val="none"/>
          <w:shd w:fill="FFFFFF" w:val="clear"/>
        </w:rPr>
      </w:pPr>
      <w:r>
        <w:rPr>
          <w:sz w:val="24"/>
          <w:szCs w:val="24"/>
          <w:shd w:fill="FFFFFF" w:val="clear"/>
        </w:rPr>
        <w:t>Все споры, разногласия и требования, возникающие между Сторонами по Договору или в связи с ним, связанные, в том числе, с его заключением, исполнением, толкованием, изменением, дополнением, расторжением и действительностью, разрешаются путем переговоров.</w:t>
      </w:r>
    </w:p>
    <w:p>
      <w:pPr>
        <w:pStyle w:val="Normal"/>
        <w:widowControl w:val="false"/>
        <w:numPr>
          <w:ilvl w:val="1"/>
          <w:numId w:val="6"/>
        </w:numPr>
        <w:shd w:val="clear" w:color="auto" w:fill="FFFFFF"/>
        <w:tabs>
          <w:tab w:val="left" w:pos="720" w:leader="none"/>
        </w:tabs>
        <w:spacing w:before="0" w:after="120"/>
        <w:ind w:left="0" w:firstLine="567"/>
        <w:jc w:val="both"/>
        <w:rPr>
          <w:highlight w:val="none"/>
          <w:shd w:fill="FFFFFF" w:val="clear"/>
        </w:rPr>
      </w:pPr>
      <w:r>
        <w:rPr>
          <w:sz w:val="24"/>
          <w:szCs w:val="24"/>
          <w:shd w:fill="FFFFFF" w:val="clear"/>
        </w:rPr>
        <w:t>В случае недостижения соглашения в ходе переговоров, указанных в  п.11.1 Договора, заинтересованная Сторона направляет претензию в письменной форме, подписанную уполномоченным лицом. Претензия должна быть направлена с использованием средств связи, обеспечивающих фиксирование ее отправления (заказной почтой, курьерской службой и т.д.) и получения, либо вручена другой Стороне под расписку.</w:t>
      </w:r>
    </w:p>
    <w:p>
      <w:pPr>
        <w:pStyle w:val="Normal"/>
        <w:widowControl w:val="false"/>
        <w:numPr>
          <w:ilvl w:val="1"/>
          <w:numId w:val="6"/>
        </w:numPr>
        <w:shd w:val="clear" w:color="auto" w:fill="FFFFFF"/>
        <w:tabs>
          <w:tab w:val="left" w:pos="720" w:leader="none"/>
        </w:tabs>
        <w:spacing w:before="0" w:after="120"/>
        <w:ind w:left="0" w:firstLine="567"/>
        <w:jc w:val="both"/>
        <w:rPr>
          <w:highlight w:val="none"/>
          <w:shd w:fill="FFFFFF" w:val="clear"/>
        </w:rPr>
      </w:pPr>
      <w:r>
        <w:rPr>
          <w:sz w:val="24"/>
          <w:szCs w:val="24"/>
          <w:shd w:fill="FFFFFF" w:val="clear"/>
        </w:rPr>
        <w:t xml:space="preserve"> </w:t>
      </w:r>
      <w:r>
        <w:rPr>
          <w:sz w:val="24"/>
          <w:szCs w:val="24"/>
          <w:shd w:fill="FFFFFF" w:val="clear"/>
        </w:rPr>
        <w:t>К претензии должны быть приложены документы, обосновывающие предъявленные заинтересованной Стороной требования (в случае их отсутствия у другой Стороны), и документы, подтверждающие полномочия лица, подписавшего претензию. Указанные документы представляются в форме надлежащим образом заверенных копий. Претензия, направленная без документов, подтверждающих полномочия лица, ее подписавшего, считается непредъявленной и рассмотрению не подлежит.</w:t>
      </w:r>
      <w:bookmarkStart w:id="5" w:name="Par2"/>
      <w:bookmarkEnd w:id="5"/>
    </w:p>
    <w:p>
      <w:pPr>
        <w:pStyle w:val="Normal"/>
        <w:widowControl w:val="false"/>
        <w:numPr>
          <w:ilvl w:val="1"/>
          <w:numId w:val="6"/>
        </w:numPr>
        <w:shd w:val="clear" w:color="auto" w:fill="FFFFFF"/>
        <w:tabs>
          <w:tab w:val="left" w:pos="720" w:leader="none"/>
        </w:tabs>
        <w:spacing w:before="0" w:after="120"/>
        <w:ind w:left="0" w:firstLine="567"/>
        <w:jc w:val="both"/>
        <w:rPr>
          <w:highlight w:val="none"/>
          <w:shd w:fill="FFFFFF" w:val="clear"/>
        </w:rPr>
      </w:pPr>
      <w:r>
        <w:rPr>
          <w:sz w:val="24"/>
          <w:szCs w:val="24"/>
          <w:shd w:fill="FFFFFF" w:val="clear"/>
        </w:rPr>
        <w:t>Сторона, которой направлена претензия, обязана рассмотреть полученную претензию и о результатах уведомить в письменной форме заинтересованную Сторону в течение 10 (десяти) рабочих дней со дня получения претензии.</w:t>
      </w:r>
    </w:p>
    <w:p>
      <w:pPr>
        <w:pStyle w:val="Normal"/>
        <w:widowControl w:val="false"/>
        <w:numPr>
          <w:ilvl w:val="1"/>
          <w:numId w:val="6"/>
        </w:numPr>
        <w:shd w:val="clear" w:color="auto" w:fill="FFFFFF"/>
        <w:tabs>
          <w:tab w:val="left" w:pos="720" w:leader="none"/>
        </w:tabs>
        <w:spacing w:before="0" w:after="120"/>
        <w:ind w:left="0" w:firstLine="567"/>
        <w:jc w:val="both"/>
        <w:rPr>
          <w:highlight w:val="none"/>
          <w:shd w:fill="FFFFFF" w:val="clear"/>
        </w:rPr>
      </w:pPr>
      <w:r>
        <w:rPr>
          <w:sz w:val="24"/>
          <w:szCs w:val="24"/>
          <w:shd w:fill="FFFFFF" w:val="clear"/>
        </w:rPr>
        <w:t xml:space="preserve"> </w:t>
      </w:r>
      <w:r>
        <w:rPr>
          <w:sz w:val="24"/>
          <w:szCs w:val="24"/>
          <w:shd w:fill="FFFFFF" w:val="clear"/>
        </w:rPr>
        <w:t>В случае неурегулирования разногласий в претензионном порядке, а также в случае неполучения ответа на претензию в течение срока, указанного в п. 11.4. Договора, спор передается в арбитражный суд города Москвы.</w:t>
      </w:r>
    </w:p>
    <w:p>
      <w:pPr>
        <w:pStyle w:val="Normal"/>
        <w:widowControl w:val="false"/>
        <w:shd w:val="clear" w:color="auto" w:fill="FFFFFF"/>
        <w:tabs>
          <w:tab w:val="left" w:pos="720" w:leader="none"/>
        </w:tabs>
        <w:spacing w:before="0" w:after="120"/>
        <w:ind w:left="567" w:hanging="0"/>
        <w:jc w:val="both"/>
        <w:rPr>
          <w:sz w:val="24"/>
          <w:szCs w:val="24"/>
          <w:highlight w:val="none"/>
          <w:shd w:fill="FFFFFF" w:val="clear"/>
        </w:rPr>
      </w:pPr>
      <w:r>
        <w:rPr>
          <w:sz w:val="24"/>
          <w:szCs w:val="24"/>
          <w:shd w:fill="FFFFFF" w:val="clear"/>
        </w:rPr>
      </w:r>
    </w:p>
    <w:p>
      <w:pPr>
        <w:pStyle w:val="Normal"/>
        <w:widowControl w:val="false"/>
        <w:numPr>
          <w:ilvl w:val="0"/>
          <w:numId w:val="6"/>
        </w:numPr>
        <w:shd w:val="clear" w:color="auto" w:fill="FFFFFF"/>
        <w:tabs>
          <w:tab w:val="clear" w:pos="720"/>
          <w:tab w:val="left" w:pos="426" w:leader="none"/>
        </w:tabs>
        <w:spacing w:before="0" w:after="120"/>
        <w:ind w:left="0" w:hanging="0"/>
        <w:jc w:val="center"/>
        <w:rPr>
          <w:highlight w:val="none"/>
          <w:shd w:fill="FFFFFF" w:val="clear"/>
        </w:rPr>
      </w:pPr>
      <w:r>
        <w:rPr>
          <w:b/>
          <w:bCs/>
          <w:sz w:val="24"/>
          <w:szCs w:val="24"/>
          <w:shd w:fill="FFFFFF" w:val="clear"/>
        </w:rPr>
        <w:t>Прекращение (расторжение) Договора</w:t>
      </w:r>
    </w:p>
    <w:p>
      <w:pPr>
        <w:pStyle w:val="Normal"/>
        <w:widowControl w:val="false"/>
        <w:numPr>
          <w:ilvl w:val="1"/>
          <w:numId w:val="6"/>
        </w:numPr>
        <w:shd w:val="clear" w:color="auto" w:fill="FFFFFF"/>
        <w:tabs>
          <w:tab w:val="left" w:pos="720" w:leader="none"/>
        </w:tabs>
        <w:spacing w:before="0" w:after="120"/>
        <w:ind w:left="0" w:firstLine="567"/>
        <w:jc w:val="both"/>
        <w:rPr>
          <w:highlight w:val="none"/>
          <w:shd w:fill="FFFFFF" w:val="clear"/>
        </w:rPr>
      </w:pPr>
      <w:r>
        <w:rPr>
          <w:sz w:val="24"/>
          <w:szCs w:val="24"/>
          <w:shd w:fill="FFFFFF" w:val="clear"/>
        </w:rPr>
        <w:t>Договор может быть прекращен (расторгнут) по соглашению Сторон. Сторона, имеющая намерение расторгнуть Договор, направляет письменное уведомление об этом другой Стороне в порядке, предусмотренном пунктом 14.7 Договора, с приложением подписанного соглашения о расторжении Договора. Уведомление о расторжении Договора должно быть рассмотрено Стороной-получателем в течение 30 (тридцати) календарных дней со дня его получения</w:t>
      </w:r>
      <w:r>
        <w:rPr>
          <w:shd w:fill="FFFFFF" w:val="clear"/>
        </w:rPr>
        <w:t>.</w:t>
      </w:r>
    </w:p>
    <w:p>
      <w:pPr>
        <w:pStyle w:val="Normal"/>
        <w:widowControl w:val="false"/>
        <w:numPr>
          <w:ilvl w:val="1"/>
          <w:numId w:val="6"/>
        </w:numPr>
        <w:shd w:val="clear" w:color="auto" w:fill="FFFFFF"/>
        <w:tabs>
          <w:tab w:val="left" w:pos="720" w:leader="none"/>
        </w:tabs>
        <w:spacing w:before="0" w:after="120"/>
        <w:ind w:left="0" w:firstLine="567"/>
        <w:jc w:val="both"/>
        <w:rPr>
          <w:highlight w:val="none"/>
          <w:shd w:fill="FFFFFF" w:val="clear"/>
        </w:rPr>
      </w:pPr>
      <w:r>
        <w:rPr>
          <w:sz w:val="24"/>
          <w:szCs w:val="24"/>
          <w:shd w:fill="FFFFFF" w:val="clear"/>
        </w:rPr>
        <w:t>В случае существенного нарушения Договора Поставщиком Покупатель вправе в одностороннем внесудебном порядке отказаться от Договора и потребовать полного возмещения Поставщиком убытков, причиненных отказом от Договора (исполнения Договора).</w:t>
      </w:r>
    </w:p>
    <w:p>
      <w:pPr>
        <w:pStyle w:val="Normal"/>
        <w:widowControl w:val="false"/>
        <w:shd w:val="clear" w:color="auto" w:fill="FFFFFF"/>
        <w:spacing w:before="0" w:after="120"/>
        <w:jc w:val="both"/>
        <w:rPr>
          <w:highlight w:val="none"/>
          <w:shd w:fill="FFFFFF" w:val="clear"/>
        </w:rPr>
      </w:pPr>
      <w:r>
        <w:rPr>
          <w:sz w:val="24"/>
          <w:szCs w:val="24"/>
          <w:shd w:fill="FFFFFF" w:val="clear"/>
        </w:rPr>
        <w:tab/>
        <w:t>Покупатель одновременно с уведомлением об отказе от Договора (исполнения Договора) направляет Поставщику письменное требование о возмещении убытков с приложением расчета суммы убытков. Поставщик обязан оплатить Покупателю убытки не позднее 15 (пятнадцати) календарных дней с момента получения расчета суммы убытков от Покупателя.</w:t>
      </w:r>
    </w:p>
    <w:p>
      <w:pPr>
        <w:pStyle w:val="Normal"/>
        <w:widowControl w:val="false"/>
        <w:numPr>
          <w:ilvl w:val="1"/>
          <w:numId w:val="6"/>
        </w:numPr>
        <w:shd w:val="clear" w:color="auto" w:fill="FFFFFF"/>
        <w:tabs>
          <w:tab w:val="left" w:pos="720" w:leader="none"/>
        </w:tabs>
        <w:spacing w:before="0" w:after="120"/>
        <w:ind w:left="0" w:firstLine="567"/>
        <w:jc w:val="both"/>
        <w:rPr>
          <w:highlight w:val="none"/>
          <w:shd w:fill="FFFFFF" w:val="clear"/>
        </w:rPr>
      </w:pPr>
      <w:r>
        <w:rPr>
          <w:sz w:val="24"/>
          <w:szCs w:val="24"/>
          <w:shd w:fill="FFFFFF" w:val="clear"/>
        </w:rPr>
        <w:t>Стороны установили, что существенным нарушением Договора Поставщиком является</w:t>
      </w:r>
      <w:r>
        <w:rPr>
          <w:shd w:fill="FFFFFF" w:val="clear"/>
        </w:rPr>
        <w:t>:</w:t>
      </w:r>
    </w:p>
    <w:p>
      <w:pPr>
        <w:pStyle w:val="Normal"/>
        <w:widowControl w:val="false"/>
        <w:numPr>
          <w:ilvl w:val="2"/>
          <w:numId w:val="6"/>
        </w:numPr>
        <w:shd w:val="clear" w:color="auto" w:fill="FFFFFF"/>
        <w:spacing w:before="0" w:after="120"/>
        <w:ind w:left="0" w:firstLine="567"/>
        <w:jc w:val="both"/>
        <w:rPr>
          <w:highlight w:val="none"/>
          <w:shd w:fill="FFFFFF" w:val="clear"/>
        </w:rPr>
      </w:pPr>
      <w:r>
        <w:rPr>
          <w:sz w:val="24"/>
          <w:szCs w:val="24"/>
          <w:shd w:fill="FFFFFF" w:val="clear"/>
        </w:rPr>
        <w:t>просрочка Поставщиком выполнения обязательств по Договору более чем на 15 (пятнадцать) календарных дней;</w:t>
      </w:r>
    </w:p>
    <w:p>
      <w:pPr>
        <w:pStyle w:val="Normal"/>
        <w:widowControl w:val="false"/>
        <w:numPr>
          <w:ilvl w:val="2"/>
          <w:numId w:val="6"/>
        </w:numPr>
        <w:shd w:val="clear" w:color="auto" w:fill="FFFFFF"/>
        <w:spacing w:before="0" w:after="120"/>
        <w:ind w:left="0" w:firstLine="567"/>
        <w:jc w:val="both"/>
        <w:rPr>
          <w:highlight w:val="none"/>
          <w:shd w:fill="FFFFFF" w:val="clear"/>
        </w:rPr>
      </w:pPr>
      <w:r>
        <w:rPr>
          <w:sz w:val="24"/>
          <w:szCs w:val="24"/>
          <w:shd w:fill="FFFFFF" w:val="clear"/>
        </w:rPr>
        <w:t>несоблюдение Поставщиком требований к качеству Продукции, если исправление выявленных Покупателем недостатков, несоответствий и / или дефектов Продукции влечет нарушение сроков Поставки более чем на 15 (пятнадцать) календарных дней либо такие недостатки являются неустранимыми;</w:t>
      </w:r>
    </w:p>
    <w:p>
      <w:pPr>
        <w:pStyle w:val="Normal"/>
        <w:widowControl w:val="false"/>
        <w:numPr>
          <w:ilvl w:val="2"/>
          <w:numId w:val="6"/>
        </w:numPr>
        <w:shd w:val="clear" w:color="auto" w:fill="FFFFFF"/>
        <w:spacing w:before="0" w:after="120"/>
        <w:ind w:left="0" w:firstLine="567"/>
        <w:jc w:val="both"/>
        <w:rPr>
          <w:highlight w:val="none"/>
          <w:shd w:fill="FFFFFF" w:val="clear"/>
        </w:rPr>
      </w:pPr>
      <w:r>
        <w:rPr>
          <w:sz w:val="24"/>
          <w:szCs w:val="24"/>
          <w:shd w:fill="FFFFFF" w:val="clear"/>
        </w:rPr>
        <w:t>при установлении Покупателем нецелесообразности дальнейшего исполнения Договора – с возмещением Поставщику фактически понесенных затрат;</w:t>
      </w:r>
    </w:p>
    <w:p>
      <w:pPr>
        <w:pStyle w:val="Normal"/>
        <w:widowControl w:val="false"/>
        <w:numPr>
          <w:ilvl w:val="2"/>
          <w:numId w:val="6"/>
        </w:numPr>
        <w:shd w:val="clear" w:color="auto" w:fill="FFFFFF"/>
        <w:spacing w:before="0" w:after="120"/>
        <w:ind w:left="0" w:firstLine="567"/>
        <w:jc w:val="both"/>
        <w:rPr>
          <w:highlight w:val="none"/>
          <w:shd w:fill="FFFFFF" w:val="clear"/>
        </w:rPr>
      </w:pPr>
      <w:r>
        <w:rPr>
          <w:sz w:val="24"/>
          <w:szCs w:val="24"/>
          <w:shd w:fill="FFFFFF" w:val="clear"/>
        </w:rPr>
        <w:t>наложение ареста на имущество Поставщика, введение арбитражным судом процедуры несостоятельности (банкротства) в отношении Поставщика;</w:t>
      </w:r>
    </w:p>
    <w:p>
      <w:pPr>
        <w:pStyle w:val="Normal"/>
        <w:widowControl w:val="false"/>
        <w:numPr>
          <w:ilvl w:val="2"/>
          <w:numId w:val="6"/>
        </w:numPr>
        <w:shd w:val="clear" w:color="auto" w:fill="FFFFFF"/>
        <w:spacing w:before="0" w:after="120"/>
        <w:ind w:left="0" w:firstLine="567"/>
        <w:jc w:val="both"/>
        <w:rPr>
          <w:highlight w:val="none"/>
          <w:shd w:fill="FFFFFF" w:val="clear"/>
        </w:rPr>
      </w:pPr>
      <w:r>
        <w:rPr>
          <w:sz w:val="24"/>
          <w:szCs w:val="24"/>
          <w:shd w:fill="FFFFFF" w:val="clear"/>
        </w:rPr>
        <w:t>нарушение более чем на 15 (пятнадцать) календарных дней сроков предоставления документов, подтверждающих обеспечение обязательств по возврату аванса и иных платежей по Договору, отказ в предоставлении Покупателю таких документов;</w:t>
      </w:r>
    </w:p>
    <w:p>
      <w:pPr>
        <w:pStyle w:val="Normal"/>
        <w:widowControl w:val="false"/>
        <w:numPr>
          <w:ilvl w:val="2"/>
          <w:numId w:val="6"/>
        </w:numPr>
        <w:shd w:val="clear" w:color="auto" w:fill="FFFFFF"/>
        <w:spacing w:before="0" w:after="120"/>
        <w:ind w:left="0" w:firstLine="567"/>
        <w:jc w:val="both"/>
        <w:rPr>
          <w:highlight w:val="none"/>
          <w:shd w:fill="FFFFFF" w:val="clear"/>
        </w:rPr>
      </w:pPr>
      <w:r>
        <w:rPr>
          <w:sz w:val="24"/>
          <w:szCs w:val="24"/>
          <w:shd w:fill="FFFFFF" w:val="clear"/>
        </w:rPr>
        <w:t>установление в ходе исполнения Договора фактов несоответствия Поставщика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Поставщика об обстоятельствах, указанных в разделе 13 Договора, и имеющих существенное значение для его заключения и исполнения;</w:t>
      </w:r>
    </w:p>
    <w:p>
      <w:pPr>
        <w:pStyle w:val="Normal"/>
        <w:widowControl w:val="false"/>
        <w:numPr>
          <w:ilvl w:val="2"/>
          <w:numId w:val="6"/>
        </w:numPr>
        <w:shd w:val="clear" w:color="auto" w:fill="FFFFFF"/>
        <w:spacing w:before="0" w:after="120"/>
        <w:ind w:left="0" w:firstLine="567"/>
        <w:jc w:val="both"/>
        <w:rPr>
          <w:highlight w:val="none"/>
          <w:shd w:fill="FFFFFF" w:val="clear"/>
        </w:rPr>
      </w:pPr>
      <w:r>
        <w:rPr>
          <w:sz w:val="24"/>
          <w:szCs w:val="24"/>
          <w:shd w:fill="FFFFFF" w:val="clear"/>
        </w:rPr>
        <w:t xml:space="preserve">если Поставщик без согласия Покупателя передает и/или пытается передать третьим лицам права и обязанности по Договору или какие-либо права и обязанности, установленные в нем. </w:t>
      </w:r>
    </w:p>
    <w:p>
      <w:pPr>
        <w:pStyle w:val="Normal"/>
        <w:widowControl w:val="false"/>
        <w:numPr>
          <w:ilvl w:val="1"/>
          <w:numId w:val="6"/>
        </w:numPr>
        <w:shd w:val="clear" w:color="auto" w:fill="FFFFFF"/>
        <w:tabs>
          <w:tab w:val="left" w:pos="720" w:leader="none"/>
        </w:tabs>
        <w:spacing w:before="0" w:after="120"/>
        <w:ind w:left="0" w:firstLine="567"/>
        <w:jc w:val="both"/>
        <w:rPr>
          <w:highlight w:val="none"/>
          <w:shd w:fill="FFFFFF" w:val="clear"/>
        </w:rPr>
      </w:pPr>
      <w:r>
        <w:rPr>
          <w:sz w:val="24"/>
          <w:szCs w:val="24"/>
          <w:shd w:fill="FFFFFF" w:val="clear"/>
        </w:rPr>
        <w:t>Уведомление о расторжении Договора должно быть направлено Покупателем Поставщику посредством факсимильной/электронной связи не позднее, чем за 5 (пять) календарных дней до предполагаемой даты расторжения Договора с последующим направлением оригинала.</w:t>
      </w:r>
    </w:p>
    <w:p>
      <w:pPr>
        <w:pStyle w:val="Normal"/>
        <w:widowControl w:val="false"/>
        <w:numPr>
          <w:ilvl w:val="1"/>
          <w:numId w:val="6"/>
        </w:numPr>
        <w:shd w:val="clear" w:color="auto" w:fill="FFFFFF"/>
        <w:tabs>
          <w:tab w:val="left" w:pos="720" w:leader="none"/>
        </w:tabs>
        <w:spacing w:before="0" w:after="120"/>
        <w:ind w:left="0" w:firstLine="567"/>
        <w:jc w:val="both"/>
        <w:rPr>
          <w:highlight w:val="none"/>
          <w:shd w:fill="FFFFFF" w:val="clear"/>
        </w:rPr>
      </w:pPr>
      <w:r>
        <w:rPr>
          <w:sz w:val="24"/>
          <w:szCs w:val="24"/>
          <w:shd w:fill="FFFFFF" w:val="clear"/>
        </w:rPr>
        <w:t>Договор считается расторгнутым по основаниям, предусмотренным пунктом 12.1, с даты, указанной в уведомлении о расторжении Договора.</w:t>
      </w:r>
    </w:p>
    <w:p>
      <w:pPr>
        <w:pStyle w:val="ListParagraph"/>
        <w:numPr>
          <w:ilvl w:val="1"/>
          <w:numId w:val="6"/>
        </w:numPr>
        <w:shd w:val="clear" w:color="auto" w:fill="FFFFFF"/>
        <w:tabs>
          <w:tab w:val="clear" w:pos="720"/>
          <w:tab w:val="left" w:pos="1418" w:leader="none"/>
        </w:tabs>
        <w:spacing w:before="0" w:after="120"/>
        <w:ind w:left="0" w:firstLine="567"/>
        <w:contextualSpacing w:val="false"/>
        <w:jc w:val="both"/>
        <w:rPr>
          <w:highlight w:val="none"/>
          <w:shd w:fill="FFFFFF" w:val="clear"/>
        </w:rPr>
      </w:pPr>
      <w:r>
        <w:rPr>
          <w:sz w:val="24"/>
          <w:szCs w:val="24"/>
          <w:shd w:fill="FFFFFF" w:val="clear"/>
        </w:rPr>
        <w:t xml:space="preserve">Поставщик ни при каких обстоятельствах не имеет права на компенсацию упущенной выгоды в связи с досрочным расторжением Договора по любым основаниям. </w:t>
      </w:r>
    </w:p>
    <w:p>
      <w:pPr>
        <w:pStyle w:val="Normal"/>
        <w:widowControl w:val="false"/>
        <w:numPr>
          <w:ilvl w:val="0"/>
          <w:numId w:val="6"/>
        </w:numPr>
        <w:shd w:val="clear" w:color="auto" w:fill="FFFFFF"/>
        <w:tabs>
          <w:tab w:val="clear" w:pos="720"/>
          <w:tab w:val="left" w:pos="426" w:leader="none"/>
        </w:tabs>
        <w:spacing w:before="0" w:after="120"/>
        <w:ind w:left="0" w:hanging="0"/>
        <w:jc w:val="center"/>
        <w:rPr>
          <w:highlight w:val="none"/>
          <w:shd w:fill="FFFFFF" w:val="clear"/>
        </w:rPr>
      </w:pPr>
      <w:r>
        <w:rPr>
          <w:b/>
          <w:bCs/>
          <w:sz w:val="24"/>
          <w:szCs w:val="24"/>
          <w:shd w:fill="FFFFFF" w:val="clear"/>
        </w:rPr>
        <w:t>Заверения</w:t>
      </w:r>
      <w:r>
        <w:rPr>
          <w:b/>
          <w:sz w:val="24"/>
          <w:szCs w:val="24"/>
          <w:shd w:fill="FFFFFF" w:val="clear"/>
        </w:rPr>
        <w:t xml:space="preserve"> Сторон</w:t>
      </w:r>
    </w:p>
    <w:p>
      <w:pPr>
        <w:pStyle w:val="ListParagraph"/>
        <w:numPr>
          <w:ilvl w:val="1"/>
          <w:numId w:val="6"/>
        </w:numPr>
        <w:shd w:val="clear" w:color="auto" w:fill="FFFFFF"/>
        <w:spacing w:before="0" w:after="120"/>
        <w:ind w:left="0" w:firstLine="567"/>
        <w:contextualSpacing w:val="false"/>
        <w:jc w:val="both"/>
        <w:rPr>
          <w:highlight w:val="none"/>
          <w:shd w:fill="FFFFFF" w:val="clear"/>
        </w:rPr>
      </w:pPr>
      <w:r>
        <w:rPr>
          <w:bCs/>
          <w:sz w:val="24"/>
          <w:szCs w:val="24"/>
          <w:shd w:fill="FFFFFF" w:val="clear"/>
        </w:rPr>
        <w:t>Каждая</w:t>
      </w:r>
      <w:r>
        <w:rPr>
          <w:sz w:val="24"/>
          <w:szCs w:val="24"/>
          <w:shd w:fill="FFFFFF" w:val="clear"/>
        </w:rPr>
        <w:t xml:space="preserve"> из Сторон заявляет и подтверждает другой Стороне, что: </w:t>
      </w:r>
    </w:p>
    <w:p>
      <w:pPr>
        <w:pStyle w:val="ListParagraph"/>
        <w:widowControl/>
        <w:numPr>
          <w:ilvl w:val="0"/>
          <w:numId w:val="11"/>
        </w:numPr>
        <w:shd w:val="clear" w:color="auto" w:fill="FFFFFF"/>
        <w:tabs>
          <w:tab w:val="clear" w:pos="720"/>
          <w:tab w:val="left" w:pos="709" w:leader="none"/>
          <w:tab w:val="left" w:pos="1134" w:leader="none"/>
        </w:tabs>
        <w:ind w:left="0" w:firstLine="709"/>
        <w:jc w:val="both"/>
        <w:rPr>
          <w:highlight w:val="none"/>
          <w:shd w:fill="FFFFFF" w:val="clear"/>
        </w:rPr>
      </w:pPr>
      <w:r>
        <w:rPr>
          <w:sz w:val="24"/>
          <w:szCs w:val="24"/>
          <w:shd w:fill="FFFFFF" w:val="clear"/>
        </w:rPr>
        <w:t>она является юридическим лицом, надлежащим образом учрежденным и правомерно осуществляющим свою деятельность в соответствии с законодательством Российской Федерации;</w:t>
      </w:r>
    </w:p>
    <w:p>
      <w:pPr>
        <w:pStyle w:val="ListParagraph"/>
        <w:widowControl/>
        <w:numPr>
          <w:ilvl w:val="0"/>
          <w:numId w:val="11"/>
        </w:numPr>
        <w:shd w:val="clear" w:color="auto" w:fill="FFFFFF"/>
        <w:tabs>
          <w:tab w:val="clear" w:pos="720"/>
          <w:tab w:val="left" w:pos="709" w:leader="none"/>
          <w:tab w:val="left" w:pos="1134" w:leader="none"/>
        </w:tabs>
        <w:ind w:left="0" w:firstLine="709"/>
        <w:jc w:val="both"/>
        <w:rPr>
          <w:highlight w:val="none"/>
          <w:shd w:fill="FFFFFF" w:val="clear"/>
        </w:rPr>
      </w:pPr>
      <w:r>
        <w:rPr>
          <w:sz w:val="24"/>
          <w:szCs w:val="24"/>
          <w:shd w:fill="FFFFFF" w:val="clear"/>
        </w:rPr>
        <w:t>она обладает полной правоспособностью на заключение Договора и исполнение всех своих обязательств, возникающих из Договора или в связи с ним;</w:t>
      </w:r>
    </w:p>
    <w:p>
      <w:pPr>
        <w:pStyle w:val="ListParagraph"/>
        <w:widowControl/>
        <w:numPr>
          <w:ilvl w:val="0"/>
          <w:numId w:val="11"/>
        </w:numPr>
        <w:shd w:val="clear" w:color="auto" w:fill="FFFFFF"/>
        <w:tabs>
          <w:tab w:val="clear" w:pos="720"/>
          <w:tab w:val="left" w:pos="709" w:leader="none"/>
          <w:tab w:val="left" w:pos="1134" w:leader="none"/>
        </w:tabs>
        <w:ind w:left="0" w:firstLine="709"/>
        <w:jc w:val="both"/>
        <w:rPr>
          <w:highlight w:val="none"/>
          <w:shd w:fill="FFFFFF" w:val="clear"/>
        </w:rPr>
      </w:pPr>
      <w:r>
        <w:rPr>
          <w:sz w:val="24"/>
          <w:szCs w:val="24"/>
          <w:shd w:fill="FFFFFF" w:val="clear"/>
        </w:rPr>
        <w:t>она получила все корпоративные одобрения Договора органами управления по основаниям, установленным законодательством Российской Федерации и / или уставными документами такой Стороны, а также согласования и разрешения органов и иных лиц необходимые для заключения и исполнения Договора;</w:t>
      </w:r>
    </w:p>
    <w:p>
      <w:pPr>
        <w:pStyle w:val="ListParagraph"/>
        <w:widowControl/>
        <w:numPr>
          <w:ilvl w:val="0"/>
          <w:numId w:val="11"/>
        </w:numPr>
        <w:shd w:val="clear" w:color="auto" w:fill="FFFFFF"/>
        <w:tabs>
          <w:tab w:val="clear" w:pos="720"/>
          <w:tab w:val="left" w:pos="709" w:leader="none"/>
          <w:tab w:val="left" w:pos="1134" w:leader="none"/>
        </w:tabs>
        <w:ind w:left="0" w:firstLine="709"/>
        <w:jc w:val="both"/>
        <w:rPr>
          <w:highlight w:val="none"/>
          <w:shd w:fill="FFFFFF" w:val="clear"/>
        </w:rPr>
      </w:pPr>
      <w:r>
        <w:rPr>
          <w:sz w:val="24"/>
          <w:szCs w:val="24"/>
          <w:shd w:fill="FFFFFF" w:val="clear"/>
        </w:rPr>
        <w:t>лица, подписывающие от имени Сторон настоящий Договор, надлежащим образом уполномочены на его подписание;</w:t>
      </w:r>
    </w:p>
    <w:p>
      <w:pPr>
        <w:pStyle w:val="ListParagraph"/>
        <w:widowControl/>
        <w:numPr>
          <w:ilvl w:val="0"/>
          <w:numId w:val="11"/>
        </w:numPr>
        <w:shd w:val="clear" w:color="auto" w:fill="FFFFFF"/>
        <w:tabs>
          <w:tab w:val="clear" w:pos="720"/>
          <w:tab w:val="left" w:pos="709" w:leader="none"/>
          <w:tab w:val="left" w:pos="1134" w:leader="none"/>
        </w:tabs>
        <w:ind w:left="0" w:firstLine="709"/>
        <w:jc w:val="both"/>
        <w:rPr>
          <w:highlight w:val="none"/>
          <w:shd w:fill="FFFFFF" w:val="clear"/>
        </w:rPr>
      </w:pPr>
      <w:r>
        <w:rPr>
          <w:sz w:val="24"/>
          <w:szCs w:val="24"/>
          <w:shd w:fill="FFFFFF" w:val="clear"/>
        </w:rPr>
        <w:t xml:space="preserve">она располагает ресурсами, необходимыми и достаточными для своевременного и надлежащего исполнения обязательств, возникающих из Договора или в связи с ним. </w:t>
      </w:r>
    </w:p>
    <w:p>
      <w:pPr>
        <w:pStyle w:val="ListParagraph"/>
        <w:numPr>
          <w:ilvl w:val="1"/>
          <w:numId w:val="6"/>
        </w:numPr>
        <w:shd w:val="clear" w:color="auto" w:fill="FFFFFF"/>
        <w:spacing w:before="0" w:after="120"/>
        <w:ind w:left="0" w:firstLine="567"/>
        <w:contextualSpacing w:val="false"/>
        <w:jc w:val="both"/>
        <w:rPr>
          <w:highlight w:val="none"/>
          <w:shd w:fill="FFFFFF" w:val="clear"/>
        </w:rPr>
      </w:pPr>
      <w:r>
        <w:rPr>
          <w:sz w:val="24"/>
          <w:szCs w:val="24"/>
          <w:shd w:fill="FFFFFF" w:val="clear"/>
        </w:rPr>
        <w:t>Поставщик заявляет и заверяет Покупателя в том, что на момент заключения настоящего Договора:</w:t>
      </w:r>
    </w:p>
    <w:p>
      <w:pPr>
        <w:pStyle w:val="ListParagraph"/>
        <w:widowControl/>
        <w:numPr>
          <w:ilvl w:val="0"/>
          <w:numId w:val="13"/>
        </w:numPr>
        <w:shd w:val="clear" w:color="auto" w:fill="FFFFFF"/>
        <w:tabs>
          <w:tab w:val="clear" w:pos="720"/>
          <w:tab w:val="left" w:pos="709" w:leader="none"/>
          <w:tab w:val="left" w:pos="1134" w:leader="none"/>
        </w:tabs>
        <w:ind w:left="0" w:firstLine="709"/>
        <w:jc w:val="both"/>
        <w:rPr>
          <w:highlight w:val="none"/>
          <w:shd w:fill="FFFFFF" w:val="clear"/>
        </w:rPr>
      </w:pPr>
      <w:r>
        <w:rPr>
          <w:sz w:val="24"/>
          <w:szCs w:val="24"/>
          <w:shd w:fill="FFFFFF" w:val="clear"/>
        </w:rPr>
        <w:t>учредителем / учредителями Поставщика являются лица, не являющиеся массовыми учредителем / учредителями;</w:t>
      </w:r>
    </w:p>
    <w:p>
      <w:pPr>
        <w:pStyle w:val="ListParagraph"/>
        <w:widowControl/>
        <w:numPr>
          <w:ilvl w:val="0"/>
          <w:numId w:val="13"/>
        </w:numPr>
        <w:shd w:val="clear" w:color="auto" w:fill="FFFFFF"/>
        <w:tabs>
          <w:tab w:val="clear" w:pos="720"/>
          <w:tab w:val="left" w:pos="709" w:leader="none"/>
          <w:tab w:val="left" w:pos="1134" w:leader="none"/>
        </w:tabs>
        <w:ind w:left="0" w:firstLine="709"/>
        <w:jc w:val="both"/>
        <w:rPr>
          <w:highlight w:val="none"/>
          <w:shd w:fill="FFFFFF" w:val="clear"/>
        </w:rPr>
      </w:pPr>
      <w:r>
        <w:rPr>
          <w:sz w:val="24"/>
          <w:szCs w:val="24"/>
          <w:shd w:fill="FFFFFF" w:val="clear"/>
        </w:rPr>
        <w:t>руководителем Поставщика является лицо, не являющееся массовым руководителем;</w:t>
      </w:r>
    </w:p>
    <w:p>
      <w:pPr>
        <w:pStyle w:val="ListParagraph"/>
        <w:widowControl/>
        <w:numPr>
          <w:ilvl w:val="0"/>
          <w:numId w:val="13"/>
        </w:numPr>
        <w:shd w:val="clear" w:color="auto" w:fill="FFFFFF"/>
        <w:tabs>
          <w:tab w:val="clear" w:pos="720"/>
          <w:tab w:val="left" w:pos="709" w:leader="none"/>
          <w:tab w:val="left" w:pos="1134" w:leader="none"/>
        </w:tabs>
        <w:ind w:left="0" w:firstLine="709"/>
        <w:jc w:val="both"/>
        <w:rPr>
          <w:highlight w:val="none"/>
          <w:shd w:fill="FFFFFF" w:val="clear"/>
        </w:rPr>
      </w:pPr>
      <w:r>
        <w:rPr>
          <w:sz w:val="24"/>
          <w:szCs w:val="24"/>
          <w:shd w:fill="FFFFFF" w:val="clear"/>
        </w:rPr>
        <w:t xml:space="preserve">фактически находится по адресу, указанному в Едином государственном реестре юридических лиц; </w:t>
      </w:r>
    </w:p>
    <w:p>
      <w:pPr>
        <w:pStyle w:val="ListParagraph"/>
        <w:widowControl/>
        <w:numPr>
          <w:ilvl w:val="0"/>
          <w:numId w:val="13"/>
        </w:numPr>
        <w:shd w:val="clear" w:color="auto" w:fill="FFFFFF"/>
        <w:tabs>
          <w:tab w:val="clear" w:pos="720"/>
          <w:tab w:val="left" w:pos="709" w:leader="none"/>
          <w:tab w:val="left" w:pos="1134" w:leader="none"/>
        </w:tabs>
        <w:ind w:left="0" w:firstLine="709"/>
        <w:jc w:val="both"/>
        <w:rPr>
          <w:highlight w:val="none"/>
          <w:shd w:fill="FFFFFF" w:val="clear"/>
        </w:rPr>
      </w:pPr>
      <w:r>
        <w:rPr>
          <w:sz w:val="24"/>
          <w:szCs w:val="24"/>
          <w:shd w:fill="FFFFFF" w:val="clear"/>
        </w:rPr>
        <w:t>своевременно и в полном объеме уплачивает налоги и сборы в соответствии с законодательством Российской Федерации;</w:t>
      </w:r>
    </w:p>
    <w:p>
      <w:pPr>
        <w:pStyle w:val="ListParagraph"/>
        <w:widowControl/>
        <w:numPr>
          <w:ilvl w:val="0"/>
          <w:numId w:val="12"/>
        </w:numPr>
        <w:shd w:val="clear" w:color="auto" w:fill="FFFFFF"/>
        <w:tabs>
          <w:tab w:val="clear" w:pos="720"/>
          <w:tab w:val="left" w:pos="567" w:leader="none"/>
          <w:tab w:val="left" w:pos="1134" w:leader="none"/>
          <w:tab w:val="left" w:pos="1418" w:leader="none"/>
        </w:tabs>
        <w:ind w:left="0" w:firstLine="709"/>
        <w:jc w:val="both"/>
        <w:rPr>
          <w:highlight w:val="none"/>
          <w:shd w:fill="FFFFFF" w:val="clear"/>
        </w:rPr>
      </w:pPr>
      <w:r>
        <w:rPr>
          <w:sz w:val="24"/>
          <w:szCs w:val="24"/>
          <w:shd w:fill="FFFFFF" w:val="clear"/>
        </w:rPr>
        <w:t>не находится в процедуре несостоятельности (банкротства) 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Поставщика должным образом исполнять обязательства, возникающие из Договору или в связи с ним;</w:t>
      </w:r>
    </w:p>
    <w:p>
      <w:pPr>
        <w:pStyle w:val="ListParagraph"/>
        <w:widowControl/>
        <w:numPr>
          <w:ilvl w:val="0"/>
          <w:numId w:val="12"/>
        </w:numPr>
        <w:shd w:val="clear" w:color="auto" w:fill="FFFFFF"/>
        <w:tabs>
          <w:tab w:val="clear" w:pos="720"/>
          <w:tab w:val="left" w:pos="567" w:leader="none"/>
          <w:tab w:val="left" w:pos="1134" w:leader="none"/>
          <w:tab w:val="left" w:pos="1418" w:leader="none"/>
        </w:tabs>
        <w:ind w:left="0" w:firstLine="709"/>
        <w:jc w:val="both"/>
        <w:rPr>
          <w:highlight w:val="none"/>
          <w:shd w:fill="FFFFFF" w:val="clear"/>
        </w:rPr>
      </w:pPr>
      <w:r>
        <w:rPr>
          <w:sz w:val="24"/>
          <w:szCs w:val="24"/>
          <w:shd w:fill="FFFFFF" w:val="clear"/>
        </w:rPr>
        <w:t>тщательно изучил всю информацию, связанную с Договором, в том числе по вопросам, влияющим на сроки поставки, стоимость и качество Продукции, полностью ознакомлен со всеми условиями поставки Продукции, и принимает на себя все расходы, риски и трудности исполнения обязательств, возникающих из Договора или в связи с ним;</w:t>
      </w:r>
    </w:p>
    <w:p>
      <w:pPr>
        <w:pStyle w:val="ListParagraph"/>
        <w:widowControl/>
        <w:numPr>
          <w:ilvl w:val="0"/>
          <w:numId w:val="12"/>
        </w:numPr>
        <w:shd w:val="clear" w:color="auto" w:fill="FFFFFF"/>
        <w:tabs>
          <w:tab w:val="clear" w:pos="720"/>
          <w:tab w:val="left" w:pos="567" w:leader="none"/>
          <w:tab w:val="left" w:pos="1134" w:leader="none"/>
          <w:tab w:val="left" w:pos="1418" w:leader="none"/>
        </w:tabs>
        <w:ind w:left="0" w:firstLine="709"/>
        <w:jc w:val="both"/>
        <w:rPr>
          <w:highlight w:val="none"/>
          <w:shd w:fill="FFFFFF" w:val="clear"/>
        </w:rPr>
      </w:pPr>
      <w:r>
        <w:rPr>
          <w:sz w:val="24"/>
          <w:szCs w:val="24"/>
          <w:shd w:fill="FFFFFF" w:val="clear"/>
        </w:rPr>
        <w:t>тщательно изучил все регламенты Покупателя и подтверждает готовность неукоснительного соблюдения в полном объеме предъявляемых Покупателем требований;</w:t>
      </w:r>
    </w:p>
    <w:p>
      <w:pPr>
        <w:pStyle w:val="ListParagraph"/>
        <w:widowControl/>
        <w:numPr>
          <w:ilvl w:val="0"/>
          <w:numId w:val="12"/>
        </w:numPr>
        <w:shd w:val="clear" w:color="auto" w:fill="FFFFFF"/>
        <w:tabs>
          <w:tab w:val="clear" w:pos="720"/>
          <w:tab w:val="left" w:pos="567" w:leader="none"/>
          <w:tab w:val="left" w:pos="1134" w:leader="none"/>
          <w:tab w:val="left" w:pos="1418" w:leader="none"/>
        </w:tabs>
        <w:ind w:left="0" w:firstLine="709"/>
        <w:jc w:val="both"/>
        <w:rPr>
          <w:highlight w:val="none"/>
          <w:shd w:fill="FFFFFF" w:val="clear"/>
        </w:rPr>
      </w:pPr>
      <w:r>
        <w:rPr>
          <w:sz w:val="24"/>
          <w:szCs w:val="24"/>
          <w:shd w:fill="FFFFFF" w:val="clear"/>
        </w:rPr>
        <w:t>своевременно и в полном объеме в соответствии с законодательством Российской Федерации намерен отражать все финансово-хозяйственные операции, связанные с исполнением Договора;</w:t>
      </w:r>
    </w:p>
    <w:p>
      <w:pPr>
        <w:pStyle w:val="ListParagraph"/>
        <w:widowControl/>
        <w:numPr>
          <w:ilvl w:val="0"/>
          <w:numId w:val="12"/>
        </w:numPr>
        <w:shd w:val="clear" w:color="auto" w:fill="FFFFFF"/>
        <w:tabs>
          <w:tab w:val="clear" w:pos="720"/>
          <w:tab w:val="left" w:pos="567" w:leader="none"/>
          <w:tab w:val="left" w:pos="1134" w:leader="none"/>
          <w:tab w:val="left" w:pos="1418" w:leader="none"/>
        </w:tabs>
        <w:ind w:left="0" w:firstLine="709"/>
        <w:jc w:val="both"/>
        <w:rPr>
          <w:highlight w:val="none"/>
          <w:shd w:fill="FFFFFF" w:val="clear"/>
        </w:rPr>
      </w:pPr>
      <w:r>
        <w:rPr>
          <w:sz w:val="24"/>
          <w:szCs w:val="24"/>
          <w:shd w:fill="FFFFFF" w:val="clear"/>
        </w:rPr>
        <w:t>вся информация, предоставленная Покупателю, является достоверной, полной и точной, и Поставщик не скрыл никаких обстоятельств, которые при их обнаружении могли бы негативно повлиять на решение Покупателя заключить настоящий Договор на указанных в нем условиях.</w:t>
      </w:r>
    </w:p>
    <w:p>
      <w:pPr>
        <w:pStyle w:val="ListParagraph"/>
        <w:numPr>
          <w:ilvl w:val="1"/>
          <w:numId w:val="6"/>
        </w:numPr>
        <w:shd w:val="clear" w:color="auto" w:fill="FFFFFF"/>
        <w:spacing w:before="0" w:after="120"/>
        <w:ind w:left="0" w:firstLine="567"/>
        <w:contextualSpacing w:val="false"/>
        <w:jc w:val="both"/>
        <w:rPr>
          <w:highlight w:val="none"/>
          <w:shd w:fill="FFFFFF" w:val="clear"/>
        </w:rPr>
      </w:pPr>
      <w:r>
        <w:rPr>
          <w:sz w:val="24"/>
          <w:szCs w:val="24"/>
          <w:shd w:fill="FFFFFF" w:val="clear"/>
        </w:rPr>
        <w:t xml:space="preserve">При заключении и исполнении настоящего Договора каждая Сторона полагается на достоверность, точность и полноту заверений другой Стороны, изложенных в настоящем разделе Договора. </w:t>
      </w:r>
    </w:p>
    <w:p>
      <w:pPr>
        <w:pStyle w:val="ListParagraph"/>
        <w:numPr>
          <w:ilvl w:val="1"/>
          <w:numId w:val="6"/>
        </w:numPr>
        <w:shd w:val="clear" w:color="auto" w:fill="FFFFFF"/>
        <w:spacing w:before="0" w:after="120"/>
        <w:ind w:left="0" w:firstLine="567"/>
        <w:contextualSpacing w:val="false"/>
        <w:jc w:val="both"/>
        <w:rPr>
          <w:highlight w:val="none"/>
          <w:shd w:fill="FFFFFF" w:val="clear"/>
        </w:rPr>
      </w:pPr>
      <w:r>
        <w:rPr>
          <w:sz w:val="24"/>
          <w:szCs w:val="24"/>
          <w:shd w:fill="FFFFFF" w:val="clear"/>
        </w:rPr>
        <w:t xml:space="preserve">В случае, если при заключении Договора Поставщик предоставил </w:t>
      </w:r>
      <w:r>
        <w:rPr>
          <w:bCs/>
          <w:sz w:val="24"/>
          <w:szCs w:val="24"/>
          <w:shd w:fill="FFFFFF" w:val="clear"/>
        </w:rPr>
        <w:t>Покупателю</w:t>
      </w:r>
      <w:r>
        <w:rPr>
          <w:sz w:val="24"/>
          <w:szCs w:val="24"/>
          <w:shd w:fill="FFFFFF" w:val="clear"/>
        </w:rPr>
        <w:t xml:space="preserve"> недостоверные заверения о любом из указанных в настоящем разделе обстоятельств, имеющих существенное значение для заключения и исполнения Договора, </w:t>
      </w:r>
      <w:r>
        <w:rPr>
          <w:bCs/>
          <w:sz w:val="24"/>
          <w:szCs w:val="24"/>
          <w:shd w:fill="FFFFFF" w:val="clear"/>
        </w:rPr>
        <w:t xml:space="preserve">Поставщик </w:t>
      </w:r>
      <w:r>
        <w:rPr>
          <w:sz w:val="24"/>
          <w:szCs w:val="24"/>
          <w:shd w:fill="FFFFFF" w:val="clear"/>
        </w:rPr>
        <w:t xml:space="preserve">обязан по требованию </w:t>
      </w:r>
      <w:r>
        <w:rPr>
          <w:bCs/>
          <w:sz w:val="24"/>
          <w:szCs w:val="24"/>
          <w:shd w:fill="FFFFFF" w:val="clear"/>
        </w:rPr>
        <w:t>Покупателя</w:t>
      </w:r>
      <w:r>
        <w:rPr>
          <w:sz w:val="24"/>
          <w:szCs w:val="24"/>
          <w:shd w:fill="FFFFFF" w:val="clear"/>
        </w:rPr>
        <w:t xml:space="preserve">  уплатить последнему неустойку в размере 5 (пять) % от Цены Договора, указанной в пункте 2.1 Договора.</w:t>
      </w:r>
    </w:p>
    <w:p>
      <w:pPr>
        <w:pStyle w:val="Normal"/>
        <w:shd w:val="clear" w:color="auto" w:fill="FFFFFF"/>
        <w:spacing w:before="0" w:after="120"/>
        <w:ind w:firstLine="567"/>
        <w:jc w:val="both"/>
        <w:rPr>
          <w:highlight w:val="none"/>
          <w:shd w:fill="FFFFFF" w:val="clear"/>
        </w:rPr>
      </w:pPr>
      <w:r>
        <w:rPr>
          <w:sz w:val="24"/>
          <w:szCs w:val="24"/>
          <w:shd w:fill="FFFFFF" w:val="clear"/>
        </w:rPr>
        <w:t>Недостоверность, неточность или неполнота любых указанных в настоящем разделе обстоятельств в значительной степени лишает получившую указанные заверения Сторону того, на что она была вправе рассчитывать при заключении настоящего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pPr>
        <w:pStyle w:val="Normal"/>
        <w:widowControl w:val="false"/>
        <w:numPr>
          <w:ilvl w:val="0"/>
          <w:numId w:val="6"/>
        </w:numPr>
        <w:shd w:val="clear" w:color="auto" w:fill="FFFFFF"/>
        <w:tabs>
          <w:tab w:val="clear" w:pos="720"/>
          <w:tab w:val="left" w:pos="426" w:leader="none"/>
        </w:tabs>
        <w:spacing w:before="0" w:after="120"/>
        <w:ind w:left="0" w:hanging="0"/>
        <w:jc w:val="center"/>
        <w:rPr>
          <w:highlight w:val="none"/>
          <w:shd w:fill="FFFFFF" w:val="clear"/>
        </w:rPr>
      </w:pPr>
      <w:r>
        <w:rPr>
          <w:b/>
          <w:sz w:val="24"/>
          <w:szCs w:val="24"/>
          <w:shd w:fill="FFFFFF" w:val="clear"/>
        </w:rPr>
        <w:t>Заключительные положения</w:t>
      </w:r>
    </w:p>
    <w:p>
      <w:pPr>
        <w:pStyle w:val="Normal"/>
        <w:widowControl w:val="false"/>
        <w:numPr>
          <w:ilvl w:val="1"/>
          <w:numId w:val="6"/>
        </w:numPr>
        <w:shd w:val="clear" w:color="auto" w:fill="FFFFFF"/>
        <w:tabs>
          <w:tab w:val="left" w:pos="720" w:leader="none"/>
        </w:tabs>
        <w:spacing w:before="0" w:after="120"/>
        <w:ind w:left="0" w:firstLine="567"/>
        <w:jc w:val="both"/>
        <w:rPr>
          <w:highlight w:val="none"/>
          <w:shd w:fill="FFFFFF" w:val="clear"/>
        </w:rPr>
      </w:pPr>
      <w:r>
        <w:rPr>
          <w:sz w:val="24"/>
          <w:szCs w:val="24"/>
          <w:shd w:fill="FFFFFF" w:val="clear"/>
        </w:rPr>
        <w:t xml:space="preserve">Договор вступает в силу с даты его подписания Сторонами и действует до полного исполнения ими принятых на себя обязательств. </w:t>
      </w:r>
    </w:p>
    <w:p>
      <w:pPr>
        <w:pStyle w:val="Normal"/>
        <w:widowControl w:val="false"/>
        <w:numPr>
          <w:ilvl w:val="1"/>
          <w:numId w:val="6"/>
        </w:numPr>
        <w:shd w:val="clear" w:color="auto" w:fill="FFFFFF"/>
        <w:tabs>
          <w:tab w:val="left" w:pos="720" w:leader="none"/>
        </w:tabs>
        <w:spacing w:before="0" w:after="120"/>
        <w:ind w:left="0" w:firstLine="567"/>
        <w:jc w:val="both"/>
        <w:rPr>
          <w:highlight w:val="none"/>
          <w:shd w:fill="FFFFFF" w:val="clear"/>
        </w:rPr>
      </w:pPr>
      <w:r>
        <w:rPr>
          <w:sz w:val="24"/>
          <w:szCs w:val="24"/>
          <w:shd w:fill="FFFFFF" w:val="clear"/>
        </w:rPr>
        <w:t xml:space="preserve">Все приложения, изменения и дополнения к Договору действительны при условии, что они совершены в письменной форме и подписаны обеими Сторонами, за исключением изменений, предусмотренных п. 14.6 Договора. </w:t>
      </w:r>
    </w:p>
    <w:p>
      <w:pPr>
        <w:pStyle w:val="Normal"/>
        <w:widowControl w:val="false"/>
        <w:numPr>
          <w:ilvl w:val="1"/>
          <w:numId w:val="6"/>
        </w:numPr>
        <w:shd w:val="clear" w:color="auto" w:fill="FFFFFF"/>
        <w:tabs>
          <w:tab w:val="left" w:pos="720" w:leader="none"/>
        </w:tabs>
        <w:spacing w:before="0" w:after="120"/>
        <w:ind w:left="0" w:firstLine="567"/>
        <w:jc w:val="both"/>
        <w:rPr>
          <w:highlight w:val="none"/>
          <w:shd w:fill="FFFFFF" w:val="clear"/>
        </w:rPr>
      </w:pPr>
      <w:r>
        <w:rPr>
          <w:sz w:val="24"/>
          <w:szCs w:val="24"/>
          <w:shd w:fill="FFFFFF" w:val="clear"/>
        </w:rPr>
        <w:t>Приложения, изменения и дополнения, оформленные надлежащим образом, являются неотъемлемой частью Договора.</w:t>
      </w:r>
    </w:p>
    <w:p>
      <w:pPr>
        <w:pStyle w:val="Normal"/>
        <w:widowControl w:val="false"/>
        <w:numPr>
          <w:ilvl w:val="1"/>
          <w:numId w:val="6"/>
        </w:numPr>
        <w:shd w:val="clear" w:color="auto" w:fill="FFFFFF"/>
        <w:tabs>
          <w:tab w:val="left" w:pos="720" w:leader="none"/>
        </w:tabs>
        <w:spacing w:before="0" w:after="120"/>
        <w:ind w:left="0" w:firstLine="567"/>
        <w:jc w:val="both"/>
        <w:rPr>
          <w:highlight w:val="none"/>
          <w:shd w:fill="FFFFFF" w:val="clear"/>
        </w:rPr>
      </w:pPr>
      <w:r>
        <w:rPr>
          <w:sz w:val="24"/>
          <w:szCs w:val="24"/>
          <w:shd w:fill="FFFFFF" w:val="clear"/>
        </w:rPr>
        <w:t>В случае наличия любых расхождений между основным текстом Договора и текстами приложений к нему, приоритет имеет текст Договора.</w:t>
      </w:r>
    </w:p>
    <w:p>
      <w:pPr>
        <w:pStyle w:val="Normal"/>
        <w:widowControl w:val="false"/>
        <w:numPr>
          <w:ilvl w:val="1"/>
          <w:numId w:val="6"/>
        </w:numPr>
        <w:shd w:val="clear" w:color="auto" w:fill="FFFFFF"/>
        <w:tabs>
          <w:tab w:val="left" w:pos="720" w:leader="none"/>
        </w:tabs>
        <w:spacing w:before="0" w:after="120"/>
        <w:ind w:left="0" w:firstLine="567"/>
        <w:jc w:val="both"/>
        <w:rPr>
          <w:highlight w:val="none"/>
          <w:shd w:fill="FFFFFF" w:val="clear"/>
        </w:rPr>
      </w:pPr>
      <w:r>
        <w:rPr>
          <w:sz w:val="24"/>
          <w:szCs w:val="24"/>
          <w:shd w:fill="FFFFFF" w:val="clear"/>
        </w:rPr>
        <w:t>Обмен сведениями между Сторонами по любым вопросам, связанным с Договором, включая уведомления и иные сообщения, может осуществляться только в письменной форме. Использование средств факсимильной или электронной связи не допускается, за исключением случаев обмена оперативной информацией, который не влечет возникновения, изменения либо прекращения гражданских прав и обязательств.</w:t>
      </w:r>
    </w:p>
    <w:p>
      <w:pPr>
        <w:pStyle w:val="Normal"/>
        <w:widowControl w:val="false"/>
        <w:numPr>
          <w:ilvl w:val="1"/>
          <w:numId w:val="6"/>
        </w:numPr>
        <w:shd w:val="clear" w:color="auto" w:fill="FFFFFF"/>
        <w:tabs>
          <w:tab w:val="left" w:pos="720" w:leader="none"/>
        </w:tabs>
        <w:spacing w:before="0" w:after="120"/>
        <w:ind w:left="0" w:firstLine="567"/>
        <w:jc w:val="both"/>
        <w:rPr>
          <w:highlight w:val="none"/>
          <w:shd w:fill="FFFFFF" w:val="clear"/>
        </w:rPr>
      </w:pPr>
      <w:r>
        <w:rPr>
          <w:sz w:val="24"/>
          <w:szCs w:val="24"/>
          <w:shd w:fill="FFFFFF" w:val="clear"/>
        </w:rPr>
        <w:t xml:space="preserve">Стороны обязуются уведомлять друг друга об изменении реквизитов, указанных в разделе 16 Договора, не позднее 3 (трех) рабочих дней после такого изменения в порядке, установленном п. 14.7 Договора. </w:t>
      </w:r>
    </w:p>
    <w:p>
      <w:pPr>
        <w:pStyle w:val="Normal"/>
        <w:widowControl w:val="false"/>
        <w:numPr>
          <w:ilvl w:val="1"/>
          <w:numId w:val="6"/>
        </w:numPr>
        <w:shd w:val="clear" w:color="auto" w:fill="FFFFFF"/>
        <w:tabs>
          <w:tab w:val="left" w:pos="720" w:leader="none"/>
        </w:tabs>
        <w:spacing w:before="0" w:after="120"/>
        <w:ind w:left="0" w:firstLine="567"/>
        <w:jc w:val="both"/>
        <w:rPr>
          <w:highlight w:val="none"/>
          <w:shd w:fill="FFFFFF" w:val="clear"/>
        </w:rPr>
      </w:pPr>
      <w:r>
        <w:rPr>
          <w:sz w:val="24"/>
          <w:szCs w:val="24"/>
          <w:shd w:fill="FFFFFF" w:val="clear"/>
        </w:rPr>
        <w:t>Документ</w:t>
      </w:r>
      <w:r>
        <w:rPr>
          <w:bCs/>
          <w:sz w:val="24"/>
          <w:szCs w:val="24"/>
          <w:shd w:fill="FFFFFF" w:val="clear"/>
        </w:rPr>
        <w:t xml:space="preserve"> будет считаться полученным:</w:t>
      </w:r>
    </w:p>
    <w:p>
      <w:pPr>
        <w:pStyle w:val="ListParagraph"/>
        <w:widowControl/>
        <w:numPr>
          <w:ilvl w:val="2"/>
          <w:numId w:val="6"/>
        </w:numPr>
        <w:shd w:val="clear" w:color="auto" w:fill="FFFFFF"/>
        <w:spacing w:before="0" w:after="120"/>
        <w:ind w:left="0" w:firstLine="567"/>
        <w:contextualSpacing w:val="false"/>
        <w:jc w:val="both"/>
        <w:rPr>
          <w:highlight w:val="none"/>
          <w:shd w:fill="FFFFFF" w:val="clear"/>
        </w:rPr>
      </w:pPr>
      <w:r>
        <w:rPr>
          <w:bCs/>
          <w:sz w:val="24"/>
          <w:szCs w:val="24"/>
          <w:shd w:fill="FFFFFF" w:val="clear"/>
        </w:rPr>
        <w:t>в случае вручения лично или отправления по почте заказным письмом, курьерской связью – в дату и время фактического вручения;</w:t>
      </w:r>
    </w:p>
    <w:p>
      <w:pPr>
        <w:pStyle w:val="ListParagraph"/>
        <w:widowControl/>
        <w:numPr>
          <w:ilvl w:val="2"/>
          <w:numId w:val="6"/>
        </w:numPr>
        <w:shd w:val="clear" w:color="auto" w:fill="FFFFFF"/>
        <w:spacing w:before="0" w:after="120"/>
        <w:ind w:left="0" w:firstLine="567"/>
        <w:contextualSpacing w:val="false"/>
        <w:jc w:val="both"/>
        <w:rPr>
          <w:highlight w:val="none"/>
          <w:shd w:fill="FFFFFF" w:val="clear"/>
        </w:rPr>
      </w:pPr>
      <w:r>
        <w:rPr>
          <w:bCs/>
          <w:sz w:val="24"/>
          <w:szCs w:val="24"/>
          <w:shd w:fill="FFFFFF" w:val="clear"/>
        </w:rPr>
        <w:t xml:space="preserve">в случае передачи по факсимильной или электронной связи – в дату и время отправления, подтвержденного протоколом передачи, распечатанным факсимильным аппаратом отправителя, или отчетом о доставке сообщения. В случае, если передача по факсимильной или электронной связи осуществляется вне обычных рабочих часов получателя, документ будет считаться полученным в 10:00 следующего рабочего дня. Оригиналы документов, направленных с использованием факсимильной связи должны не позднее того же дня направляться с использованием видов связи, указанных в п. 14.7.1 Договора. </w:t>
      </w:r>
    </w:p>
    <w:p>
      <w:pPr>
        <w:pStyle w:val="Normal"/>
        <w:widowControl w:val="false"/>
        <w:numPr>
          <w:ilvl w:val="1"/>
          <w:numId w:val="6"/>
        </w:numPr>
        <w:shd w:val="clear" w:color="auto" w:fill="FFFFFF"/>
        <w:tabs>
          <w:tab w:val="left" w:pos="720" w:leader="none"/>
        </w:tabs>
        <w:spacing w:before="0" w:after="120"/>
        <w:ind w:left="0" w:firstLine="567"/>
        <w:jc w:val="both"/>
        <w:rPr>
          <w:highlight w:val="none"/>
          <w:shd w:fill="FFFFFF" w:val="clear"/>
        </w:rPr>
      </w:pPr>
      <w:r>
        <w:rPr>
          <w:sz w:val="24"/>
          <w:szCs w:val="24"/>
          <w:shd w:fill="FFFFFF" w:val="clear"/>
        </w:rPr>
        <w:t>Поставщик не вправе передавать свои права и обязанности по Договору третьим  лицам без предварительного письменного согласия Покупателя. В случае нарушения Поставщиком соответствующего условия, Покупатель вправе потребовать уплаты Поставщиком штрафа в размере 5 % от уступки (переданного в залог прав).</w:t>
      </w:r>
    </w:p>
    <w:p>
      <w:pPr>
        <w:pStyle w:val="Normal"/>
        <w:widowControl w:val="false"/>
        <w:numPr>
          <w:ilvl w:val="1"/>
          <w:numId w:val="6"/>
        </w:numPr>
        <w:shd w:val="clear" w:color="auto" w:fill="FFFFFF"/>
        <w:tabs>
          <w:tab w:val="left" w:pos="720" w:leader="none"/>
        </w:tabs>
        <w:spacing w:before="0" w:after="120"/>
        <w:ind w:left="0" w:firstLine="567"/>
        <w:jc w:val="both"/>
        <w:rPr>
          <w:highlight w:val="none"/>
          <w:shd w:fill="FFFFFF" w:val="clear"/>
        </w:rPr>
      </w:pPr>
      <w:r>
        <w:rPr>
          <w:sz w:val="24"/>
          <w:szCs w:val="24"/>
          <w:shd w:fill="FFFFFF" w:val="clear"/>
        </w:rPr>
        <w:t xml:space="preserve">Во всем, что не урегулировано Договором, Стороны руководствуются положениями законодательства Российской Федерации. </w:t>
      </w:r>
    </w:p>
    <w:p>
      <w:pPr>
        <w:pStyle w:val="Normal"/>
        <w:widowControl w:val="false"/>
        <w:numPr>
          <w:ilvl w:val="1"/>
          <w:numId w:val="6"/>
        </w:numPr>
        <w:shd w:val="clear" w:color="auto" w:fill="FFFFFF"/>
        <w:tabs>
          <w:tab w:val="left" w:pos="720" w:leader="none"/>
        </w:tabs>
        <w:spacing w:before="0" w:after="120"/>
        <w:ind w:left="0" w:firstLine="567"/>
        <w:jc w:val="both"/>
        <w:rPr>
          <w:highlight w:val="none"/>
          <w:shd w:fill="FFFFFF" w:val="clear"/>
        </w:rPr>
      </w:pPr>
      <w:r>
        <w:rPr>
          <w:sz w:val="24"/>
          <w:szCs w:val="24"/>
          <w:shd w:fill="FFFFFF" w:val="clear"/>
        </w:rPr>
        <w:t>Договор</w:t>
      </w:r>
      <w:r>
        <w:rPr>
          <w:bCs/>
          <w:sz w:val="24"/>
          <w:szCs w:val="24"/>
          <w:shd w:fill="FFFFFF" w:val="clear"/>
        </w:rPr>
        <w:t xml:space="preserve"> составлен в двух оригинальных экземплярах, по одному для каждой из Сторон.</w:t>
      </w:r>
    </w:p>
    <w:p>
      <w:pPr>
        <w:pStyle w:val="Normal"/>
        <w:widowControl w:val="false"/>
        <w:numPr>
          <w:ilvl w:val="0"/>
          <w:numId w:val="6"/>
        </w:numPr>
        <w:shd w:val="clear" w:color="auto" w:fill="FFFFFF"/>
        <w:tabs>
          <w:tab w:val="clear" w:pos="720"/>
          <w:tab w:val="left" w:pos="426" w:leader="none"/>
        </w:tabs>
        <w:spacing w:before="0" w:after="120"/>
        <w:ind w:left="0" w:hanging="0"/>
        <w:jc w:val="center"/>
        <w:rPr>
          <w:highlight w:val="none"/>
          <w:shd w:fill="FFFFFF" w:val="clear"/>
        </w:rPr>
      </w:pPr>
      <w:r>
        <w:rPr>
          <w:b/>
          <w:sz w:val="24"/>
          <w:szCs w:val="24"/>
          <w:shd w:fill="FFFFFF" w:val="clear"/>
        </w:rPr>
        <w:t>Приложения к Договору</w:t>
      </w:r>
    </w:p>
    <w:p>
      <w:pPr>
        <w:pStyle w:val="Heading3"/>
        <w:keepNext w:val="false"/>
        <w:tabs>
          <w:tab w:val="clear" w:pos="0"/>
        </w:tabs>
        <w:overflowPunct w:val="true"/>
        <w:spacing w:before="0" w:after="120"/>
        <w:ind w:left="567" w:hanging="0"/>
        <w:jc w:val="both"/>
        <w:textAlignment w:val="baseline"/>
        <w:rPr>
          <w:highlight w:val="none"/>
          <w:shd w:fill="FFFFFF" w:val="clear"/>
        </w:rPr>
      </w:pPr>
      <w:r>
        <w:rPr>
          <w:b w:val="false"/>
          <w:sz w:val="24"/>
          <w:szCs w:val="24"/>
          <w:shd w:fill="FFFFFF" w:val="clear"/>
        </w:rPr>
        <w:t>- Приложение № 1 – Спецификация.</w:t>
      </w:r>
    </w:p>
    <w:p>
      <w:pPr>
        <w:pStyle w:val="Normal"/>
        <w:spacing w:before="0" w:after="120"/>
        <w:ind w:left="567" w:hanging="567"/>
        <w:rPr>
          <w:highlight w:val="none"/>
          <w:shd w:fill="FFFFFF" w:val="clear"/>
        </w:rPr>
      </w:pPr>
      <w:bookmarkStart w:id="6" w:name="sub_1"/>
      <w:r>
        <w:rPr>
          <w:sz w:val="24"/>
          <w:szCs w:val="24"/>
          <w:shd w:fill="FFFFFF" w:val="clear"/>
        </w:rPr>
        <w:tab/>
        <w:t>- Приложение № 2 – Финансовое обеспечение исполнения обязательств.</w:t>
      </w:r>
      <w:bookmarkEnd w:id="6"/>
    </w:p>
    <w:p>
      <w:pPr>
        <w:pStyle w:val="Normal"/>
        <w:widowControl w:val="false"/>
        <w:numPr>
          <w:ilvl w:val="0"/>
          <w:numId w:val="6"/>
        </w:numPr>
        <w:shd w:val="clear" w:color="auto" w:fill="FFFFFF"/>
        <w:tabs>
          <w:tab w:val="clear" w:pos="720"/>
          <w:tab w:val="left" w:pos="426" w:leader="none"/>
        </w:tabs>
        <w:spacing w:before="0" w:after="120"/>
        <w:ind w:left="0" w:hanging="0"/>
        <w:jc w:val="center"/>
        <w:rPr>
          <w:highlight w:val="none"/>
          <w:shd w:fill="FFFFFF" w:val="clear"/>
        </w:rPr>
      </w:pPr>
      <w:r>
        <w:rPr>
          <w:b/>
          <w:sz w:val="24"/>
          <w:szCs w:val="24"/>
          <w:shd w:fill="FFFFFF" w:val="clear"/>
        </w:rPr>
        <w:t xml:space="preserve">Адреса, реквизиты и подписи Сторон </w:t>
      </w:r>
    </w:p>
    <w:tbl>
      <w:tblPr>
        <w:tblW w:w="9714" w:type="dxa"/>
        <w:jc w:val="left"/>
        <w:tblInd w:w="0" w:type="dxa"/>
        <w:tblLayout w:type="fixed"/>
        <w:tblCellMar>
          <w:top w:w="0" w:type="dxa"/>
          <w:left w:w="108" w:type="dxa"/>
          <w:bottom w:w="0" w:type="dxa"/>
          <w:right w:w="108" w:type="dxa"/>
        </w:tblCellMar>
        <w:tblLook w:noVBand="0" w:val="01e0" w:noHBand="0" w:lastColumn="1" w:firstColumn="1" w:lastRow="1" w:firstRow="1"/>
      </w:tblPr>
      <w:tblGrid>
        <w:gridCol w:w="4927"/>
        <w:gridCol w:w="4786"/>
      </w:tblGrid>
      <w:tr>
        <w:trPr/>
        <w:tc>
          <w:tcPr>
            <w:tcW w:w="4927" w:type="dxa"/>
            <w:tcBorders/>
          </w:tcPr>
          <w:p>
            <w:pPr>
              <w:pStyle w:val="Normal"/>
              <w:widowControl w:val="false"/>
              <w:rPr>
                <w:highlight w:val="none"/>
                <w:shd w:fill="FFFFFF" w:val="clear"/>
              </w:rPr>
            </w:pPr>
            <w:r>
              <w:rPr>
                <w:b/>
                <w:sz w:val="24"/>
                <w:szCs w:val="24"/>
                <w:u w:val="single"/>
                <w:shd w:fill="FFFFFF" w:val="clear"/>
              </w:rPr>
              <w:t>Покупатель:</w:t>
            </w:r>
          </w:p>
        </w:tc>
        <w:tc>
          <w:tcPr>
            <w:tcW w:w="4786" w:type="dxa"/>
            <w:tcBorders/>
          </w:tcPr>
          <w:p>
            <w:pPr>
              <w:pStyle w:val="Normal"/>
              <w:widowControl w:val="false"/>
              <w:rPr>
                <w:highlight w:val="none"/>
                <w:shd w:fill="FFFFFF" w:val="clear"/>
              </w:rPr>
            </w:pPr>
            <w:r>
              <w:rPr>
                <w:b/>
                <w:sz w:val="24"/>
                <w:szCs w:val="24"/>
                <w:u w:val="single"/>
                <w:shd w:fill="FFFFFF" w:val="clear"/>
              </w:rPr>
              <w:t>Поставщик:</w:t>
            </w:r>
          </w:p>
        </w:tc>
      </w:tr>
      <w:tr>
        <w:trPr/>
        <w:tc>
          <w:tcPr>
            <w:tcW w:w="4927" w:type="dxa"/>
            <w:tcBorders/>
          </w:tcPr>
          <w:p>
            <w:pPr>
              <w:pStyle w:val="Normal"/>
              <w:widowControl w:val="false"/>
              <w:rPr>
                <w:sz w:val="22"/>
                <w:szCs w:val="22"/>
                <w:highlight w:val="none"/>
                <w:shd w:fill="FFFFFF" w:val="clear"/>
              </w:rPr>
            </w:pPr>
            <w:r>
              <w:rPr>
                <w:sz w:val="22"/>
                <w:szCs w:val="22"/>
                <w:shd w:fill="FFFFFF" w:val="clear"/>
              </w:rPr>
            </w:r>
          </w:p>
          <w:p>
            <w:pPr>
              <w:pStyle w:val="Normal"/>
              <w:widowControl w:val="false"/>
              <w:rPr>
                <w:highlight w:val="none"/>
                <w:shd w:fill="FFFFFF" w:val="clear"/>
              </w:rPr>
            </w:pPr>
            <w:r>
              <w:rPr>
                <w:b/>
                <w:sz w:val="22"/>
                <w:szCs w:val="22"/>
                <w:shd w:fill="FFFFFF" w:val="clear"/>
              </w:rPr>
              <w:t>Акционерное общество</w:t>
            </w:r>
          </w:p>
          <w:p>
            <w:pPr>
              <w:pStyle w:val="Normal"/>
              <w:widowControl w:val="false"/>
              <w:rPr>
                <w:highlight w:val="none"/>
                <w:shd w:fill="FFFFFF" w:val="clear"/>
              </w:rPr>
            </w:pPr>
            <w:r>
              <w:rPr>
                <w:b/>
                <w:sz w:val="22"/>
                <w:szCs w:val="22"/>
                <w:shd w:fill="FFFFFF" w:val="clear"/>
              </w:rPr>
              <w:t>«Гидроремонт-ВКК» (АО «Гидроремонт-ВКК»)</w:t>
            </w:r>
          </w:p>
          <w:p>
            <w:pPr>
              <w:pStyle w:val="Normal"/>
              <w:widowControl w:val="false"/>
              <w:rPr>
                <w:highlight w:val="none"/>
                <w:shd w:fill="FFFFFF" w:val="clear"/>
              </w:rPr>
            </w:pPr>
            <w:r>
              <w:rPr>
                <w:sz w:val="22"/>
                <w:szCs w:val="22"/>
                <w:shd w:fill="FFFFFF" w:val="clear"/>
              </w:rPr>
              <w:t>_________________________________</w:t>
            </w:r>
          </w:p>
          <w:p>
            <w:pPr>
              <w:pStyle w:val="Normal"/>
              <w:widowControl w:val="false"/>
              <w:rPr>
                <w:highlight w:val="none"/>
                <w:shd w:fill="FFFFFF" w:val="clear"/>
              </w:rPr>
            </w:pPr>
            <w:r>
              <w:rPr>
                <w:sz w:val="22"/>
                <w:szCs w:val="22"/>
                <w:shd w:fill="FFFFFF" w:val="clear"/>
              </w:rPr>
              <w:t>(место нахождения)</w:t>
            </w:r>
          </w:p>
          <w:p>
            <w:pPr>
              <w:pStyle w:val="Normal"/>
              <w:widowControl w:val="false"/>
              <w:rPr>
                <w:highlight w:val="none"/>
                <w:shd w:fill="FFFFFF" w:val="clear"/>
              </w:rPr>
            </w:pPr>
            <w:r>
              <w:rPr>
                <w:sz w:val="22"/>
                <w:szCs w:val="22"/>
                <w:shd w:fill="FFFFFF" w:val="clear"/>
              </w:rPr>
              <w:t>_________________________________</w:t>
            </w:r>
          </w:p>
          <w:p>
            <w:pPr>
              <w:pStyle w:val="Normal"/>
              <w:widowControl w:val="false"/>
              <w:rPr>
                <w:highlight w:val="none"/>
                <w:shd w:fill="FFFFFF" w:val="clear"/>
              </w:rPr>
            </w:pPr>
            <w:r>
              <w:rPr>
                <w:sz w:val="22"/>
                <w:szCs w:val="22"/>
                <w:shd w:fill="FFFFFF" w:val="clear"/>
              </w:rPr>
              <w:t>(почтовый адрес)</w:t>
            </w:r>
          </w:p>
          <w:p>
            <w:pPr>
              <w:pStyle w:val="Normal"/>
              <w:widowControl w:val="false"/>
              <w:rPr>
                <w:highlight w:val="none"/>
                <w:shd w:fill="FFFFFF" w:val="clear"/>
              </w:rPr>
            </w:pPr>
            <w:r>
              <w:rPr>
                <w:sz w:val="22"/>
                <w:szCs w:val="22"/>
                <w:shd w:fill="FFFFFF" w:val="clear"/>
              </w:rPr>
              <w:t>_________________________________</w:t>
            </w:r>
          </w:p>
          <w:p>
            <w:pPr>
              <w:pStyle w:val="Normal"/>
              <w:widowControl w:val="false"/>
              <w:rPr>
                <w:highlight w:val="none"/>
                <w:shd w:fill="FFFFFF" w:val="clear"/>
              </w:rPr>
            </w:pPr>
            <w:r>
              <w:rPr>
                <w:sz w:val="22"/>
                <w:szCs w:val="22"/>
                <w:shd w:fill="FFFFFF" w:val="clear"/>
              </w:rPr>
              <w:t>(ОГРН)</w:t>
            </w:r>
          </w:p>
          <w:p>
            <w:pPr>
              <w:pStyle w:val="Normal"/>
              <w:widowControl w:val="false"/>
              <w:rPr>
                <w:highlight w:val="none"/>
                <w:shd w:fill="FFFFFF" w:val="clear"/>
              </w:rPr>
            </w:pPr>
            <w:r>
              <w:rPr>
                <w:sz w:val="22"/>
                <w:szCs w:val="22"/>
                <w:shd w:fill="FFFFFF" w:val="clear"/>
              </w:rPr>
              <w:t>_________________________________</w:t>
            </w:r>
          </w:p>
          <w:p>
            <w:pPr>
              <w:pStyle w:val="Normal"/>
              <w:widowControl w:val="false"/>
              <w:rPr>
                <w:highlight w:val="none"/>
                <w:shd w:fill="FFFFFF" w:val="clear"/>
              </w:rPr>
            </w:pPr>
            <w:r>
              <w:rPr>
                <w:sz w:val="22"/>
                <w:szCs w:val="22"/>
                <w:shd w:fill="FFFFFF" w:val="clear"/>
              </w:rPr>
              <w:t>(ИНН/КПП)</w:t>
            </w:r>
          </w:p>
          <w:p>
            <w:pPr>
              <w:pStyle w:val="Normal"/>
              <w:widowControl w:val="false"/>
              <w:rPr>
                <w:highlight w:val="none"/>
                <w:shd w:fill="FFFFFF" w:val="clear"/>
              </w:rPr>
            </w:pPr>
            <w:r>
              <w:rPr>
                <w:sz w:val="22"/>
                <w:szCs w:val="22"/>
                <w:shd w:fill="FFFFFF" w:val="clear"/>
              </w:rPr>
              <w:t>_________________________________</w:t>
            </w:r>
          </w:p>
          <w:p>
            <w:pPr>
              <w:pStyle w:val="Normal"/>
              <w:widowControl w:val="false"/>
              <w:rPr>
                <w:highlight w:val="none"/>
                <w:shd w:fill="FFFFFF" w:val="clear"/>
              </w:rPr>
            </w:pPr>
            <w:r>
              <w:rPr>
                <w:sz w:val="22"/>
                <w:szCs w:val="22"/>
                <w:shd w:fill="FFFFFF" w:val="clear"/>
              </w:rPr>
              <w:t>(номер расчетного счета)</w:t>
            </w:r>
          </w:p>
          <w:p>
            <w:pPr>
              <w:pStyle w:val="Normal"/>
              <w:widowControl w:val="false"/>
              <w:rPr>
                <w:highlight w:val="none"/>
                <w:shd w:fill="FFFFFF" w:val="clear"/>
              </w:rPr>
            </w:pPr>
            <w:r>
              <w:rPr>
                <w:sz w:val="22"/>
                <w:szCs w:val="22"/>
                <w:shd w:fill="FFFFFF" w:val="clear"/>
              </w:rPr>
              <w:t>_________________________________</w:t>
            </w:r>
          </w:p>
          <w:p>
            <w:pPr>
              <w:pStyle w:val="Normal"/>
              <w:widowControl w:val="false"/>
              <w:rPr>
                <w:highlight w:val="none"/>
                <w:shd w:fill="FFFFFF" w:val="clear"/>
              </w:rPr>
            </w:pPr>
            <w:r>
              <w:rPr>
                <w:sz w:val="22"/>
                <w:szCs w:val="22"/>
                <w:shd w:fill="FFFFFF" w:val="clear"/>
              </w:rPr>
              <w:t>(наименование банка, в котором</w:t>
            </w:r>
          </w:p>
          <w:p>
            <w:pPr>
              <w:pStyle w:val="Normal"/>
              <w:widowControl w:val="false"/>
              <w:rPr>
                <w:highlight w:val="none"/>
                <w:shd w:fill="FFFFFF" w:val="clear"/>
              </w:rPr>
            </w:pPr>
            <w:r>
              <w:rPr>
                <w:sz w:val="22"/>
                <w:szCs w:val="22"/>
                <w:shd w:fill="FFFFFF" w:val="clear"/>
              </w:rPr>
              <w:t>открыт расчетный счет)</w:t>
            </w:r>
          </w:p>
          <w:p>
            <w:pPr>
              <w:pStyle w:val="Normal"/>
              <w:widowControl w:val="false"/>
              <w:rPr>
                <w:highlight w:val="none"/>
                <w:shd w:fill="FFFFFF" w:val="clear"/>
              </w:rPr>
            </w:pPr>
            <w:r>
              <w:rPr>
                <w:sz w:val="22"/>
                <w:szCs w:val="22"/>
                <w:shd w:fill="FFFFFF" w:val="clear"/>
              </w:rPr>
              <w:t>_________________________________</w:t>
            </w:r>
          </w:p>
          <w:p>
            <w:pPr>
              <w:pStyle w:val="Normal"/>
              <w:widowControl w:val="false"/>
              <w:rPr>
                <w:highlight w:val="none"/>
                <w:shd w:fill="FFFFFF" w:val="clear"/>
              </w:rPr>
            </w:pPr>
            <w:r>
              <w:rPr>
                <w:sz w:val="22"/>
                <w:szCs w:val="22"/>
                <w:shd w:fill="FFFFFF" w:val="clear"/>
              </w:rPr>
              <w:t>(номер корреспондентского счета банка)</w:t>
            </w:r>
          </w:p>
          <w:p>
            <w:pPr>
              <w:pStyle w:val="Normal"/>
              <w:widowControl w:val="false"/>
              <w:rPr>
                <w:highlight w:val="none"/>
                <w:shd w:fill="FFFFFF" w:val="clear"/>
              </w:rPr>
            </w:pPr>
            <w:r>
              <w:rPr>
                <w:sz w:val="22"/>
                <w:szCs w:val="22"/>
                <w:shd w:fill="FFFFFF" w:val="clear"/>
              </w:rPr>
              <w:t>_________________________________</w:t>
            </w:r>
          </w:p>
          <w:p>
            <w:pPr>
              <w:pStyle w:val="Normal"/>
              <w:widowControl w:val="false"/>
              <w:rPr>
                <w:highlight w:val="none"/>
                <w:shd w:fill="FFFFFF" w:val="clear"/>
              </w:rPr>
            </w:pPr>
            <w:r>
              <w:rPr>
                <w:sz w:val="22"/>
                <w:szCs w:val="22"/>
                <w:shd w:fill="FFFFFF" w:val="clear"/>
              </w:rPr>
              <w:t>(БИК банка)</w:t>
            </w:r>
          </w:p>
          <w:p>
            <w:pPr>
              <w:pStyle w:val="Normal"/>
              <w:widowControl w:val="false"/>
              <w:rPr>
                <w:highlight w:val="none"/>
                <w:shd w:fill="FFFFFF" w:val="clear"/>
              </w:rPr>
            </w:pPr>
            <w:r>
              <w:rPr>
                <w:sz w:val="22"/>
                <w:szCs w:val="22"/>
                <w:shd w:fill="FFFFFF" w:val="clear"/>
              </w:rPr>
              <w:t>_________________________________</w:t>
            </w:r>
          </w:p>
          <w:p>
            <w:pPr>
              <w:pStyle w:val="Normal"/>
              <w:widowControl w:val="false"/>
              <w:rPr>
                <w:highlight w:val="none"/>
                <w:shd w:fill="FFFFFF" w:val="clear"/>
              </w:rPr>
            </w:pPr>
            <w:r>
              <w:rPr>
                <w:sz w:val="22"/>
                <w:szCs w:val="22"/>
                <w:shd w:fill="FFFFFF" w:val="clear"/>
              </w:rPr>
              <w:t>(номер телефона/факса)</w:t>
            </w:r>
          </w:p>
          <w:p>
            <w:pPr>
              <w:pStyle w:val="Normal"/>
              <w:widowControl w:val="false"/>
              <w:rPr>
                <w:highlight w:val="none"/>
                <w:shd w:fill="FFFFFF" w:val="clear"/>
              </w:rPr>
            </w:pPr>
            <w:r>
              <w:rPr>
                <w:sz w:val="22"/>
                <w:szCs w:val="22"/>
                <w:shd w:fill="FFFFFF" w:val="clear"/>
              </w:rPr>
              <w:t>_________________________________</w:t>
            </w:r>
          </w:p>
          <w:p>
            <w:pPr>
              <w:pStyle w:val="Normal"/>
              <w:widowControl w:val="false"/>
              <w:rPr>
                <w:highlight w:val="none"/>
                <w:shd w:fill="FFFFFF" w:val="clear"/>
              </w:rPr>
            </w:pPr>
            <w:r>
              <w:rPr>
                <w:sz w:val="22"/>
                <w:szCs w:val="22"/>
                <w:shd w:fill="FFFFFF" w:val="clear"/>
              </w:rPr>
              <w:t>(</w:t>
            </w:r>
            <w:r>
              <w:rPr>
                <w:sz w:val="22"/>
                <w:szCs w:val="22"/>
                <w:shd w:fill="FFFFFF" w:val="clear"/>
                <w:lang w:val="en-US"/>
              </w:rPr>
              <w:t>email</w:t>
            </w:r>
            <w:r>
              <w:rPr>
                <w:sz w:val="22"/>
                <w:szCs w:val="22"/>
                <w:shd w:fill="FFFFFF" w:val="clear"/>
              </w:rPr>
              <w:t>)</w:t>
            </w:r>
          </w:p>
        </w:tc>
        <w:tc>
          <w:tcPr>
            <w:tcW w:w="4786" w:type="dxa"/>
            <w:tcBorders/>
          </w:tcPr>
          <w:p>
            <w:pPr>
              <w:pStyle w:val="Normal"/>
              <w:widowControl w:val="false"/>
              <w:rPr>
                <w:sz w:val="22"/>
                <w:szCs w:val="22"/>
                <w:highlight w:val="none"/>
                <w:shd w:fill="FFFFFF" w:val="clear"/>
              </w:rPr>
            </w:pPr>
            <w:r>
              <w:rPr>
                <w:sz w:val="22"/>
                <w:szCs w:val="22"/>
                <w:shd w:fill="FFFFFF" w:val="clear"/>
              </w:rPr>
            </w:r>
          </w:p>
          <w:p>
            <w:pPr>
              <w:pStyle w:val="Normal"/>
              <w:widowControl w:val="false"/>
              <w:rPr>
                <w:highlight w:val="none"/>
                <w:shd w:fill="FFFFFF" w:val="clear"/>
              </w:rPr>
            </w:pPr>
            <w:r>
              <w:rPr>
                <w:sz w:val="22"/>
                <w:szCs w:val="22"/>
                <w:shd w:fill="FFFFFF" w:val="clear"/>
              </w:rPr>
              <w:t>_________________________________</w:t>
            </w:r>
          </w:p>
          <w:p>
            <w:pPr>
              <w:pStyle w:val="Normal"/>
              <w:widowControl w:val="false"/>
              <w:rPr>
                <w:highlight w:val="none"/>
                <w:shd w:fill="FFFFFF" w:val="clear"/>
              </w:rPr>
            </w:pPr>
            <w:r>
              <w:rPr>
                <w:sz w:val="22"/>
                <w:szCs w:val="22"/>
                <w:shd w:fill="FFFFFF" w:val="clear"/>
              </w:rPr>
              <w:t>(наименование юридического лица)</w:t>
            </w:r>
          </w:p>
          <w:p>
            <w:pPr>
              <w:pStyle w:val="Normal"/>
              <w:widowControl w:val="false"/>
              <w:rPr>
                <w:highlight w:val="none"/>
                <w:shd w:fill="FFFFFF" w:val="clear"/>
              </w:rPr>
            </w:pPr>
            <w:r>
              <w:rPr>
                <w:sz w:val="22"/>
                <w:szCs w:val="22"/>
                <w:shd w:fill="FFFFFF" w:val="clear"/>
              </w:rPr>
              <w:t>_________________________________</w:t>
            </w:r>
          </w:p>
          <w:p>
            <w:pPr>
              <w:pStyle w:val="Normal"/>
              <w:widowControl w:val="false"/>
              <w:rPr>
                <w:highlight w:val="none"/>
                <w:shd w:fill="FFFFFF" w:val="clear"/>
              </w:rPr>
            </w:pPr>
            <w:r>
              <w:rPr>
                <w:sz w:val="22"/>
                <w:szCs w:val="22"/>
                <w:shd w:fill="FFFFFF" w:val="clear"/>
              </w:rPr>
              <w:t>(место нахождения)</w:t>
            </w:r>
          </w:p>
          <w:p>
            <w:pPr>
              <w:pStyle w:val="Normal"/>
              <w:widowControl w:val="false"/>
              <w:rPr>
                <w:highlight w:val="none"/>
                <w:shd w:fill="FFFFFF" w:val="clear"/>
              </w:rPr>
            </w:pPr>
            <w:r>
              <w:rPr>
                <w:sz w:val="22"/>
                <w:szCs w:val="22"/>
                <w:shd w:fill="FFFFFF" w:val="clear"/>
              </w:rPr>
              <w:t>_________________________________</w:t>
            </w:r>
          </w:p>
          <w:p>
            <w:pPr>
              <w:pStyle w:val="Normal"/>
              <w:widowControl w:val="false"/>
              <w:rPr>
                <w:highlight w:val="none"/>
                <w:shd w:fill="FFFFFF" w:val="clear"/>
              </w:rPr>
            </w:pPr>
            <w:r>
              <w:rPr>
                <w:sz w:val="22"/>
                <w:szCs w:val="22"/>
                <w:shd w:fill="FFFFFF" w:val="clear"/>
              </w:rPr>
              <w:t>(почтовый адрес)</w:t>
            </w:r>
          </w:p>
          <w:p>
            <w:pPr>
              <w:pStyle w:val="Normal"/>
              <w:widowControl w:val="false"/>
              <w:rPr>
                <w:highlight w:val="none"/>
                <w:shd w:fill="FFFFFF" w:val="clear"/>
              </w:rPr>
            </w:pPr>
            <w:r>
              <w:rPr>
                <w:sz w:val="22"/>
                <w:szCs w:val="22"/>
                <w:shd w:fill="FFFFFF" w:val="clear"/>
              </w:rPr>
              <w:t>_________________________________</w:t>
            </w:r>
          </w:p>
          <w:p>
            <w:pPr>
              <w:pStyle w:val="Normal"/>
              <w:widowControl w:val="false"/>
              <w:rPr>
                <w:highlight w:val="none"/>
                <w:shd w:fill="FFFFFF" w:val="clear"/>
              </w:rPr>
            </w:pPr>
            <w:r>
              <w:rPr>
                <w:sz w:val="22"/>
                <w:szCs w:val="22"/>
                <w:shd w:fill="FFFFFF" w:val="clear"/>
              </w:rPr>
              <w:t>(ОГРН)</w:t>
            </w:r>
          </w:p>
          <w:p>
            <w:pPr>
              <w:pStyle w:val="Normal"/>
              <w:widowControl w:val="false"/>
              <w:rPr>
                <w:highlight w:val="none"/>
                <w:shd w:fill="FFFFFF" w:val="clear"/>
              </w:rPr>
            </w:pPr>
            <w:r>
              <w:rPr>
                <w:sz w:val="22"/>
                <w:szCs w:val="22"/>
                <w:shd w:fill="FFFFFF" w:val="clear"/>
              </w:rPr>
              <w:t>_________________________________</w:t>
            </w:r>
          </w:p>
          <w:p>
            <w:pPr>
              <w:pStyle w:val="Normal"/>
              <w:widowControl w:val="false"/>
              <w:rPr>
                <w:highlight w:val="none"/>
                <w:shd w:fill="FFFFFF" w:val="clear"/>
              </w:rPr>
            </w:pPr>
            <w:r>
              <w:rPr>
                <w:sz w:val="22"/>
                <w:szCs w:val="22"/>
                <w:shd w:fill="FFFFFF" w:val="clear"/>
              </w:rPr>
              <w:t>(ИНН/КПП)</w:t>
            </w:r>
          </w:p>
          <w:p>
            <w:pPr>
              <w:pStyle w:val="Normal"/>
              <w:widowControl w:val="false"/>
              <w:rPr>
                <w:highlight w:val="none"/>
                <w:shd w:fill="FFFFFF" w:val="clear"/>
              </w:rPr>
            </w:pPr>
            <w:r>
              <w:rPr>
                <w:sz w:val="22"/>
                <w:szCs w:val="22"/>
                <w:shd w:fill="FFFFFF" w:val="clear"/>
              </w:rPr>
              <w:t>_________________________________</w:t>
            </w:r>
          </w:p>
          <w:p>
            <w:pPr>
              <w:pStyle w:val="Normal"/>
              <w:widowControl w:val="false"/>
              <w:rPr>
                <w:highlight w:val="none"/>
                <w:shd w:fill="FFFFFF" w:val="clear"/>
              </w:rPr>
            </w:pPr>
            <w:r>
              <w:rPr>
                <w:sz w:val="22"/>
                <w:szCs w:val="22"/>
                <w:shd w:fill="FFFFFF" w:val="clear"/>
              </w:rPr>
              <w:t>(номер расчетного счета)</w:t>
            </w:r>
          </w:p>
          <w:p>
            <w:pPr>
              <w:pStyle w:val="Normal"/>
              <w:widowControl w:val="false"/>
              <w:rPr>
                <w:highlight w:val="none"/>
                <w:shd w:fill="FFFFFF" w:val="clear"/>
              </w:rPr>
            </w:pPr>
            <w:r>
              <w:rPr>
                <w:sz w:val="22"/>
                <w:szCs w:val="22"/>
                <w:shd w:fill="FFFFFF" w:val="clear"/>
              </w:rPr>
              <w:t>_________________________________</w:t>
            </w:r>
          </w:p>
          <w:p>
            <w:pPr>
              <w:pStyle w:val="Normal"/>
              <w:widowControl w:val="false"/>
              <w:rPr>
                <w:highlight w:val="none"/>
                <w:shd w:fill="FFFFFF" w:val="clear"/>
              </w:rPr>
            </w:pPr>
            <w:r>
              <w:rPr>
                <w:sz w:val="22"/>
                <w:szCs w:val="22"/>
                <w:shd w:fill="FFFFFF" w:val="clear"/>
              </w:rPr>
              <w:t>(наименование банка, в котором</w:t>
            </w:r>
          </w:p>
          <w:p>
            <w:pPr>
              <w:pStyle w:val="Normal"/>
              <w:widowControl w:val="false"/>
              <w:rPr>
                <w:highlight w:val="none"/>
                <w:shd w:fill="FFFFFF" w:val="clear"/>
              </w:rPr>
            </w:pPr>
            <w:r>
              <w:rPr>
                <w:sz w:val="22"/>
                <w:szCs w:val="22"/>
                <w:shd w:fill="FFFFFF" w:val="clear"/>
              </w:rPr>
              <w:t>открыт расчетный счет)</w:t>
            </w:r>
          </w:p>
          <w:p>
            <w:pPr>
              <w:pStyle w:val="Normal"/>
              <w:widowControl w:val="false"/>
              <w:rPr>
                <w:highlight w:val="none"/>
                <w:shd w:fill="FFFFFF" w:val="clear"/>
              </w:rPr>
            </w:pPr>
            <w:r>
              <w:rPr>
                <w:sz w:val="22"/>
                <w:szCs w:val="22"/>
                <w:shd w:fill="FFFFFF" w:val="clear"/>
              </w:rPr>
              <w:t>_________________________________</w:t>
            </w:r>
          </w:p>
          <w:p>
            <w:pPr>
              <w:pStyle w:val="Normal"/>
              <w:widowControl w:val="false"/>
              <w:rPr>
                <w:highlight w:val="none"/>
                <w:shd w:fill="FFFFFF" w:val="clear"/>
              </w:rPr>
            </w:pPr>
            <w:r>
              <w:rPr>
                <w:sz w:val="22"/>
                <w:szCs w:val="22"/>
                <w:shd w:fill="FFFFFF" w:val="clear"/>
              </w:rPr>
              <w:t>(номер корреспондентского счета банка)</w:t>
            </w:r>
          </w:p>
          <w:p>
            <w:pPr>
              <w:pStyle w:val="Normal"/>
              <w:widowControl w:val="false"/>
              <w:rPr>
                <w:highlight w:val="none"/>
                <w:shd w:fill="FFFFFF" w:val="clear"/>
              </w:rPr>
            </w:pPr>
            <w:r>
              <w:rPr>
                <w:sz w:val="22"/>
                <w:szCs w:val="22"/>
                <w:shd w:fill="FFFFFF" w:val="clear"/>
              </w:rPr>
              <w:t>_________________________________</w:t>
            </w:r>
          </w:p>
          <w:p>
            <w:pPr>
              <w:pStyle w:val="Normal"/>
              <w:widowControl w:val="false"/>
              <w:rPr>
                <w:highlight w:val="none"/>
                <w:shd w:fill="FFFFFF" w:val="clear"/>
              </w:rPr>
            </w:pPr>
            <w:r>
              <w:rPr>
                <w:sz w:val="22"/>
                <w:szCs w:val="22"/>
                <w:shd w:fill="FFFFFF" w:val="clear"/>
              </w:rPr>
              <w:t>(БИК банка)</w:t>
            </w:r>
          </w:p>
          <w:p>
            <w:pPr>
              <w:pStyle w:val="Normal"/>
              <w:widowControl w:val="false"/>
              <w:rPr>
                <w:highlight w:val="none"/>
                <w:shd w:fill="FFFFFF" w:val="clear"/>
              </w:rPr>
            </w:pPr>
            <w:r>
              <w:rPr>
                <w:sz w:val="22"/>
                <w:szCs w:val="22"/>
                <w:shd w:fill="FFFFFF" w:val="clear"/>
              </w:rPr>
              <w:t>_________________________________</w:t>
            </w:r>
          </w:p>
          <w:p>
            <w:pPr>
              <w:pStyle w:val="Normal"/>
              <w:widowControl w:val="false"/>
              <w:rPr>
                <w:highlight w:val="none"/>
                <w:shd w:fill="FFFFFF" w:val="clear"/>
              </w:rPr>
            </w:pPr>
            <w:r>
              <w:rPr>
                <w:sz w:val="22"/>
                <w:szCs w:val="22"/>
                <w:shd w:fill="FFFFFF" w:val="clear"/>
              </w:rPr>
              <w:t>(номер телефона/факса)</w:t>
            </w:r>
          </w:p>
          <w:p>
            <w:pPr>
              <w:pStyle w:val="Normal"/>
              <w:widowControl w:val="false"/>
              <w:rPr>
                <w:highlight w:val="none"/>
                <w:shd w:fill="FFFFFF" w:val="clear"/>
              </w:rPr>
            </w:pPr>
            <w:r>
              <w:rPr>
                <w:sz w:val="22"/>
                <w:szCs w:val="22"/>
                <w:shd w:fill="FFFFFF" w:val="clear"/>
              </w:rPr>
              <w:t>_________________________________</w:t>
            </w:r>
          </w:p>
          <w:p>
            <w:pPr>
              <w:pStyle w:val="Normal"/>
              <w:widowControl w:val="false"/>
              <w:rPr>
                <w:highlight w:val="none"/>
                <w:shd w:fill="FFFFFF" w:val="clear"/>
              </w:rPr>
            </w:pPr>
            <w:r>
              <w:rPr>
                <w:sz w:val="22"/>
                <w:szCs w:val="22"/>
                <w:shd w:fill="FFFFFF" w:val="clear"/>
              </w:rPr>
              <w:t>(</w:t>
            </w:r>
            <w:r>
              <w:rPr>
                <w:sz w:val="22"/>
                <w:szCs w:val="22"/>
                <w:shd w:fill="FFFFFF" w:val="clear"/>
                <w:lang w:val="en-US"/>
              </w:rPr>
              <w:t>email</w:t>
            </w:r>
            <w:r>
              <w:rPr>
                <w:sz w:val="22"/>
                <w:szCs w:val="22"/>
                <w:shd w:fill="FFFFFF" w:val="clear"/>
              </w:rPr>
              <w:t>)</w:t>
            </w:r>
          </w:p>
          <w:p>
            <w:pPr>
              <w:pStyle w:val="Normal"/>
              <w:widowControl w:val="false"/>
              <w:rPr>
                <w:sz w:val="22"/>
                <w:szCs w:val="22"/>
                <w:highlight w:val="none"/>
                <w:shd w:fill="FFFFFF" w:val="clear"/>
              </w:rPr>
            </w:pPr>
            <w:r>
              <w:rPr>
                <w:sz w:val="22"/>
                <w:szCs w:val="22"/>
                <w:shd w:fill="FFFFFF" w:val="clear"/>
              </w:rPr>
            </w:r>
          </w:p>
        </w:tc>
      </w:tr>
      <w:tr>
        <w:trPr/>
        <w:tc>
          <w:tcPr>
            <w:tcW w:w="4927" w:type="dxa"/>
            <w:tcBorders/>
          </w:tcPr>
          <w:p>
            <w:pPr>
              <w:pStyle w:val="Normal"/>
              <w:widowControl w:val="false"/>
              <w:rPr>
                <w:sz w:val="22"/>
                <w:szCs w:val="22"/>
                <w:highlight w:val="none"/>
                <w:shd w:fill="FFFFFF" w:val="clear"/>
              </w:rPr>
            </w:pPr>
            <w:r>
              <w:rPr>
                <w:sz w:val="22"/>
                <w:szCs w:val="22"/>
                <w:shd w:fill="FFFFFF" w:val="clear"/>
              </w:rPr>
            </w:r>
          </w:p>
          <w:p>
            <w:pPr>
              <w:pStyle w:val="Normal"/>
              <w:widowControl w:val="false"/>
              <w:rPr>
                <w:highlight w:val="none"/>
                <w:shd w:fill="FFFFFF" w:val="clear"/>
              </w:rPr>
            </w:pPr>
            <w:r>
              <w:rPr>
                <w:sz w:val="22"/>
                <w:szCs w:val="22"/>
                <w:shd w:fill="FFFFFF" w:val="clear"/>
              </w:rPr>
              <w:t xml:space="preserve">_______________ / </w:t>
            </w:r>
            <w:r>
              <w:rPr>
                <w:sz w:val="22"/>
                <w:szCs w:val="22"/>
                <w:shd w:fill="FFFFFF" w:val="clear"/>
              </w:rPr>
              <w:t>_______________</w:t>
            </w:r>
            <w:r>
              <w:rPr>
                <w:sz w:val="22"/>
                <w:szCs w:val="22"/>
                <w:shd w:fill="FFFFFF" w:val="clear"/>
              </w:rPr>
              <w:t xml:space="preserve"> /</w:t>
            </w:r>
          </w:p>
          <w:p>
            <w:pPr>
              <w:pStyle w:val="Normal"/>
              <w:widowControl w:val="false"/>
              <w:rPr>
                <w:highlight w:val="none"/>
                <w:shd w:fill="FFFFFF" w:val="clear"/>
              </w:rPr>
            </w:pPr>
            <w:r>
              <w:rPr>
                <w:sz w:val="22"/>
                <w:szCs w:val="22"/>
                <w:shd w:fill="FFFFFF" w:val="clear"/>
              </w:rPr>
              <w:t>м.п.</w:t>
            </w:r>
          </w:p>
        </w:tc>
        <w:tc>
          <w:tcPr>
            <w:tcW w:w="4786" w:type="dxa"/>
            <w:tcBorders/>
          </w:tcPr>
          <w:p>
            <w:pPr>
              <w:pStyle w:val="Normal"/>
              <w:widowControl w:val="false"/>
              <w:rPr>
                <w:sz w:val="22"/>
                <w:szCs w:val="22"/>
                <w:highlight w:val="none"/>
                <w:shd w:fill="FFFFFF" w:val="clear"/>
              </w:rPr>
            </w:pPr>
            <w:r>
              <w:rPr>
                <w:sz w:val="22"/>
                <w:szCs w:val="22"/>
                <w:shd w:fill="FFFFFF" w:val="clear"/>
              </w:rPr>
            </w:r>
          </w:p>
          <w:p>
            <w:pPr>
              <w:pStyle w:val="Normal"/>
              <w:widowControl w:val="false"/>
              <w:rPr>
                <w:highlight w:val="none"/>
                <w:shd w:fill="FFFFFF" w:val="clear"/>
              </w:rPr>
            </w:pPr>
            <w:r>
              <w:rPr>
                <w:sz w:val="22"/>
                <w:szCs w:val="22"/>
                <w:shd w:fill="FFFFFF" w:val="clear"/>
              </w:rPr>
              <w:t xml:space="preserve">_______________ / </w:t>
            </w:r>
            <w:r>
              <w:rPr>
                <w:sz w:val="22"/>
                <w:szCs w:val="22"/>
                <w:shd w:fill="FFFFFF" w:val="clear"/>
              </w:rPr>
              <w:t>_______________</w:t>
            </w:r>
            <w:r>
              <w:rPr>
                <w:sz w:val="22"/>
                <w:szCs w:val="22"/>
                <w:shd w:fill="FFFFFF" w:val="clear"/>
              </w:rPr>
              <w:t xml:space="preserve"> /</w:t>
            </w:r>
          </w:p>
          <w:p>
            <w:pPr>
              <w:pStyle w:val="Normal"/>
              <w:widowControl w:val="false"/>
              <w:rPr>
                <w:highlight w:val="none"/>
                <w:shd w:fill="FFFFFF" w:val="clear"/>
              </w:rPr>
            </w:pPr>
            <w:r>
              <w:rPr>
                <w:sz w:val="22"/>
                <w:szCs w:val="22"/>
                <w:shd w:fill="FFFFFF" w:val="clear"/>
              </w:rPr>
              <w:t>м.п.</w:t>
            </w:r>
          </w:p>
        </w:tc>
      </w:tr>
    </w:tbl>
    <w:p>
      <w:pPr>
        <w:sectPr>
          <w:headerReference w:type="default" r:id="rId8"/>
          <w:footerReference w:type="even" r:id="rId9"/>
          <w:footerReference w:type="default" r:id="rId10"/>
          <w:footerReference w:type="first" r:id="rId11"/>
          <w:footnotePr>
            <w:numFmt w:val="decimal"/>
          </w:footnotePr>
          <w:type w:val="nextPage"/>
          <w:pgSz w:w="11906" w:h="16838"/>
          <w:pgMar w:left="1701" w:right="849" w:gutter="0" w:header="720" w:top="1134" w:footer="720" w:bottom="1134"/>
          <w:pgNumType w:fmt="decimal"/>
          <w:formProt w:val="false"/>
          <w:textDirection w:val="lrTb"/>
          <w:docGrid w:type="default" w:linePitch="100" w:charSpace="8192"/>
        </w:sectPr>
      </w:pPr>
    </w:p>
    <w:p>
      <w:pPr>
        <w:pStyle w:val="BodyText"/>
        <w:numPr>
          <w:ilvl w:val="0"/>
          <w:numId w:val="0"/>
        </w:numPr>
        <w:spacing w:before="0" w:after="120"/>
        <w:ind w:left="0" w:firstLine="567"/>
        <w:jc w:val="right"/>
        <w:outlineLvl w:val="0"/>
        <w:rPr>
          <w:highlight w:val="none"/>
          <w:shd w:fill="FFFFFF" w:val="clear"/>
        </w:rPr>
      </w:pPr>
      <w:r>
        <w:rPr>
          <w:b/>
          <w:bCs/>
          <w:sz w:val="24"/>
          <w:szCs w:val="24"/>
          <w:shd w:fill="FFFFFF" w:val="clear"/>
        </w:rPr>
        <w:t>Приложение № 1</w:t>
      </w:r>
    </w:p>
    <w:p>
      <w:pPr>
        <w:pStyle w:val="BodyText"/>
        <w:spacing w:before="0" w:after="120"/>
        <w:ind w:firstLine="567"/>
        <w:jc w:val="right"/>
        <w:rPr>
          <w:highlight w:val="none"/>
          <w:shd w:fill="FFFFFF" w:val="clear"/>
        </w:rPr>
      </w:pPr>
      <w:r>
        <w:rPr>
          <w:bCs/>
          <w:sz w:val="24"/>
          <w:szCs w:val="24"/>
          <w:shd w:fill="FFFFFF" w:val="clear"/>
        </w:rPr>
        <w:t xml:space="preserve">к договору поставки </w:t>
      </w:r>
    </w:p>
    <w:p>
      <w:pPr>
        <w:pStyle w:val="BodyText"/>
        <w:spacing w:before="0" w:after="120"/>
        <w:ind w:firstLine="567"/>
        <w:jc w:val="right"/>
        <w:rPr>
          <w:highlight w:val="none"/>
          <w:shd w:fill="FFFFFF" w:val="clear"/>
        </w:rPr>
      </w:pPr>
      <w:r>
        <w:rPr>
          <w:bCs/>
          <w:sz w:val="24"/>
          <w:szCs w:val="24"/>
          <w:shd w:fill="FFFFFF" w:val="clear"/>
        </w:rPr>
        <w:t xml:space="preserve">№ </w:t>
      </w:r>
      <w:r>
        <w:rPr>
          <w:bCs/>
          <w:sz w:val="24"/>
          <w:szCs w:val="24"/>
          <w:shd w:fill="FFFFFF" w:val="clear"/>
        </w:rPr>
        <w:t>_____от «___» _________ ______ г.</w:t>
      </w:r>
    </w:p>
    <w:p>
      <w:pPr>
        <w:pStyle w:val="Normal"/>
        <w:numPr>
          <w:ilvl w:val="0"/>
          <w:numId w:val="0"/>
        </w:numPr>
        <w:spacing w:before="0" w:after="120"/>
        <w:ind w:left="0" w:firstLine="567"/>
        <w:jc w:val="center"/>
        <w:outlineLvl w:val="0"/>
        <w:rPr>
          <w:highlight w:val="none"/>
          <w:shd w:fill="FFFFFF" w:val="clear"/>
        </w:rPr>
      </w:pPr>
      <w:r>
        <w:rPr>
          <w:b/>
          <w:sz w:val="24"/>
          <w:szCs w:val="24"/>
          <w:shd w:fill="FFFFFF" w:val="clear"/>
        </w:rPr>
        <w:t>Спецификация №__</w:t>
      </w:r>
    </w:p>
    <w:p>
      <w:pPr>
        <w:pStyle w:val="Normal"/>
        <w:numPr>
          <w:ilvl w:val="0"/>
          <w:numId w:val="0"/>
        </w:numPr>
        <w:spacing w:before="0" w:after="120"/>
        <w:ind w:left="0" w:firstLine="567"/>
        <w:jc w:val="center"/>
        <w:outlineLvl w:val="0"/>
        <w:rPr>
          <w:highlight w:val="none"/>
          <w:shd w:fill="FFFFFF" w:val="clear"/>
        </w:rPr>
      </w:pPr>
      <w:r>
        <w:rPr>
          <w:b/>
          <w:i/>
          <w:color w:val="FF0000"/>
          <w:sz w:val="22"/>
          <w:szCs w:val="22"/>
          <w:shd w:fill="FFFFFF" w:val="clear"/>
        </w:rPr>
        <w:t>(заполняется на основании предложения, указанного в заявке участника закупки и технических требований)</w:t>
      </w:r>
    </w:p>
    <w:tbl>
      <w:tblPr>
        <w:tblW w:w="10632" w:type="dxa"/>
        <w:jc w:val="left"/>
        <w:tblInd w:w="-175" w:type="dxa"/>
        <w:tblLayout w:type="fixed"/>
        <w:tblCellMar>
          <w:top w:w="0" w:type="dxa"/>
          <w:left w:w="108" w:type="dxa"/>
          <w:bottom w:w="0" w:type="dxa"/>
          <w:right w:w="108" w:type="dxa"/>
        </w:tblCellMar>
        <w:tblLook w:noVBand="1" w:val="04a0" w:noHBand="0" w:lastColumn="0" w:firstColumn="1" w:lastRow="0" w:firstRow="1"/>
      </w:tblPr>
      <w:tblGrid>
        <w:gridCol w:w="710"/>
        <w:gridCol w:w="848"/>
        <w:gridCol w:w="421"/>
        <w:gridCol w:w="1707"/>
        <w:gridCol w:w="1559"/>
        <w:gridCol w:w="708"/>
        <w:gridCol w:w="711"/>
        <w:gridCol w:w="849"/>
        <w:gridCol w:w="1701"/>
        <w:gridCol w:w="1417"/>
      </w:tblGrid>
      <w:tr>
        <w:trPr>
          <w:trHeight w:val="510" w:hRule="atLeast"/>
        </w:trPr>
        <w:tc>
          <w:tcPr>
            <w:tcW w:w="71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120"/>
              <w:jc w:val="center"/>
              <w:rPr>
                <w:highlight w:val="none"/>
                <w:shd w:fill="FFFFFF" w:val="clear"/>
              </w:rPr>
            </w:pPr>
            <w:r>
              <w:rPr>
                <w:bCs/>
                <w:sz w:val="22"/>
                <w:szCs w:val="24"/>
                <w:shd w:fill="FFFFFF" w:val="clear"/>
              </w:rPr>
              <w:t>Поз. №</w:t>
            </w:r>
          </w:p>
        </w:tc>
        <w:tc>
          <w:tcPr>
            <w:tcW w:w="1269"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120"/>
              <w:jc w:val="center"/>
              <w:rPr>
                <w:highlight w:val="none"/>
                <w:shd w:fill="FFFFFF" w:val="clear"/>
              </w:rPr>
            </w:pPr>
            <w:r>
              <w:rPr>
                <w:bCs/>
                <w:sz w:val="22"/>
                <w:szCs w:val="24"/>
                <w:shd w:fill="FFFFFF" w:val="clear"/>
              </w:rPr>
              <w:t>Наименование</w:t>
            </w:r>
          </w:p>
        </w:tc>
        <w:tc>
          <w:tcPr>
            <w:tcW w:w="1707"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20"/>
              <w:jc w:val="center"/>
              <w:rPr>
                <w:highlight w:val="none"/>
                <w:shd w:fill="FFFFFF" w:val="clear"/>
              </w:rPr>
            </w:pPr>
            <w:r>
              <w:rPr>
                <w:sz w:val="24"/>
                <w:szCs w:val="24"/>
                <w:shd w:fill="FFFFFF" w:val="clear"/>
              </w:rPr>
              <w:t>Страна происхождения Продукции / цифровой код страны</w:t>
            </w:r>
          </w:p>
        </w:tc>
        <w:tc>
          <w:tcPr>
            <w:tcW w:w="155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120"/>
              <w:jc w:val="center"/>
              <w:rPr>
                <w:highlight w:val="none"/>
                <w:shd w:fill="FFFFFF" w:val="clear"/>
              </w:rPr>
            </w:pPr>
            <w:r>
              <w:rPr>
                <w:bCs/>
                <w:sz w:val="22"/>
                <w:szCs w:val="24"/>
                <w:shd w:fill="FFFFFF" w:val="clear"/>
              </w:rPr>
              <w:t>Характеристики продукции</w:t>
            </w:r>
          </w:p>
        </w:tc>
        <w:tc>
          <w:tcPr>
            <w:tcW w:w="70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120"/>
              <w:jc w:val="center"/>
              <w:rPr>
                <w:highlight w:val="none"/>
                <w:shd w:fill="FFFFFF" w:val="clear"/>
              </w:rPr>
            </w:pPr>
            <w:r>
              <w:rPr>
                <w:bCs/>
                <w:sz w:val="22"/>
                <w:szCs w:val="24"/>
                <w:shd w:fill="FFFFFF" w:val="clear"/>
              </w:rPr>
              <w:t>Тип</w:t>
            </w:r>
          </w:p>
        </w:tc>
        <w:tc>
          <w:tcPr>
            <w:tcW w:w="71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120"/>
              <w:jc w:val="center"/>
              <w:rPr>
                <w:highlight w:val="none"/>
                <w:shd w:fill="FFFFFF" w:val="clear"/>
              </w:rPr>
            </w:pPr>
            <w:r>
              <w:rPr>
                <w:bCs/>
                <w:sz w:val="22"/>
                <w:szCs w:val="24"/>
                <w:shd w:fill="FFFFFF" w:val="clear"/>
              </w:rPr>
              <w:t>Ед. изм.</w:t>
            </w:r>
          </w:p>
        </w:tc>
        <w:tc>
          <w:tcPr>
            <w:tcW w:w="84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120"/>
              <w:jc w:val="center"/>
              <w:rPr>
                <w:highlight w:val="none"/>
                <w:shd w:fill="FFFFFF" w:val="clear"/>
              </w:rPr>
            </w:pPr>
            <w:r>
              <w:rPr>
                <w:bCs/>
                <w:sz w:val="22"/>
                <w:szCs w:val="24"/>
                <w:shd w:fill="FFFFFF" w:val="clear"/>
              </w:rPr>
              <w:t>Количество</w:t>
            </w:r>
          </w:p>
        </w:tc>
        <w:tc>
          <w:tcPr>
            <w:tcW w:w="170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120"/>
              <w:jc w:val="center"/>
              <w:rPr>
                <w:highlight w:val="none"/>
                <w:shd w:fill="FFFFFF" w:val="clear"/>
              </w:rPr>
            </w:pPr>
            <w:r>
              <w:rPr>
                <w:bCs/>
                <w:sz w:val="22"/>
                <w:szCs w:val="24"/>
                <w:shd w:fill="FFFFFF" w:val="clear"/>
              </w:rPr>
              <w:t>Цена  за единицу (руб., с НДС __%/ без НДС)</w:t>
            </w:r>
          </w:p>
        </w:tc>
        <w:tc>
          <w:tcPr>
            <w:tcW w:w="141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120"/>
              <w:jc w:val="center"/>
              <w:rPr>
                <w:highlight w:val="none"/>
                <w:shd w:fill="FFFFFF" w:val="clear"/>
              </w:rPr>
            </w:pPr>
            <w:r>
              <w:rPr>
                <w:bCs/>
                <w:sz w:val="22"/>
                <w:szCs w:val="24"/>
                <w:shd w:fill="FFFFFF" w:val="clear"/>
              </w:rPr>
              <w:t>Сумма (руб., с НДС __%/ без НДС)</w:t>
            </w:r>
          </w:p>
        </w:tc>
      </w:tr>
      <w:tr>
        <w:trPr>
          <w:trHeight w:val="523" w:hRule="atLeast"/>
        </w:trPr>
        <w:tc>
          <w:tcPr>
            <w:tcW w:w="710"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pacing w:before="0" w:after="120"/>
              <w:jc w:val="center"/>
              <w:rPr>
                <w:highlight w:val="none"/>
                <w:shd w:fill="FFFFFF" w:val="clear"/>
              </w:rPr>
            </w:pPr>
            <w:r>
              <w:rPr>
                <w:sz w:val="22"/>
                <w:shd w:fill="FFFFFF" w:val="clear"/>
              </w:rPr>
              <w:t>1.</w:t>
            </w:r>
          </w:p>
        </w:tc>
        <w:tc>
          <w:tcPr>
            <w:tcW w:w="1269" w:type="dxa"/>
            <w:gridSpan w:val="2"/>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pacing w:before="0" w:after="120"/>
              <w:jc w:val="center"/>
              <w:rPr>
                <w:highlight w:val="none"/>
                <w:shd w:fill="FFFFFF" w:val="clear"/>
              </w:rPr>
            </w:pPr>
            <w:r>
              <w:rPr>
                <w:sz w:val="22"/>
                <w:szCs w:val="24"/>
                <w:shd w:fill="FFFFFF" w:val="clear"/>
              </w:rPr>
              <w:t>___________</w:t>
            </w:r>
          </w:p>
        </w:tc>
        <w:tc>
          <w:tcPr>
            <w:tcW w:w="1707" w:type="dxa"/>
            <w:tcBorders>
              <w:top w:val="single" w:sz="4" w:space="0" w:color="000000"/>
              <w:left w:val="single" w:sz="4" w:space="0" w:color="000000"/>
              <w:bottom w:val="single" w:sz="4" w:space="0" w:color="000000"/>
              <w:right w:val="single" w:sz="4" w:space="0" w:color="000000"/>
            </w:tcBorders>
            <w:shd w:color="auto" w:fill="FFFFFF" w:themeFill="background1" w:val="clear"/>
          </w:tcPr>
          <w:p>
            <w:pPr>
              <w:pStyle w:val="Normal"/>
              <w:widowControl w:val="false"/>
              <w:spacing w:before="0" w:after="120"/>
              <w:jc w:val="center"/>
              <w:rPr>
                <w:highlight w:val="none"/>
                <w:shd w:fill="FFFFFF" w:val="clear"/>
              </w:rPr>
            </w:pPr>
            <w:r>
              <w:rPr>
                <w:sz w:val="22"/>
                <w:szCs w:val="24"/>
                <w:shd w:fill="FFFFFF" w:val="clear"/>
              </w:rPr>
              <w:t>___________</w:t>
            </w:r>
          </w:p>
        </w:tc>
        <w:tc>
          <w:tcPr>
            <w:tcW w:w="1559"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pacing w:before="0" w:after="120"/>
              <w:jc w:val="center"/>
              <w:rPr>
                <w:highlight w:val="none"/>
                <w:shd w:fill="FFFFFF" w:val="clear"/>
              </w:rPr>
            </w:pPr>
            <w:r>
              <w:rPr>
                <w:sz w:val="22"/>
                <w:szCs w:val="24"/>
                <w:shd w:fill="FFFFFF" w:val="clear"/>
              </w:rPr>
              <w:t>___________</w:t>
            </w:r>
          </w:p>
        </w:tc>
        <w:tc>
          <w:tcPr>
            <w:tcW w:w="708"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pacing w:before="0" w:after="120"/>
              <w:jc w:val="center"/>
              <w:rPr>
                <w:highlight w:val="none"/>
                <w:shd w:fill="FFFFFF" w:val="clear"/>
              </w:rPr>
            </w:pPr>
            <w:r>
              <w:rPr>
                <w:sz w:val="22"/>
                <w:szCs w:val="24"/>
                <w:shd w:fill="FFFFFF" w:val="clear"/>
              </w:rPr>
              <w:t>___</w:t>
            </w:r>
          </w:p>
        </w:tc>
        <w:tc>
          <w:tcPr>
            <w:tcW w:w="711"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pacing w:before="0" w:after="120"/>
              <w:jc w:val="center"/>
              <w:rPr>
                <w:highlight w:val="none"/>
                <w:shd w:fill="FFFFFF" w:val="clear"/>
              </w:rPr>
            </w:pPr>
            <w:r>
              <w:rPr>
                <w:sz w:val="22"/>
                <w:szCs w:val="24"/>
                <w:shd w:fill="FFFFFF" w:val="clear"/>
              </w:rPr>
              <w:t>____</w:t>
            </w:r>
          </w:p>
        </w:tc>
        <w:tc>
          <w:tcPr>
            <w:tcW w:w="849"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pacing w:before="0" w:after="120"/>
              <w:jc w:val="center"/>
              <w:rPr>
                <w:highlight w:val="none"/>
                <w:shd w:fill="FFFFFF" w:val="clear"/>
              </w:rPr>
            </w:pPr>
            <w:r>
              <w:rPr>
                <w:sz w:val="22"/>
                <w:szCs w:val="24"/>
                <w:shd w:fill="FFFFFF" w:val="clear"/>
              </w:rPr>
              <w:t>______</w:t>
            </w:r>
          </w:p>
        </w:tc>
        <w:tc>
          <w:tcPr>
            <w:tcW w:w="1701"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pacing w:before="0" w:after="120"/>
              <w:jc w:val="center"/>
              <w:rPr>
                <w:highlight w:val="none"/>
                <w:shd w:fill="FFFFFF" w:val="clear"/>
              </w:rPr>
            </w:pPr>
            <w:r>
              <w:rPr>
                <w:sz w:val="22"/>
                <w:szCs w:val="24"/>
                <w:shd w:fill="FFFFFF" w:val="clear"/>
              </w:rPr>
              <w:t>__________</w:t>
            </w:r>
          </w:p>
        </w:tc>
        <w:tc>
          <w:tcPr>
            <w:tcW w:w="1417"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pacing w:before="0" w:after="120"/>
              <w:jc w:val="center"/>
              <w:rPr>
                <w:highlight w:val="none"/>
                <w:shd w:fill="FFFFFF" w:val="clear"/>
              </w:rPr>
            </w:pPr>
            <w:r>
              <w:rPr>
                <w:sz w:val="22"/>
                <w:szCs w:val="24"/>
                <w:shd w:fill="FFFFFF" w:val="clear"/>
              </w:rPr>
              <w:t>________</w:t>
            </w:r>
          </w:p>
        </w:tc>
      </w:tr>
      <w:tr>
        <w:trPr>
          <w:trHeight w:val="523" w:hRule="atLeast"/>
        </w:trPr>
        <w:tc>
          <w:tcPr>
            <w:tcW w:w="710"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pacing w:before="0" w:after="120"/>
              <w:jc w:val="center"/>
              <w:rPr>
                <w:highlight w:val="none"/>
                <w:shd w:fill="FFFFFF" w:val="clear"/>
              </w:rPr>
            </w:pPr>
            <w:r>
              <w:rPr>
                <w:sz w:val="22"/>
                <w:shd w:fill="FFFFFF" w:val="clear"/>
              </w:rPr>
              <w:t>2.</w:t>
            </w:r>
          </w:p>
        </w:tc>
        <w:tc>
          <w:tcPr>
            <w:tcW w:w="1269" w:type="dxa"/>
            <w:gridSpan w:val="2"/>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pacing w:before="0" w:after="120"/>
              <w:jc w:val="center"/>
              <w:rPr>
                <w:highlight w:val="none"/>
                <w:shd w:fill="FFFFFF" w:val="clear"/>
              </w:rPr>
            </w:pPr>
            <w:r>
              <w:rPr>
                <w:sz w:val="22"/>
                <w:shd w:fill="FFFFFF" w:val="clear"/>
              </w:rPr>
              <w:t>___________</w:t>
            </w:r>
          </w:p>
        </w:tc>
        <w:tc>
          <w:tcPr>
            <w:tcW w:w="1707" w:type="dxa"/>
            <w:tcBorders>
              <w:top w:val="single" w:sz="4" w:space="0" w:color="000000"/>
              <w:left w:val="single" w:sz="4" w:space="0" w:color="000000"/>
              <w:bottom w:val="single" w:sz="4" w:space="0" w:color="000000"/>
              <w:right w:val="single" w:sz="4" w:space="0" w:color="000000"/>
            </w:tcBorders>
            <w:shd w:color="auto" w:fill="FFFFFF" w:themeFill="background1" w:val="clear"/>
          </w:tcPr>
          <w:p>
            <w:pPr>
              <w:pStyle w:val="Normal"/>
              <w:widowControl w:val="false"/>
              <w:spacing w:before="0" w:after="120"/>
              <w:jc w:val="center"/>
              <w:rPr>
                <w:highlight w:val="none"/>
                <w:shd w:fill="FFFFFF" w:val="clear"/>
              </w:rPr>
            </w:pPr>
            <w:r>
              <w:rPr>
                <w:sz w:val="22"/>
                <w:szCs w:val="24"/>
                <w:shd w:fill="FFFFFF" w:val="clear"/>
              </w:rPr>
              <w:t>___________</w:t>
            </w:r>
          </w:p>
        </w:tc>
        <w:tc>
          <w:tcPr>
            <w:tcW w:w="1559"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pacing w:before="0" w:after="120"/>
              <w:jc w:val="center"/>
              <w:rPr>
                <w:highlight w:val="none"/>
                <w:shd w:fill="FFFFFF" w:val="clear"/>
              </w:rPr>
            </w:pPr>
            <w:r>
              <w:rPr>
                <w:sz w:val="22"/>
                <w:shd w:fill="FFFFFF" w:val="clear"/>
              </w:rPr>
              <w:t>___________</w:t>
            </w:r>
          </w:p>
        </w:tc>
        <w:tc>
          <w:tcPr>
            <w:tcW w:w="708"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pacing w:before="0" w:after="120"/>
              <w:jc w:val="center"/>
              <w:rPr>
                <w:highlight w:val="none"/>
                <w:shd w:fill="FFFFFF" w:val="clear"/>
              </w:rPr>
            </w:pPr>
            <w:r>
              <w:rPr>
                <w:sz w:val="22"/>
                <w:shd w:fill="FFFFFF" w:val="clear"/>
              </w:rPr>
              <w:t>___</w:t>
            </w:r>
          </w:p>
        </w:tc>
        <w:tc>
          <w:tcPr>
            <w:tcW w:w="711"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pacing w:before="0" w:after="120"/>
              <w:jc w:val="center"/>
              <w:rPr>
                <w:highlight w:val="none"/>
                <w:shd w:fill="FFFFFF" w:val="clear"/>
              </w:rPr>
            </w:pPr>
            <w:r>
              <w:rPr>
                <w:sz w:val="22"/>
                <w:shd w:fill="FFFFFF" w:val="clear"/>
              </w:rPr>
              <w:t>____</w:t>
            </w:r>
          </w:p>
        </w:tc>
        <w:tc>
          <w:tcPr>
            <w:tcW w:w="849"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pacing w:before="0" w:after="120"/>
              <w:jc w:val="center"/>
              <w:rPr>
                <w:highlight w:val="none"/>
                <w:shd w:fill="FFFFFF" w:val="clear"/>
              </w:rPr>
            </w:pPr>
            <w:r>
              <w:rPr>
                <w:sz w:val="22"/>
                <w:shd w:fill="FFFFFF" w:val="clear"/>
              </w:rPr>
              <w:t>______</w:t>
            </w:r>
          </w:p>
        </w:tc>
        <w:tc>
          <w:tcPr>
            <w:tcW w:w="1701"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pacing w:before="0" w:after="120"/>
              <w:jc w:val="center"/>
              <w:rPr>
                <w:highlight w:val="none"/>
                <w:shd w:fill="FFFFFF" w:val="clear"/>
              </w:rPr>
            </w:pPr>
            <w:r>
              <w:rPr>
                <w:sz w:val="22"/>
                <w:shd w:fill="FFFFFF" w:val="clear"/>
              </w:rPr>
              <w:t>__________</w:t>
            </w:r>
          </w:p>
        </w:tc>
        <w:tc>
          <w:tcPr>
            <w:tcW w:w="1417"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pacing w:before="0" w:after="120"/>
              <w:jc w:val="center"/>
              <w:rPr>
                <w:highlight w:val="none"/>
                <w:shd w:fill="FFFFFF" w:val="clear"/>
              </w:rPr>
            </w:pPr>
            <w:r>
              <w:rPr>
                <w:sz w:val="22"/>
                <w:shd w:fill="FFFFFF" w:val="clear"/>
              </w:rPr>
              <w:t>________</w:t>
            </w:r>
          </w:p>
        </w:tc>
      </w:tr>
      <w:tr>
        <w:trPr>
          <w:trHeight w:val="255" w:hRule="atLeast"/>
        </w:trPr>
        <w:tc>
          <w:tcPr>
            <w:tcW w:w="1558" w:type="dxa"/>
            <w:gridSpan w:val="2"/>
            <w:tcBorders>
              <w:top w:val="single" w:sz="4" w:space="0" w:color="000000"/>
              <w:left w:val="single" w:sz="4" w:space="0" w:color="000000"/>
              <w:bottom w:val="single" w:sz="4" w:space="0" w:color="000000"/>
              <w:right w:val="single" w:sz="4" w:space="0" w:color="000000"/>
            </w:tcBorders>
            <w:shd w:color="auto" w:fill="FFFFFF" w:themeFill="background1" w:val="clear"/>
          </w:tcPr>
          <w:p>
            <w:pPr>
              <w:pStyle w:val="Normal"/>
              <w:widowControl w:val="false"/>
              <w:spacing w:before="0" w:after="120"/>
              <w:ind w:firstLine="567"/>
              <w:jc w:val="right"/>
              <w:rPr>
                <w:b/>
                <w:sz w:val="22"/>
                <w:szCs w:val="24"/>
                <w:highlight w:val="none"/>
                <w:shd w:fill="FFFFFF" w:val="clear"/>
              </w:rPr>
            </w:pPr>
            <w:r>
              <w:rPr>
                <w:b/>
                <w:sz w:val="22"/>
                <w:szCs w:val="24"/>
                <w:shd w:fill="FFFFFF" w:val="clear"/>
              </w:rPr>
            </w:r>
          </w:p>
        </w:tc>
        <w:tc>
          <w:tcPr>
            <w:tcW w:w="7656" w:type="dxa"/>
            <w:gridSpan w:val="7"/>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pacing w:before="0" w:after="120"/>
              <w:ind w:firstLine="567"/>
              <w:jc w:val="right"/>
              <w:rPr>
                <w:highlight w:val="none"/>
                <w:shd w:fill="FFFFFF" w:val="clear"/>
              </w:rPr>
            </w:pPr>
            <w:r>
              <w:rPr>
                <w:b/>
                <w:sz w:val="22"/>
                <w:szCs w:val="24"/>
                <w:shd w:fill="FFFFFF" w:val="clear"/>
              </w:rPr>
              <w:t>ИТОГО*</w:t>
            </w:r>
          </w:p>
        </w:tc>
        <w:tc>
          <w:tcPr>
            <w:tcW w:w="1417"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pacing w:before="0" w:after="120"/>
              <w:ind w:firstLine="567"/>
              <w:jc w:val="center"/>
              <w:rPr>
                <w:b/>
                <w:sz w:val="22"/>
                <w:szCs w:val="24"/>
                <w:highlight w:val="none"/>
                <w:shd w:fill="FFFFFF" w:val="clear"/>
              </w:rPr>
            </w:pPr>
            <w:r>
              <w:rPr>
                <w:b/>
                <w:sz w:val="22"/>
                <w:szCs w:val="24"/>
                <w:shd w:fill="FFFFFF" w:val="clear"/>
              </w:rPr>
            </w:r>
          </w:p>
        </w:tc>
      </w:tr>
      <w:tr>
        <w:trPr>
          <w:trHeight w:val="255" w:hRule="atLeast"/>
        </w:trPr>
        <w:tc>
          <w:tcPr>
            <w:tcW w:w="1558" w:type="dxa"/>
            <w:gridSpan w:val="2"/>
            <w:tcBorders>
              <w:top w:val="single" w:sz="4" w:space="0" w:color="000000"/>
              <w:left w:val="single" w:sz="4" w:space="0" w:color="000000"/>
              <w:bottom w:val="single" w:sz="4" w:space="0" w:color="000000"/>
              <w:right w:val="single" w:sz="4" w:space="0" w:color="000000"/>
            </w:tcBorders>
            <w:shd w:color="auto" w:fill="FFFFFF" w:themeFill="background1" w:val="clear"/>
          </w:tcPr>
          <w:p>
            <w:pPr>
              <w:pStyle w:val="Normal"/>
              <w:widowControl w:val="false"/>
              <w:spacing w:before="0" w:after="120"/>
              <w:ind w:firstLine="567"/>
              <w:jc w:val="right"/>
              <w:rPr>
                <w:sz w:val="22"/>
                <w:szCs w:val="24"/>
                <w:highlight w:val="none"/>
                <w:shd w:fill="FFFFFF" w:val="clear"/>
              </w:rPr>
            </w:pPr>
            <w:r>
              <w:rPr>
                <w:sz w:val="22"/>
                <w:szCs w:val="24"/>
                <w:shd w:fill="FFFFFF" w:val="clear"/>
              </w:rPr>
            </w:r>
          </w:p>
        </w:tc>
        <w:tc>
          <w:tcPr>
            <w:tcW w:w="7656" w:type="dxa"/>
            <w:gridSpan w:val="7"/>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pacing w:before="0" w:after="120"/>
              <w:ind w:firstLine="567"/>
              <w:jc w:val="right"/>
              <w:rPr>
                <w:highlight w:val="none"/>
                <w:shd w:fill="FFFFFF" w:val="clear"/>
              </w:rPr>
            </w:pPr>
            <w:r>
              <w:rPr>
                <w:sz w:val="22"/>
                <w:szCs w:val="24"/>
                <w:shd w:fill="FFFFFF" w:val="clear"/>
              </w:rPr>
              <w:t>Итого с учетом НДС (</w:t>
            </w:r>
            <w:r>
              <w:rPr>
                <w:i/>
                <w:sz w:val="22"/>
                <w:szCs w:val="24"/>
                <w:shd w:fill="FFFFFF" w:val="clear"/>
              </w:rPr>
              <w:t>указывается при необходимости</w:t>
            </w:r>
            <w:r>
              <w:rPr>
                <w:sz w:val="22"/>
                <w:szCs w:val="24"/>
                <w:shd w:fill="FFFFFF" w:val="clear"/>
              </w:rPr>
              <w:t>)</w:t>
            </w:r>
          </w:p>
        </w:tc>
        <w:tc>
          <w:tcPr>
            <w:tcW w:w="1417"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pacing w:before="0" w:after="120"/>
              <w:ind w:firstLine="567"/>
              <w:jc w:val="center"/>
              <w:rPr>
                <w:b/>
                <w:sz w:val="22"/>
                <w:szCs w:val="24"/>
                <w:highlight w:val="none"/>
                <w:shd w:fill="FFFFFF" w:val="clear"/>
              </w:rPr>
            </w:pPr>
            <w:r>
              <w:rPr>
                <w:b/>
                <w:sz w:val="22"/>
                <w:szCs w:val="24"/>
                <w:shd w:fill="FFFFFF" w:val="clear"/>
              </w:rPr>
            </w:r>
          </w:p>
        </w:tc>
      </w:tr>
    </w:tbl>
    <w:p>
      <w:pPr>
        <w:pStyle w:val="BodyText"/>
        <w:spacing w:before="0" w:after="120"/>
        <w:ind w:firstLine="567"/>
        <w:rPr>
          <w:b/>
          <w:bCs/>
          <w:i/>
          <w:i/>
          <w:sz w:val="24"/>
          <w:szCs w:val="24"/>
          <w:highlight w:val="none"/>
          <w:shd w:fill="FFFFFF" w:val="clear"/>
        </w:rPr>
      </w:pPr>
      <w:r>
        <w:rPr>
          <w:b/>
          <w:bCs/>
          <w:i/>
          <w:sz w:val="24"/>
          <w:szCs w:val="24"/>
          <w:shd w:fill="FFFFFF" w:val="clear"/>
        </w:rPr>
      </w:r>
    </w:p>
    <w:p>
      <w:pPr>
        <w:pStyle w:val="BodyText"/>
        <w:spacing w:before="0" w:after="120"/>
        <w:ind w:firstLine="567"/>
        <w:rPr>
          <w:highlight w:val="none"/>
          <w:shd w:fill="FFFFFF" w:val="clear"/>
        </w:rPr>
      </w:pPr>
      <w:r>
        <w:rPr>
          <w:b/>
          <w:bCs/>
          <w:i/>
          <w:sz w:val="24"/>
          <w:szCs w:val="24"/>
          <w:shd w:fill="FFFFFF" w:val="clear"/>
        </w:rPr>
        <w:t>Условия поставки:</w:t>
      </w:r>
    </w:p>
    <w:p>
      <w:pPr>
        <w:pStyle w:val="Normal"/>
        <w:widowControl w:val="false"/>
        <w:numPr>
          <w:ilvl w:val="0"/>
          <w:numId w:val="23"/>
        </w:numPr>
        <w:tabs>
          <w:tab w:val="left" w:pos="720" w:leader="none"/>
        </w:tabs>
        <w:spacing w:before="0" w:after="120"/>
        <w:ind w:left="0" w:firstLine="284"/>
        <w:jc w:val="both"/>
        <w:rPr>
          <w:highlight w:val="none"/>
          <w:shd w:fill="FFFFFF" w:val="clear"/>
        </w:rPr>
      </w:pPr>
      <w:r>
        <w:rPr>
          <w:bCs/>
          <w:sz w:val="24"/>
          <w:szCs w:val="24"/>
          <w:shd w:fill="FFFFFF" w:val="clear"/>
        </w:rPr>
        <w:t>Общая сумма Спецификации составляет _______</w:t>
      </w:r>
      <w:r>
        <w:rPr>
          <w:b/>
          <w:sz w:val="24"/>
          <w:szCs w:val="24"/>
          <w:shd w:fill="FFFFFF" w:val="clear"/>
        </w:rPr>
        <w:t xml:space="preserve"> </w:t>
      </w:r>
      <w:r>
        <w:rPr>
          <w:sz w:val="24"/>
          <w:szCs w:val="24"/>
          <w:shd w:fill="FFFFFF" w:val="clear"/>
        </w:rPr>
        <w:t xml:space="preserve">(________), </w:t>
      </w:r>
      <w:r>
        <w:rPr>
          <w:i/>
          <w:sz w:val="24"/>
          <w:szCs w:val="24"/>
          <w:shd w:fill="FFFFFF" w:val="clear"/>
        </w:rPr>
        <w:t>в том числе НДС __%, в размере _____________ (________________)</w:t>
      </w:r>
      <w:r>
        <w:rPr>
          <w:b/>
          <w:sz w:val="24"/>
          <w:szCs w:val="24"/>
          <w:shd w:fill="FFFFFF" w:val="clear"/>
        </w:rPr>
        <w:t>.</w:t>
      </w:r>
    </w:p>
    <w:p>
      <w:pPr>
        <w:pStyle w:val="Normal"/>
        <w:widowControl w:val="false"/>
        <w:numPr>
          <w:ilvl w:val="0"/>
          <w:numId w:val="24"/>
        </w:numPr>
        <w:tabs>
          <w:tab w:val="left" w:pos="720" w:leader="none"/>
        </w:tabs>
        <w:spacing w:before="0" w:after="120"/>
        <w:ind w:left="0" w:firstLine="284"/>
        <w:jc w:val="both"/>
        <w:rPr>
          <w:highlight w:val="none"/>
          <w:shd w:fill="FFFFFF" w:val="clear"/>
        </w:rPr>
      </w:pPr>
      <w:r>
        <w:rPr>
          <w:sz w:val="24"/>
          <w:szCs w:val="24"/>
          <w:shd w:fill="FFFFFF" w:val="clear"/>
        </w:rPr>
        <w:t>Наименование производителя: ______________________;</w:t>
      </w:r>
    </w:p>
    <w:p>
      <w:pPr>
        <w:pStyle w:val="Normal"/>
        <w:widowControl w:val="false"/>
        <w:numPr>
          <w:ilvl w:val="0"/>
          <w:numId w:val="25"/>
        </w:numPr>
        <w:tabs>
          <w:tab w:val="left" w:pos="720" w:leader="none"/>
        </w:tabs>
        <w:spacing w:before="0" w:after="120"/>
        <w:ind w:left="0" w:firstLine="284"/>
        <w:jc w:val="both"/>
        <w:rPr>
          <w:highlight w:val="none"/>
          <w:shd w:fill="FFFFFF" w:val="clear"/>
        </w:rPr>
      </w:pPr>
      <w:r>
        <w:rPr>
          <w:sz w:val="24"/>
          <w:szCs w:val="24"/>
          <w:shd w:fill="FFFFFF" w:val="clear"/>
        </w:rPr>
        <w:t>Срок поставки Продукции: _______________________.</w:t>
      </w:r>
    </w:p>
    <w:p>
      <w:pPr>
        <w:pStyle w:val="Normal"/>
        <w:widowControl w:val="false"/>
        <w:numPr>
          <w:ilvl w:val="0"/>
          <w:numId w:val="26"/>
        </w:numPr>
        <w:tabs>
          <w:tab w:val="left" w:pos="720" w:leader="none"/>
        </w:tabs>
        <w:spacing w:before="0" w:after="120"/>
        <w:ind w:left="0" w:firstLine="284"/>
        <w:jc w:val="both"/>
        <w:rPr>
          <w:highlight w:val="none"/>
          <w:shd w:fill="FFFFFF" w:val="clear"/>
        </w:rPr>
      </w:pPr>
      <w:r>
        <w:rPr>
          <w:sz w:val="24"/>
          <w:szCs w:val="24"/>
          <w:shd w:fill="FFFFFF" w:val="clear"/>
        </w:rPr>
        <w:t>Иные условия, предусмотренные техническими требованиями:_________________.</w:t>
      </w:r>
    </w:p>
    <w:p>
      <w:pPr>
        <w:pStyle w:val="BodyText"/>
        <w:spacing w:before="0" w:after="120"/>
        <w:ind w:firstLine="567"/>
        <w:rPr>
          <w:highlight w:val="none"/>
          <w:shd w:fill="FFFFFF" w:val="clear"/>
        </w:rPr>
      </w:pPr>
      <w:r>
        <w:rPr>
          <w:b/>
          <w:sz w:val="24"/>
          <w:szCs w:val="24"/>
          <w:shd w:fill="FFFFFF" w:val="clear"/>
        </w:rPr>
        <w:t>*</w:t>
      </w:r>
      <w:r>
        <w:rPr>
          <w:sz w:val="24"/>
          <w:szCs w:val="24"/>
          <w:shd w:fill="FFFFFF" w:val="clear"/>
        </w:rPr>
        <w:t xml:space="preserve"> По требованию Покупателя Поставщик обязан представить запрашиваемую информацию/документы, расчеты, обосновывающие стоимость доставки Продукции.</w:t>
      </w:r>
    </w:p>
    <w:p>
      <w:pPr>
        <w:pStyle w:val="Normal"/>
        <w:spacing w:before="0" w:after="120"/>
        <w:jc w:val="both"/>
        <w:rPr>
          <w:highlight w:val="none"/>
          <w:shd w:fill="FFFFFF" w:val="clear"/>
        </w:rPr>
      </w:pPr>
      <w:r>
        <w:rPr>
          <w:i/>
          <w:sz w:val="24"/>
          <w:szCs w:val="24"/>
          <w:shd w:fill="FFFFFF" w:val="clear"/>
        </w:rPr>
        <w:t>[В случае поставки Продукции (в том числе оборудования/материалов) комплектом, в спецификации необходимо «разбить» его на позиции.</w:t>
      </w:r>
    </w:p>
    <w:p>
      <w:pPr>
        <w:pStyle w:val="Normal"/>
        <w:spacing w:before="0" w:after="120"/>
        <w:jc w:val="both"/>
        <w:rPr>
          <w:highlight w:val="none"/>
          <w:shd w:fill="FFFFFF" w:val="clear"/>
        </w:rPr>
      </w:pPr>
      <w:r>
        <w:rPr>
          <w:i/>
          <w:sz w:val="24"/>
          <w:szCs w:val="24"/>
          <w:shd w:fill="FFFFFF" w:val="clear"/>
        </w:rPr>
        <w:t>В спецификацию при необходимости включаются требования к Продукции, таре/упаковке, перечень нормативных документов, которым должна соответствовать Продукция (ГОСТ,ТУ) и иные сведения, имеющие значение для Договора]</w:t>
      </w:r>
    </w:p>
    <w:p>
      <w:pPr>
        <w:pStyle w:val="Normal"/>
        <w:spacing w:before="0" w:after="120"/>
        <w:jc w:val="both"/>
        <w:rPr>
          <w:sz w:val="24"/>
          <w:szCs w:val="24"/>
          <w:highlight w:val="none"/>
          <w:shd w:fill="FFFFFF" w:val="clear"/>
        </w:rPr>
      </w:pPr>
      <w:r>
        <w:rPr>
          <w:sz w:val="24"/>
          <w:szCs w:val="24"/>
          <w:shd w:fill="FFFFFF" w:val="clear"/>
        </w:rPr>
      </w:r>
    </w:p>
    <w:tbl>
      <w:tblPr>
        <w:tblpPr w:bottomFromText="0" w:horzAnchor="margin" w:leftFromText="180" w:rightFromText="180" w:tblpX="0" w:tblpY="225" w:topFromText="0" w:vertAnchor="text"/>
        <w:tblW w:w="9571" w:type="dxa"/>
        <w:jc w:val="left"/>
        <w:tblInd w:w="108" w:type="dxa"/>
        <w:tblLayout w:type="fixed"/>
        <w:tblCellMar>
          <w:top w:w="0" w:type="dxa"/>
          <w:left w:w="108" w:type="dxa"/>
          <w:bottom w:w="0" w:type="dxa"/>
          <w:right w:w="108" w:type="dxa"/>
        </w:tblCellMar>
        <w:tblLook w:noVBand="0" w:val="01e0" w:noHBand="0" w:lastColumn="1" w:firstColumn="1" w:lastRow="1" w:firstRow="1"/>
      </w:tblPr>
      <w:tblGrid>
        <w:gridCol w:w="4785"/>
        <w:gridCol w:w="4785"/>
      </w:tblGrid>
      <w:tr>
        <w:trPr/>
        <w:tc>
          <w:tcPr>
            <w:tcW w:w="4785" w:type="dxa"/>
            <w:tcBorders/>
            <w:shd w:color="auto" w:fill="FFFFFF" w:themeFill="background1" w:val="clear"/>
          </w:tcPr>
          <w:p>
            <w:pPr>
              <w:pStyle w:val="Style18"/>
              <w:widowControl w:val="false"/>
              <w:spacing w:lineRule="auto" w:line="240" w:before="0" w:after="120"/>
              <w:ind w:firstLine="567"/>
              <w:jc w:val="left"/>
              <w:rPr>
                <w:highlight w:val="none"/>
                <w:shd w:fill="FFFFFF" w:val="clear"/>
              </w:rPr>
            </w:pPr>
            <w:r>
              <w:rPr>
                <w:rFonts w:ascii="Times New Roman" w:hAnsi="Times New Roman"/>
                <w:b/>
                <w:sz w:val="24"/>
                <w:szCs w:val="24"/>
                <w:u w:val="single"/>
                <w:shd w:fill="FFFFFF" w:val="clear"/>
                <w:lang w:val="ru-RU"/>
              </w:rPr>
              <w:t>Покупатель</w:t>
            </w:r>
            <w:r>
              <w:rPr>
                <w:rFonts w:ascii="Times New Roman" w:hAnsi="Times New Roman"/>
                <w:b/>
                <w:sz w:val="24"/>
                <w:szCs w:val="24"/>
                <w:u w:val="single"/>
                <w:shd w:fill="FFFFFF" w:val="clear"/>
              </w:rPr>
              <w:t>:</w:t>
            </w:r>
          </w:p>
          <w:p>
            <w:pPr>
              <w:pStyle w:val="Style18"/>
              <w:widowControl w:val="false"/>
              <w:spacing w:lineRule="auto" w:line="240" w:before="0" w:after="120"/>
              <w:ind w:firstLine="567"/>
              <w:jc w:val="left"/>
              <w:rPr>
                <w:rFonts w:ascii="Times New Roman" w:hAnsi="Times New Roman"/>
                <w:szCs w:val="24"/>
                <w:highlight w:val="none"/>
                <w:u w:val="single"/>
                <w:shd w:fill="FFFFFF" w:val="clear"/>
                <w:lang w:val="ru-RU"/>
              </w:rPr>
            </w:pPr>
            <w:r>
              <w:rPr>
                <w:rFonts w:ascii="Times New Roman" w:hAnsi="Times New Roman"/>
                <w:szCs w:val="24"/>
                <w:u w:val="single"/>
                <w:shd w:fill="FFFFFF" w:val="clear"/>
                <w:lang w:val="ru-RU"/>
              </w:rPr>
            </w:r>
          </w:p>
        </w:tc>
        <w:tc>
          <w:tcPr>
            <w:tcW w:w="4785" w:type="dxa"/>
            <w:tcBorders/>
            <w:shd w:color="auto" w:fill="FFFFFF" w:themeFill="background1" w:val="clear"/>
          </w:tcPr>
          <w:p>
            <w:pPr>
              <w:pStyle w:val="Style18"/>
              <w:widowControl w:val="false"/>
              <w:spacing w:lineRule="auto" w:line="240" w:before="0" w:after="120"/>
              <w:ind w:firstLine="567"/>
              <w:jc w:val="left"/>
              <w:rPr>
                <w:highlight w:val="none"/>
                <w:shd w:fill="FFFFFF" w:val="clear"/>
              </w:rPr>
            </w:pPr>
            <w:r>
              <w:rPr>
                <w:rFonts w:ascii="Times New Roman" w:hAnsi="Times New Roman"/>
                <w:b/>
                <w:sz w:val="24"/>
                <w:szCs w:val="24"/>
                <w:u w:val="single"/>
                <w:shd w:fill="FFFFFF" w:val="clear"/>
                <w:lang w:val="ru-RU"/>
              </w:rPr>
              <w:t>Поставщик</w:t>
            </w:r>
            <w:r>
              <w:rPr>
                <w:rFonts w:ascii="Times New Roman" w:hAnsi="Times New Roman"/>
                <w:b/>
                <w:sz w:val="24"/>
                <w:szCs w:val="24"/>
                <w:u w:val="single"/>
                <w:shd w:fill="FFFFFF" w:val="clear"/>
              </w:rPr>
              <w:t>:</w:t>
            </w:r>
          </w:p>
          <w:p>
            <w:pPr>
              <w:pStyle w:val="Style18"/>
              <w:widowControl w:val="false"/>
              <w:spacing w:lineRule="auto" w:line="240" w:before="0" w:after="120"/>
              <w:ind w:firstLine="567"/>
              <w:jc w:val="left"/>
              <w:rPr>
                <w:rFonts w:ascii="Times New Roman" w:hAnsi="Times New Roman"/>
                <w:szCs w:val="24"/>
                <w:highlight w:val="none"/>
                <w:u w:val="single"/>
                <w:shd w:fill="FFFFFF" w:val="clear"/>
                <w:lang w:val="ru-RU"/>
              </w:rPr>
            </w:pPr>
            <w:r>
              <w:rPr>
                <w:rFonts w:ascii="Times New Roman" w:hAnsi="Times New Roman"/>
                <w:szCs w:val="24"/>
                <w:u w:val="single"/>
                <w:shd w:fill="FFFFFF" w:val="clear"/>
                <w:lang w:val="ru-RU"/>
              </w:rPr>
            </w:r>
          </w:p>
        </w:tc>
      </w:tr>
      <w:tr>
        <w:trPr/>
        <w:tc>
          <w:tcPr>
            <w:tcW w:w="4785" w:type="dxa"/>
            <w:tcBorders/>
            <w:shd w:color="auto" w:fill="FFFFFF" w:themeFill="background1" w:val="clear"/>
          </w:tcPr>
          <w:p>
            <w:pPr>
              <w:pStyle w:val="Style18"/>
              <w:widowControl w:val="false"/>
              <w:spacing w:lineRule="auto" w:line="240" w:before="0" w:after="120"/>
              <w:ind w:firstLine="567"/>
              <w:jc w:val="left"/>
              <w:rPr>
                <w:highlight w:val="none"/>
                <w:shd w:fill="FFFFFF" w:val="clear"/>
              </w:rPr>
            </w:pPr>
            <w:r>
              <w:rPr>
                <w:rFonts w:ascii="Times New Roman" w:hAnsi="Times New Roman"/>
                <w:sz w:val="24"/>
                <w:szCs w:val="24"/>
                <w:shd w:fill="FFFFFF" w:val="clear"/>
                <w:lang w:val="ru-RU"/>
              </w:rPr>
              <w:t>_______________ / _____________ /</w:t>
            </w:r>
          </w:p>
          <w:p>
            <w:pPr>
              <w:pStyle w:val="Style18"/>
              <w:widowControl w:val="false"/>
              <w:spacing w:lineRule="auto" w:line="240" w:before="0" w:after="120"/>
              <w:ind w:firstLine="567"/>
              <w:jc w:val="left"/>
              <w:rPr>
                <w:highlight w:val="none"/>
                <w:shd w:fill="FFFFFF" w:val="clear"/>
              </w:rPr>
            </w:pPr>
            <w:r>
              <w:rPr>
                <w:rFonts w:ascii="Times New Roman" w:hAnsi="Times New Roman"/>
                <w:sz w:val="24"/>
                <w:szCs w:val="24"/>
                <w:shd w:fill="FFFFFF" w:val="clear"/>
                <w:lang w:val="ru-RU"/>
              </w:rPr>
              <w:t>м.п.</w:t>
            </w:r>
          </w:p>
        </w:tc>
        <w:tc>
          <w:tcPr>
            <w:tcW w:w="4785" w:type="dxa"/>
            <w:tcBorders/>
            <w:shd w:color="auto" w:fill="FFFFFF" w:themeFill="background1" w:val="clear"/>
          </w:tcPr>
          <w:p>
            <w:pPr>
              <w:pStyle w:val="Style18"/>
              <w:widowControl w:val="false"/>
              <w:spacing w:lineRule="auto" w:line="240" w:before="0" w:after="120"/>
              <w:ind w:firstLine="567"/>
              <w:jc w:val="left"/>
              <w:rPr>
                <w:highlight w:val="none"/>
                <w:shd w:fill="FFFFFF" w:val="clear"/>
              </w:rPr>
            </w:pPr>
            <w:r>
              <w:rPr>
                <w:rFonts w:ascii="Times New Roman" w:hAnsi="Times New Roman"/>
                <w:sz w:val="24"/>
                <w:szCs w:val="24"/>
                <w:shd w:fill="FFFFFF" w:val="clear"/>
                <w:lang w:val="ru-RU"/>
              </w:rPr>
              <w:t>_______________ / _____________ /</w:t>
            </w:r>
          </w:p>
          <w:p>
            <w:pPr>
              <w:pStyle w:val="Style18"/>
              <w:widowControl w:val="false"/>
              <w:spacing w:lineRule="auto" w:line="240" w:before="0" w:after="120"/>
              <w:ind w:firstLine="567"/>
              <w:jc w:val="left"/>
              <w:rPr>
                <w:highlight w:val="none"/>
                <w:shd w:fill="FFFFFF" w:val="clear"/>
              </w:rPr>
            </w:pPr>
            <w:r>
              <w:rPr>
                <w:rFonts w:ascii="Times New Roman" w:hAnsi="Times New Roman"/>
                <w:sz w:val="24"/>
                <w:szCs w:val="24"/>
                <w:shd w:fill="FFFFFF" w:val="clear"/>
                <w:lang w:val="ru-RU"/>
              </w:rPr>
              <w:t>м.п.</w:t>
            </w:r>
          </w:p>
        </w:tc>
      </w:tr>
    </w:tbl>
    <w:p>
      <w:pPr>
        <w:pStyle w:val="BodyText"/>
        <w:numPr>
          <w:ilvl w:val="0"/>
          <w:numId w:val="0"/>
        </w:numPr>
        <w:spacing w:before="0" w:after="120"/>
        <w:ind w:left="0" w:hanging="0"/>
        <w:outlineLvl w:val="0"/>
        <w:rPr>
          <w:b/>
          <w:bCs/>
          <w:sz w:val="24"/>
          <w:szCs w:val="24"/>
          <w:highlight w:val="none"/>
          <w:shd w:fill="FFFFFF" w:val="clear"/>
        </w:rPr>
      </w:pPr>
      <w:r>
        <w:rPr>
          <w:b/>
          <w:bCs/>
          <w:sz w:val="24"/>
          <w:szCs w:val="24"/>
          <w:shd w:fill="FFFFFF" w:val="clear"/>
        </w:rPr>
      </w:r>
    </w:p>
    <w:p>
      <w:pPr>
        <w:pStyle w:val="BodyText"/>
        <w:numPr>
          <w:ilvl w:val="0"/>
          <w:numId w:val="0"/>
        </w:numPr>
        <w:spacing w:before="0" w:after="120"/>
        <w:ind w:left="0" w:hanging="0"/>
        <w:outlineLvl w:val="0"/>
        <w:rPr>
          <w:b/>
          <w:bCs/>
          <w:sz w:val="24"/>
          <w:szCs w:val="24"/>
          <w:highlight w:val="none"/>
          <w:shd w:fill="FFFFFF" w:val="clear"/>
        </w:rPr>
      </w:pPr>
      <w:r>
        <w:rPr>
          <w:b/>
          <w:bCs/>
          <w:sz w:val="24"/>
          <w:szCs w:val="24"/>
          <w:shd w:fill="FFFFFF" w:val="clear"/>
        </w:rPr>
      </w:r>
    </w:p>
    <w:p>
      <w:pPr>
        <w:pStyle w:val="BodyText"/>
        <w:numPr>
          <w:ilvl w:val="0"/>
          <w:numId w:val="0"/>
        </w:numPr>
        <w:spacing w:before="0" w:after="120"/>
        <w:ind w:left="0" w:hanging="0"/>
        <w:outlineLvl w:val="0"/>
        <w:rPr>
          <w:b/>
          <w:bCs/>
          <w:sz w:val="24"/>
          <w:szCs w:val="24"/>
          <w:highlight w:val="none"/>
          <w:shd w:fill="FFFFFF" w:val="clear"/>
        </w:rPr>
      </w:pPr>
      <w:r>
        <w:rPr>
          <w:b/>
          <w:bCs/>
          <w:sz w:val="24"/>
          <w:szCs w:val="24"/>
          <w:shd w:fill="FFFFFF" w:val="clear"/>
        </w:rPr>
      </w:r>
    </w:p>
    <w:p>
      <w:pPr>
        <w:pStyle w:val="BodyText"/>
        <w:numPr>
          <w:ilvl w:val="0"/>
          <w:numId w:val="0"/>
        </w:numPr>
        <w:spacing w:before="0" w:after="120"/>
        <w:ind w:left="0" w:hanging="0"/>
        <w:outlineLvl w:val="0"/>
        <w:rPr>
          <w:b/>
          <w:bCs/>
          <w:sz w:val="24"/>
          <w:szCs w:val="24"/>
          <w:highlight w:val="none"/>
          <w:shd w:fill="FFFFFF" w:val="clear"/>
        </w:rPr>
      </w:pPr>
      <w:r>
        <w:rPr>
          <w:b/>
          <w:bCs/>
          <w:sz w:val="24"/>
          <w:szCs w:val="24"/>
          <w:shd w:fill="FFFFFF" w:val="clear"/>
        </w:rPr>
      </w:r>
    </w:p>
    <w:p>
      <w:pPr>
        <w:pStyle w:val="BodyText"/>
        <w:numPr>
          <w:ilvl w:val="0"/>
          <w:numId w:val="0"/>
        </w:numPr>
        <w:spacing w:before="0" w:after="120"/>
        <w:ind w:left="0" w:firstLine="567"/>
        <w:jc w:val="right"/>
        <w:outlineLvl w:val="0"/>
        <w:rPr>
          <w:highlight w:val="none"/>
          <w:shd w:fill="FFFFFF" w:val="clear"/>
        </w:rPr>
      </w:pPr>
      <w:r>
        <w:rPr>
          <w:b/>
          <w:bCs/>
          <w:sz w:val="24"/>
          <w:szCs w:val="24"/>
          <w:shd w:fill="FFFFFF" w:val="clear"/>
        </w:rPr>
        <w:t>Приложение № 2</w:t>
      </w:r>
    </w:p>
    <w:p>
      <w:pPr>
        <w:pStyle w:val="BodyText"/>
        <w:spacing w:before="0" w:after="120"/>
        <w:ind w:firstLine="567"/>
        <w:jc w:val="right"/>
        <w:rPr>
          <w:highlight w:val="none"/>
          <w:shd w:fill="FFFFFF" w:val="clear"/>
        </w:rPr>
      </w:pPr>
      <w:r>
        <w:rPr>
          <w:bCs/>
          <w:sz w:val="24"/>
          <w:szCs w:val="24"/>
          <w:shd w:fill="FFFFFF" w:val="clear"/>
        </w:rPr>
        <w:t xml:space="preserve">к договору поставки </w:t>
      </w:r>
    </w:p>
    <w:p>
      <w:pPr>
        <w:pStyle w:val="BodyText"/>
        <w:widowControl w:val="false"/>
        <w:jc w:val="right"/>
        <w:rPr>
          <w:highlight w:val="none"/>
          <w:shd w:fill="FFFFFF" w:val="clear"/>
        </w:rPr>
      </w:pPr>
      <w:r>
        <w:rPr>
          <w:bCs/>
          <w:sz w:val="24"/>
          <w:szCs w:val="24"/>
          <w:shd w:fill="FFFFFF" w:val="clear"/>
        </w:rPr>
        <w:t xml:space="preserve">№ </w:t>
      </w:r>
      <w:r>
        <w:rPr>
          <w:sz w:val="24"/>
          <w:shd w:fill="FFFFFF" w:val="clear"/>
        </w:rPr>
        <w:t xml:space="preserve">____________ </w:t>
      </w:r>
      <w:r>
        <w:rPr>
          <w:bCs/>
          <w:sz w:val="24"/>
          <w:szCs w:val="24"/>
          <w:shd w:fill="FFFFFF" w:val="clear"/>
        </w:rPr>
        <w:t>от «___» _________ 2023</w:t>
      </w:r>
    </w:p>
    <w:p>
      <w:pPr>
        <w:pStyle w:val="BodyText"/>
        <w:numPr>
          <w:ilvl w:val="0"/>
          <w:numId w:val="0"/>
        </w:numPr>
        <w:spacing w:before="0" w:after="120"/>
        <w:ind w:left="0" w:hanging="0"/>
        <w:outlineLvl w:val="0"/>
        <w:rPr>
          <w:b/>
          <w:bCs/>
          <w:sz w:val="24"/>
          <w:szCs w:val="24"/>
          <w:highlight w:val="none"/>
          <w:shd w:fill="FFFFFF" w:val="clear"/>
        </w:rPr>
      </w:pPr>
      <w:r>
        <w:rPr>
          <w:b/>
          <w:bCs/>
          <w:sz w:val="24"/>
          <w:szCs w:val="24"/>
          <w:shd w:fill="FFFFFF" w:val="clear"/>
        </w:rPr>
      </w:r>
    </w:p>
    <w:p>
      <w:pPr>
        <w:pStyle w:val="Normal"/>
        <w:widowControl w:val="false"/>
        <w:shd w:val="clear" w:color="auto" w:fill="FFFFFF"/>
        <w:tabs>
          <w:tab w:val="clear" w:pos="720"/>
          <w:tab w:val="left" w:pos="3054" w:leader="none"/>
        </w:tabs>
        <w:spacing w:before="0" w:after="120"/>
        <w:jc w:val="center"/>
        <w:rPr>
          <w:highlight w:val="none"/>
          <w:shd w:fill="FFFFFF" w:val="clear"/>
        </w:rPr>
      </w:pPr>
      <w:r>
        <w:rPr>
          <w:b/>
          <w:sz w:val="24"/>
          <w:szCs w:val="24"/>
          <w:shd w:fill="FFFFFF" w:val="clear"/>
        </w:rPr>
        <w:t>Финансовое обеспечение исполнения обязательств</w:t>
      </w:r>
    </w:p>
    <w:p>
      <w:pPr>
        <w:pStyle w:val="Normal"/>
        <w:spacing w:before="120" w:after="120"/>
        <w:ind w:firstLine="709"/>
        <w:jc w:val="both"/>
        <w:rPr>
          <w:highlight w:val="none"/>
          <w:shd w:fill="FFFFFF" w:val="clear"/>
        </w:rPr>
      </w:pPr>
      <w:r>
        <w:rPr>
          <w:bCs/>
          <w:sz w:val="24"/>
          <w:szCs w:val="24"/>
          <w:shd w:fill="FFFFFF" w:val="clear"/>
        </w:rPr>
        <w:t>Условия банковской гарантии возврата предварительной оплаты (аванса)</w:t>
      </w:r>
      <w:r>
        <w:rPr>
          <w:bCs/>
          <w:sz w:val="28"/>
          <w:szCs w:val="28"/>
          <w:shd w:fill="FFFFFF" w:val="clear"/>
        </w:rPr>
        <w:t xml:space="preserve"> </w:t>
      </w:r>
      <w:r>
        <w:rPr>
          <w:bCs/>
          <w:sz w:val="24"/>
          <w:szCs w:val="24"/>
          <w:shd w:fill="FFFFFF" w:val="clear"/>
        </w:rPr>
        <w:t>/надлежащего исполнения обязательств по Договору</w:t>
      </w:r>
    </w:p>
    <w:p>
      <w:pPr>
        <w:pStyle w:val="Normal"/>
        <w:tabs>
          <w:tab w:val="clear" w:pos="720"/>
          <w:tab w:val="left" w:pos="540" w:leader="none"/>
        </w:tabs>
        <w:spacing w:before="20" w:after="20"/>
        <w:ind w:firstLine="709"/>
        <w:jc w:val="both"/>
        <w:rPr>
          <w:highlight w:val="none"/>
          <w:shd w:fill="FFFFFF" w:val="clear"/>
        </w:rPr>
      </w:pPr>
      <w:r>
        <w:rPr>
          <w:bCs/>
          <w:sz w:val="24"/>
          <w:szCs w:val="24"/>
          <w:shd w:fill="FFFFFF" w:val="clear"/>
        </w:rPr>
        <w:t>Под банковской гарантией понимается гарантия согласованного Обществом Банка</w:t>
      </w:r>
      <w:r>
        <w:rPr>
          <w:sz w:val="24"/>
          <w:szCs w:val="24"/>
          <w:shd w:fill="FFFFFF" w:val="clear"/>
        </w:rPr>
        <w:t xml:space="preserve">, </w:t>
      </w:r>
      <w:r>
        <w:rPr>
          <w:bCs/>
          <w:sz w:val="24"/>
          <w:szCs w:val="24"/>
          <w:shd w:fill="FFFFFF" w:val="clear"/>
        </w:rPr>
        <w:t>которая будет регулироваться унифицированными правилами Международной торговой палаты – публикация МТП № 758 (ICC Uniform Rules for Demand Guarantees – ICC Publication № 758) в той мере, в какой указанные правила не противоречат императивным нормам законодательства Российской Федерации и следующим основным условиям</w:t>
      </w:r>
      <w:r>
        <w:rPr>
          <w:color w:val="000000"/>
          <w:sz w:val="24"/>
          <w:szCs w:val="24"/>
          <w:shd w:fill="FFFFFF" w:val="clear"/>
        </w:rPr>
        <w:t>:</w:t>
      </w:r>
    </w:p>
    <w:p>
      <w:pPr>
        <w:pStyle w:val="Normal"/>
        <w:numPr>
          <w:ilvl w:val="0"/>
          <w:numId w:val="15"/>
        </w:numPr>
        <w:tabs>
          <w:tab w:val="clear" w:pos="720"/>
          <w:tab w:val="left" w:pos="1134" w:leader="none"/>
        </w:tabs>
        <w:spacing w:before="20" w:after="20"/>
        <w:ind w:left="0" w:firstLine="709"/>
        <w:jc w:val="both"/>
        <w:rPr>
          <w:highlight w:val="none"/>
          <w:shd w:fill="FFFFFF" w:val="clear"/>
        </w:rPr>
      </w:pPr>
      <w:r>
        <w:rPr>
          <w:color w:val="000000"/>
          <w:sz w:val="24"/>
          <w:szCs w:val="24"/>
          <w:shd w:fill="FFFFFF" w:val="clear"/>
        </w:rPr>
        <w:t>банковская гарантия должна быть безотзывной и безусловной (гарантия по первому требованию);</w:t>
      </w:r>
    </w:p>
    <w:p>
      <w:pPr>
        <w:pStyle w:val="Normal"/>
        <w:numPr>
          <w:ilvl w:val="0"/>
          <w:numId w:val="15"/>
        </w:numPr>
        <w:tabs>
          <w:tab w:val="clear" w:pos="720"/>
          <w:tab w:val="left" w:pos="1134" w:leader="none"/>
        </w:tabs>
        <w:spacing w:before="20" w:after="20"/>
        <w:ind w:left="0" w:firstLine="709"/>
        <w:jc w:val="both"/>
        <w:rPr>
          <w:highlight w:val="none"/>
          <w:shd w:fill="FFFFFF" w:val="clear"/>
        </w:rPr>
      </w:pPr>
      <w:r>
        <w:rPr>
          <w:color w:val="000000"/>
          <w:sz w:val="24"/>
          <w:szCs w:val="24"/>
          <w:shd w:fill="FFFFFF" w:val="clear"/>
        </w:rPr>
        <w:t>бенефициар по банковской гарантии - Покупатель, принципал – Поставщик;</w:t>
      </w:r>
    </w:p>
    <w:p>
      <w:pPr>
        <w:pStyle w:val="Normal"/>
        <w:numPr>
          <w:ilvl w:val="0"/>
          <w:numId w:val="15"/>
        </w:numPr>
        <w:tabs>
          <w:tab w:val="clear" w:pos="720"/>
          <w:tab w:val="left" w:pos="1134" w:leader="none"/>
        </w:tabs>
        <w:spacing w:before="20" w:after="20"/>
        <w:ind w:left="0" w:firstLine="709"/>
        <w:jc w:val="both"/>
        <w:rPr>
          <w:highlight w:val="none"/>
          <w:shd w:fill="FFFFFF" w:val="clear"/>
        </w:rPr>
      </w:pPr>
      <w:r>
        <w:rPr>
          <w:color w:val="000000"/>
          <w:sz w:val="24"/>
          <w:szCs w:val="24"/>
          <w:shd w:fill="FFFFFF" w:val="clear"/>
        </w:rPr>
        <w:t xml:space="preserve">сумма банковской гарантии выражена в валюте расчетов </w:t>
        <w:br/>
        <w:t>по Договору;</w:t>
      </w:r>
    </w:p>
    <w:p>
      <w:pPr>
        <w:pStyle w:val="Normal"/>
        <w:numPr>
          <w:ilvl w:val="0"/>
          <w:numId w:val="15"/>
        </w:numPr>
        <w:tabs>
          <w:tab w:val="clear" w:pos="720"/>
          <w:tab w:val="left" w:pos="1134" w:leader="none"/>
        </w:tabs>
        <w:spacing w:before="20" w:after="20"/>
        <w:ind w:left="0" w:firstLine="709"/>
        <w:jc w:val="both"/>
        <w:rPr>
          <w:highlight w:val="none"/>
          <w:shd w:fill="FFFFFF" w:val="clear"/>
        </w:rPr>
      </w:pPr>
      <w:r>
        <w:rPr>
          <w:color w:val="000000"/>
          <w:sz w:val="24"/>
          <w:szCs w:val="24"/>
          <w:shd w:fill="FFFFFF" w:val="clear"/>
        </w:rPr>
        <w:t xml:space="preserve">сумма банковской гарантии возврата авансового платежа – не менее 100 (ста) процентов от суммы уплачиваемого по Договору аванса </w:t>
        <w:br/>
        <w:t>(в совокупной сумме с учетом ранее выплаченных и неотработанных авансовых платежей);</w:t>
      </w:r>
    </w:p>
    <w:p>
      <w:pPr>
        <w:pStyle w:val="Normal"/>
        <w:numPr>
          <w:ilvl w:val="0"/>
          <w:numId w:val="15"/>
        </w:numPr>
        <w:tabs>
          <w:tab w:val="clear" w:pos="720"/>
          <w:tab w:val="left" w:pos="1134" w:leader="none"/>
        </w:tabs>
        <w:spacing w:before="20" w:after="20"/>
        <w:ind w:left="0" w:firstLine="709"/>
        <w:jc w:val="both"/>
        <w:rPr>
          <w:highlight w:val="none"/>
          <w:shd w:fill="FFFFFF" w:val="clear"/>
        </w:rPr>
      </w:pPr>
      <w:r>
        <w:rPr>
          <w:color w:val="000000"/>
          <w:sz w:val="24"/>
          <w:szCs w:val="24"/>
          <w:shd w:fill="FFFFFF" w:val="clear"/>
        </w:rPr>
        <w:t>сумма банковской гарантии надлежащего исполнения обязательств по Договору должна составлять не менее:</w:t>
      </w:r>
    </w:p>
    <w:p>
      <w:pPr>
        <w:pStyle w:val="Normal"/>
        <w:numPr>
          <w:ilvl w:val="0"/>
          <w:numId w:val="16"/>
        </w:numPr>
        <w:tabs>
          <w:tab w:val="clear" w:pos="720"/>
          <w:tab w:val="left" w:pos="1134" w:leader="none"/>
        </w:tabs>
        <w:spacing w:before="20" w:after="20"/>
        <w:ind w:left="0" w:firstLine="709"/>
        <w:jc w:val="both"/>
        <w:rPr>
          <w:highlight w:val="none"/>
          <w:shd w:fill="FFFFFF" w:val="clear"/>
        </w:rPr>
      </w:pPr>
      <w:r>
        <w:rPr>
          <w:color w:val="000000"/>
          <w:sz w:val="24"/>
          <w:szCs w:val="24"/>
          <w:shd w:fill="FFFFFF" w:val="clear"/>
        </w:rPr>
        <w:t>10 (десяти) процентов от цены Договора / объекта;</w:t>
      </w:r>
    </w:p>
    <w:p>
      <w:pPr>
        <w:pStyle w:val="Normal"/>
        <w:numPr>
          <w:ilvl w:val="0"/>
          <w:numId w:val="15"/>
        </w:numPr>
        <w:tabs>
          <w:tab w:val="clear" w:pos="720"/>
          <w:tab w:val="left" w:pos="1134" w:leader="none"/>
        </w:tabs>
        <w:spacing w:before="20" w:after="20"/>
        <w:ind w:left="0" w:firstLine="709"/>
        <w:jc w:val="both"/>
        <w:rPr>
          <w:highlight w:val="none"/>
          <w:shd w:fill="FFFFFF" w:val="clear"/>
        </w:rPr>
      </w:pPr>
      <w:r>
        <w:rPr>
          <w:color w:val="000000"/>
          <w:sz w:val="24"/>
          <w:szCs w:val="24"/>
          <w:shd w:fill="FFFFFF" w:val="clear"/>
        </w:rPr>
        <w:t>срок окончания банковской гарантии - не ранее 70 (семидесяти) календарных дней после наступления даты, в которую заканчивается срок исполнения обязательств по Договору в целом, предусмотренной Договором.</w:t>
      </w:r>
    </w:p>
    <w:p>
      <w:pPr>
        <w:pStyle w:val="Normal"/>
        <w:spacing w:before="20" w:after="20"/>
        <w:ind w:firstLine="709"/>
        <w:jc w:val="both"/>
        <w:rPr>
          <w:highlight w:val="none"/>
          <w:shd w:fill="FFFFFF" w:val="clear"/>
        </w:rPr>
      </w:pPr>
      <w:r>
        <w:rPr>
          <w:bCs/>
          <w:sz w:val="24"/>
          <w:szCs w:val="24"/>
          <w:shd w:fill="FFFFFF" w:val="clear"/>
        </w:rPr>
        <w:t xml:space="preserve">Банковская гарантия должна предусматривать, что для истребования суммы обеспечения Покупатель направляет Банку-гаранту только письменное требование о предъявлении суммы обеспечения к оплате, как полностью, так </w:t>
        <w:br/>
        <w:t xml:space="preserve">и частично, с указанием на существо допущенных Поставщиком нарушений, </w:t>
        <w:br/>
        <w:t>в том числе в случаях</w:t>
      </w:r>
      <w:r>
        <w:rPr>
          <w:sz w:val="24"/>
          <w:szCs w:val="24"/>
          <w:shd w:fill="FFFFFF" w:val="clear"/>
        </w:rPr>
        <w:t>:</w:t>
      </w:r>
    </w:p>
    <w:p>
      <w:pPr>
        <w:pStyle w:val="Normal"/>
        <w:numPr>
          <w:ilvl w:val="0"/>
          <w:numId w:val="14"/>
        </w:numPr>
        <w:tabs>
          <w:tab w:val="clear" w:pos="720"/>
          <w:tab w:val="left" w:pos="1134" w:leader="none"/>
        </w:tabs>
        <w:spacing w:before="20" w:after="20"/>
        <w:ind w:left="0" w:firstLine="709"/>
        <w:jc w:val="both"/>
        <w:rPr>
          <w:highlight w:val="none"/>
          <w:shd w:fill="FFFFFF" w:val="clear"/>
        </w:rPr>
      </w:pPr>
      <w:r>
        <w:rPr>
          <w:color w:val="000000"/>
          <w:sz w:val="24"/>
          <w:szCs w:val="24"/>
          <w:shd w:fill="FFFFFF" w:val="clear"/>
        </w:rPr>
        <w:t>отказа Поставщика от исполнения обязательств по Договору, в том числе одностороннего отказа от Договора;</w:t>
      </w:r>
    </w:p>
    <w:p>
      <w:pPr>
        <w:pStyle w:val="Normal"/>
        <w:numPr>
          <w:ilvl w:val="0"/>
          <w:numId w:val="14"/>
        </w:numPr>
        <w:tabs>
          <w:tab w:val="clear" w:pos="720"/>
          <w:tab w:val="left" w:pos="1134" w:leader="none"/>
        </w:tabs>
        <w:spacing w:before="20" w:after="20"/>
        <w:ind w:left="0" w:firstLine="709"/>
        <w:jc w:val="both"/>
        <w:rPr>
          <w:highlight w:val="none"/>
          <w:shd w:fill="FFFFFF" w:val="clear"/>
        </w:rPr>
      </w:pPr>
      <w:r>
        <w:rPr>
          <w:color w:val="000000"/>
          <w:sz w:val="24"/>
          <w:szCs w:val="24"/>
          <w:shd w:fill="FFFFFF" w:val="clear"/>
        </w:rPr>
        <w:t xml:space="preserve">отказа Поставщика от возврата неотработанного аванса </w:t>
        <w:br/>
        <w:t xml:space="preserve">при досрочном прекращении Договора/признании Договора недействительным; </w:t>
      </w:r>
    </w:p>
    <w:p>
      <w:pPr>
        <w:pStyle w:val="Normal"/>
        <w:numPr>
          <w:ilvl w:val="0"/>
          <w:numId w:val="14"/>
        </w:numPr>
        <w:tabs>
          <w:tab w:val="clear" w:pos="720"/>
          <w:tab w:val="left" w:pos="1134" w:leader="none"/>
        </w:tabs>
        <w:spacing w:before="20" w:after="20"/>
        <w:ind w:left="0" w:firstLine="709"/>
        <w:jc w:val="both"/>
        <w:rPr>
          <w:highlight w:val="none"/>
          <w:shd w:fill="FFFFFF" w:val="clear"/>
        </w:rPr>
      </w:pPr>
      <w:r>
        <w:rPr>
          <w:color w:val="000000"/>
          <w:sz w:val="24"/>
          <w:szCs w:val="24"/>
          <w:shd w:fill="FFFFFF" w:val="clear"/>
        </w:rPr>
        <w:t xml:space="preserve">нарушения Поставщиком сроков поставки, установленных Календарным графиком, более чем </w:t>
        <w:br/>
        <w:t>на 15 (пятнадцать) календарных дней;</w:t>
      </w:r>
    </w:p>
    <w:p>
      <w:pPr>
        <w:pStyle w:val="Normal"/>
        <w:numPr>
          <w:ilvl w:val="0"/>
          <w:numId w:val="14"/>
        </w:numPr>
        <w:tabs>
          <w:tab w:val="clear" w:pos="720"/>
          <w:tab w:val="left" w:pos="1134" w:leader="none"/>
        </w:tabs>
        <w:spacing w:before="20" w:after="20"/>
        <w:ind w:left="0" w:firstLine="709"/>
        <w:jc w:val="both"/>
        <w:rPr>
          <w:highlight w:val="none"/>
          <w:shd w:fill="FFFFFF" w:val="clear"/>
        </w:rPr>
      </w:pPr>
      <w:r>
        <w:rPr>
          <w:color w:val="000000"/>
          <w:sz w:val="24"/>
          <w:szCs w:val="24"/>
          <w:shd w:fill="FFFFFF" w:val="clear"/>
        </w:rPr>
        <w:t xml:space="preserve"> </w:t>
      </w:r>
      <w:r>
        <w:rPr>
          <w:color w:val="000000"/>
          <w:sz w:val="24"/>
          <w:szCs w:val="24"/>
          <w:shd w:fill="FFFFFF" w:val="clear"/>
        </w:rPr>
        <w:t>утраты Поставщиком специальных разрешений (в том числе отзыв, прекращение (приостановление) действие допусков, разрешений) и / или лицензий, предоставляющих Поставщику возможность надлежащего исполнения обязательств по Договору;</w:t>
      </w:r>
    </w:p>
    <w:p>
      <w:pPr>
        <w:pStyle w:val="Normal"/>
        <w:numPr>
          <w:ilvl w:val="0"/>
          <w:numId w:val="14"/>
        </w:numPr>
        <w:tabs>
          <w:tab w:val="clear" w:pos="720"/>
          <w:tab w:val="left" w:pos="1134" w:leader="none"/>
        </w:tabs>
        <w:spacing w:before="20" w:after="20"/>
        <w:ind w:left="0" w:firstLine="709"/>
        <w:jc w:val="both"/>
        <w:rPr>
          <w:highlight w:val="none"/>
          <w:shd w:fill="FFFFFF" w:val="clear"/>
        </w:rPr>
      </w:pPr>
      <w:r>
        <w:rPr>
          <w:color w:val="000000"/>
          <w:sz w:val="24"/>
          <w:szCs w:val="24"/>
          <w:shd w:fill="FFFFFF" w:val="clear"/>
        </w:rPr>
        <w:t xml:space="preserve">прекращения членства в СРО, основанной на членстве лиц, осуществляющих / выполняющих инженерные изыскания / подготовку проектной документации или осуществляющих строительство; </w:t>
      </w:r>
    </w:p>
    <w:p>
      <w:pPr>
        <w:pStyle w:val="Normal"/>
        <w:numPr>
          <w:ilvl w:val="0"/>
          <w:numId w:val="14"/>
        </w:numPr>
        <w:tabs>
          <w:tab w:val="clear" w:pos="720"/>
          <w:tab w:val="left" w:pos="1134" w:leader="none"/>
        </w:tabs>
        <w:spacing w:before="20" w:after="20"/>
        <w:ind w:left="0" w:firstLine="709"/>
        <w:jc w:val="both"/>
        <w:rPr>
          <w:highlight w:val="none"/>
          <w:shd w:fill="FFFFFF" w:val="clear"/>
        </w:rPr>
      </w:pPr>
      <w:r>
        <w:rPr>
          <w:color w:val="000000"/>
          <w:sz w:val="24"/>
          <w:szCs w:val="24"/>
          <w:shd w:fill="FFFFFF" w:val="clear"/>
        </w:rPr>
        <w:t>введения арбитражным судом процедуры несостоятельности (банкротства) в отношении Поставщика;</w:t>
      </w:r>
    </w:p>
    <w:p>
      <w:pPr>
        <w:pStyle w:val="Normal"/>
        <w:numPr>
          <w:ilvl w:val="0"/>
          <w:numId w:val="14"/>
        </w:numPr>
        <w:tabs>
          <w:tab w:val="clear" w:pos="720"/>
          <w:tab w:val="left" w:pos="1134" w:leader="none"/>
        </w:tabs>
        <w:spacing w:before="20" w:after="20"/>
        <w:ind w:left="0" w:firstLine="709"/>
        <w:jc w:val="both"/>
        <w:rPr>
          <w:highlight w:val="none"/>
          <w:shd w:fill="FFFFFF" w:val="clear"/>
        </w:rPr>
      </w:pPr>
      <w:r>
        <w:rPr>
          <w:color w:val="000000"/>
          <w:sz w:val="24"/>
          <w:szCs w:val="24"/>
          <w:shd w:fill="FFFFFF" w:val="clear"/>
        </w:rPr>
        <w:t xml:space="preserve">установления в ходе исполнения Договора фактов несоответствия Поставщика установленным документацией о закупке требованиям </w:t>
        <w:br/>
        <w:t xml:space="preserve">к участникам закупки и / или предоставления недостоверной информации </w:t>
        <w:br/>
        <w:t>о своем соответствии таким требованиям, а также недостоверности, неточности или неполноты заверений Поставщика об обстоятельствах, указанных в Договоре, и имеющих существенное значение для его заключения и исполнения;</w:t>
      </w:r>
    </w:p>
    <w:p>
      <w:pPr>
        <w:pStyle w:val="Normal"/>
        <w:numPr>
          <w:ilvl w:val="0"/>
          <w:numId w:val="14"/>
        </w:numPr>
        <w:tabs>
          <w:tab w:val="clear" w:pos="720"/>
          <w:tab w:val="left" w:pos="1134" w:leader="none"/>
        </w:tabs>
        <w:spacing w:before="20" w:after="20"/>
        <w:ind w:left="0" w:firstLine="709"/>
        <w:jc w:val="both"/>
        <w:rPr>
          <w:highlight w:val="none"/>
          <w:shd w:fill="FFFFFF" w:val="clear"/>
        </w:rPr>
      </w:pPr>
      <w:r>
        <w:rPr>
          <w:color w:val="000000"/>
          <w:sz w:val="24"/>
          <w:szCs w:val="24"/>
          <w:shd w:fill="FFFFFF" w:val="clear"/>
        </w:rPr>
        <w:t>признания Договора недействительным по причинам отсутствия необходимых</w:t>
      </w:r>
      <w:r>
        <w:rPr>
          <w:sz w:val="24"/>
          <w:szCs w:val="24"/>
          <w:shd w:fill="FFFFFF" w:val="clear"/>
        </w:rPr>
        <w:t xml:space="preserve"> корпоративных одобрений у </w:t>
      </w:r>
      <w:r>
        <w:rPr>
          <w:color w:val="000000"/>
          <w:sz w:val="24"/>
          <w:szCs w:val="24"/>
          <w:shd w:fill="FFFFFF" w:val="clear"/>
        </w:rPr>
        <w:t>Поставщика</w:t>
      </w:r>
      <w:r>
        <w:rPr>
          <w:sz w:val="24"/>
          <w:szCs w:val="24"/>
          <w:shd w:fill="FFFFFF" w:val="clear"/>
        </w:rPr>
        <w:t>;</w:t>
      </w:r>
    </w:p>
    <w:p>
      <w:pPr>
        <w:pStyle w:val="Normal"/>
        <w:numPr>
          <w:ilvl w:val="0"/>
          <w:numId w:val="14"/>
        </w:numPr>
        <w:tabs>
          <w:tab w:val="clear" w:pos="720"/>
          <w:tab w:val="left" w:pos="1134" w:leader="none"/>
        </w:tabs>
        <w:spacing w:before="20" w:after="20"/>
        <w:ind w:left="0" w:firstLine="709"/>
        <w:jc w:val="both"/>
        <w:rPr>
          <w:highlight w:val="none"/>
          <w:shd w:fill="FFFFFF" w:val="clear"/>
        </w:rPr>
      </w:pPr>
      <w:r>
        <w:rPr>
          <w:sz w:val="24"/>
          <w:szCs w:val="24"/>
          <w:shd w:fill="FFFFFF" w:val="clear"/>
        </w:rPr>
        <w:t xml:space="preserve">не предоставления </w:t>
      </w:r>
      <w:r>
        <w:rPr>
          <w:color w:val="000000"/>
          <w:sz w:val="24"/>
          <w:szCs w:val="24"/>
          <w:shd w:fill="FFFFFF" w:val="clear"/>
        </w:rPr>
        <w:t xml:space="preserve">Поставщиком </w:t>
      </w:r>
      <w:r>
        <w:rPr>
          <w:sz w:val="24"/>
          <w:szCs w:val="24"/>
          <w:shd w:fill="FFFFFF" w:val="clear"/>
        </w:rPr>
        <w:t xml:space="preserve">в срок не позднее чем </w:t>
        <w:br/>
        <w:t xml:space="preserve">за 30 (тридцать) календарных дней до даты истечения срока действия банковской гарантии новой банковской гарантии или изменения </w:t>
        <w:br/>
        <w:t xml:space="preserve">к действующей гарантии в части увеличения срока ее действия на новый период, в случаях если срок исполнения обязательств </w:t>
      </w:r>
      <w:r>
        <w:rPr>
          <w:color w:val="000000"/>
          <w:sz w:val="24"/>
          <w:szCs w:val="24"/>
          <w:shd w:fill="FFFFFF" w:val="clear"/>
        </w:rPr>
        <w:t>Поставщика</w:t>
      </w:r>
      <w:r>
        <w:rPr>
          <w:sz w:val="24"/>
          <w:szCs w:val="24"/>
          <w:shd w:fill="FFFFFF" w:val="clear"/>
        </w:rPr>
        <w:br/>
        <w:t>по Договору превышает срок действия банковской гарантии либо срок исполнения обязательств продлен.</w:t>
      </w:r>
    </w:p>
    <w:p>
      <w:pPr>
        <w:pStyle w:val="Normal"/>
        <w:spacing w:before="20" w:after="20"/>
        <w:ind w:firstLine="709"/>
        <w:jc w:val="both"/>
        <w:rPr>
          <w:highlight w:val="none"/>
          <w:shd w:fill="FFFFFF" w:val="clear"/>
        </w:rPr>
      </w:pPr>
      <w:r>
        <w:rPr>
          <w:color w:val="000000"/>
          <w:sz w:val="24"/>
          <w:szCs w:val="24"/>
          <w:shd w:fill="FFFFFF" w:val="clear"/>
        </w:rPr>
        <w:t>Вместе с требованием о предъявлении суммы обеспечения к оплате Покупатель направляет Банку-гаранту копию банковской гарантии.</w:t>
      </w:r>
    </w:p>
    <w:p>
      <w:pPr>
        <w:pStyle w:val="Normal"/>
        <w:spacing w:before="20" w:after="20"/>
        <w:ind w:firstLine="709"/>
        <w:jc w:val="both"/>
        <w:rPr>
          <w:highlight w:val="none"/>
          <w:shd w:fill="FFFFFF" w:val="clear"/>
        </w:rPr>
      </w:pPr>
      <w:r>
        <w:rPr>
          <w:bCs/>
          <w:sz w:val="24"/>
          <w:szCs w:val="24"/>
          <w:shd w:fill="FFFFFF" w:val="clear"/>
        </w:rPr>
        <w:t xml:space="preserve">Банковской гарантией возврата авансового платежа может быть предусмотрено условие о предоставлении вместе с требованием </w:t>
        <w:br/>
        <w:t>о предъявлении суммы обеспечения к оплате платежного поручения Покупателя, подтверждающего факт осуществления Покупателем авансового платежа, с отметкой банка об исполнении.</w:t>
      </w:r>
    </w:p>
    <w:p>
      <w:pPr>
        <w:pStyle w:val="Normal"/>
        <w:spacing w:before="20" w:after="20"/>
        <w:ind w:firstLine="709"/>
        <w:jc w:val="both"/>
        <w:rPr>
          <w:highlight w:val="none"/>
          <w:shd w:fill="FFFFFF" w:val="clear"/>
        </w:rPr>
      </w:pPr>
      <w:r>
        <w:rPr>
          <w:sz w:val="24"/>
          <w:szCs w:val="24"/>
          <w:shd w:fill="FFFFFF" w:val="clear"/>
        </w:rPr>
        <w:t xml:space="preserve">Платеж по банковской гарантии осуществляется Банком-гарантом </w:t>
        <w:br/>
        <w:t>в течение 10 (десяти) рабочих дней после обращения бенефициара (Покупателя).</w:t>
      </w:r>
    </w:p>
    <w:p>
      <w:pPr>
        <w:pStyle w:val="Normal"/>
        <w:spacing w:before="20" w:after="20"/>
        <w:ind w:firstLine="709"/>
        <w:jc w:val="both"/>
        <w:rPr>
          <w:highlight w:val="none"/>
          <w:shd w:fill="FFFFFF" w:val="clear"/>
        </w:rPr>
      </w:pPr>
      <w:r>
        <w:rPr>
          <w:sz w:val="24"/>
          <w:szCs w:val="24"/>
          <w:shd w:fill="FFFFFF" w:val="clear"/>
        </w:rPr>
        <w:t>Сумма банковской гарантии возврата авансового платежа по согласованию с Покупателем может быть уменьшена пропорционально сумме выполненных Поставщиком обязательств по Договору при условии подтверждения их выполнения.</w:t>
      </w:r>
    </w:p>
    <w:p>
      <w:pPr>
        <w:pStyle w:val="Normal"/>
        <w:spacing w:before="20" w:after="20"/>
        <w:ind w:firstLine="709"/>
        <w:jc w:val="both"/>
        <w:rPr>
          <w:highlight w:val="none"/>
          <w:shd w:fill="FFFFFF" w:val="clear"/>
        </w:rPr>
      </w:pPr>
      <w:r>
        <w:rPr>
          <w:sz w:val="24"/>
          <w:szCs w:val="24"/>
          <w:shd w:fill="FFFFFF" w:val="clear"/>
        </w:rPr>
        <w:t>Внесение изменений и дополнений в Договор в период срока действия банковской гарантии не освобождает Банк-гарант от обязательств перед бенефициаром по банковской гарантии.</w:t>
      </w:r>
    </w:p>
    <w:p>
      <w:pPr>
        <w:pStyle w:val="Normal"/>
        <w:ind w:firstLine="709"/>
        <w:jc w:val="both"/>
        <w:rPr>
          <w:highlight w:val="none"/>
          <w:shd w:fill="FFFFFF" w:val="clear"/>
        </w:rPr>
      </w:pPr>
      <w:r>
        <w:rPr>
          <w:sz w:val="24"/>
          <w:szCs w:val="24"/>
          <w:shd w:fill="FFFFFF" w:val="clear"/>
        </w:rPr>
        <w:t>Принадлежащее Покупателю по Гарантии право требования к Гаранту может быть передано новому бенефициару - компании, входящей в Группу РусГидро, с последующим письменным уведомлением Бенефициаром Гаранта о смене Бенефициара по Гарантии.</w:t>
      </w:r>
    </w:p>
    <w:p>
      <w:pPr>
        <w:pStyle w:val="Normal"/>
        <w:spacing w:before="20" w:after="20"/>
        <w:ind w:firstLine="709"/>
        <w:jc w:val="both"/>
        <w:rPr>
          <w:highlight w:val="none"/>
          <w:shd w:fill="FFFFFF" w:val="clear"/>
        </w:rPr>
      </w:pPr>
      <w:r>
        <w:rPr>
          <w:bCs/>
          <w:sz w:val="24"/>
          <w:szCs w:val="24"/>
          <w:shd w:fill="FFFFFF" w:val="clear"/>
        </w:rPr>
        <w:t xml:space="preserve">Банковская гарантия должна быть подчинена материальному праву Российской Федерации и предусматривать Арбитражный суд г. Москвы </w:t>
        <w:br/>
        <w:t>в качестве органа, компетентного разрешать споры из банковской гарантии.</w:t>
      </w:r>
    </w:p>
    <w:p>
      <w:pPr>
        <w:pStyle w:val="BodyText"/>
        <w:numPr>
          <w:ilvl w:val="0"/>
          <w:numId w:val="0"/>
        </w:numPr>
        <w:ind w:left="0" w:hanging="0"/>
        <w:outlineLvl w:val="0"/>
        <w:rPr>
          <w:highlight w:val="none"/>
          <w:shd w:fill="FFFFFF" w:val="clear"/>
        </w:rPr>
      </w:pPr>
      <w:r>
        <w:rPr>
          <w:sz w:val="24"/>
          <w:szCs w:val="24"/>
          <w:shd w:fill="FFFFFF" w:val="clear"/>
        </w:rPr>
        <w:t>Банковская гарантия не должна содержать условий или требований, противоречащих изложенному или делающих изложенное неисполнимым.</w:t>
      </w:r>
    </w:p>
    <w:tbl>
      <w:tblPr>
        <w:tblpPr w:bottomFromText="0" w:horzAnchor="margin" w:leftFromText="180" w:rightFromText="180" w:tblpX="0" w:tblpY="225" w:topFromText="0" w:vertAnchor="text"/>
        <w:tblW w:w="9571" w:type="dxa"/>
        <w:jc w:val="left"/>
        <w:tblInd w:w="108" w:type="dxa"/>
        <w:tblLayout w:type="fixed"/>
        <w:tblCellMar>
          <w:top w:w="0" w:type="dxa"/>
          <w:left w:w="108" w:type="dxa"/>
          <w:bottom w:w="0" w:type="dxa"/>
          <w:right w:w="108" w:type="dxa"/>
        </w:tblCellMar>
        <w:tblLook w:noVBand="0" w:val="01e0" w:noHBand="0" w:lastColumn="1" w:firstColumn="1" w:lastRow="1" w:firstRow="1"/>
      </w:tblPr>
      <w:tblGrid>
        <w:gridCol w:w="4785"/>
        <w:gridCol w:w="4785"/>
      </w:tblGrid>
      <w:tr>
        <w:trPr/>
        <w:tc>
          <w:tcPr>
            <w:tcW w:w="4785" w:type="dxa"/>
            <w:tcBorders/>
            <w:shd w:color="auto" w:fill="FFFFFF" w:themeFill="background1" w:val="clear"/>
          </w:tcPr>
          <w:p>
            <w:pPr>
              <w:pStyle w:val="Style18"/>
              <w:widowControl w:val="false"/>
              <w:spacing w:lineRule="auto" w:line="240" w:before="0" w:after="120"/>
              <w:ind w:firstLine="567"/>
              <w:jc w:val="left"/>
              <w:rPr>
                <w:highlight w:val="none"/>
                <w:shd w:fill="FFFFFF" w:val="clear"/>
              </w:rPr>
            </w:pPr>
            <w:r>
              <w:rPr>
                <w:rFonts w:ascii="Times New Roman" w:hAnsi="Times New Roman"/>
                <w:b/>
                <w:sz w:val="24"/>
                <w:szCs w:val="24"/>
                <w:u w:val="single"/>
                <w:shd w:fill="FFFFFF" w:val="clear"/>
                <w:lang w:val="ru-RU"/>
              </w:rPr>
              <w:t>Покупатель</w:t>
            </w:r>
            <w:r>
              <w:rPr>
                <w:rFonts w:ascii="Times New Roman" w:hAnsi="Times New Roman"/>
                <w:b/>
                <w:sz w:val="24"/>
                <w:szCs w:val="24"/>
                <w:u w:val="single"/>
                <w:shd w:fill="FFFFFF" w:val="clear"/>
              </w:rPr>
              <w:t>:</w:t>
            </w:r>
          </w:p>
        </w:tc>
        <w:tc>
          <w:tcPr>
            <w:tcW w:w="4785" w:type="dxa"/>
            <w:tcBorders/>
            <w:shd w:color="auto" w:fill="FFFFFF" w:themeFill="background1" w:val="clear"/>
          </w:tcPr>
          <w:p>
            <w:pPr>
              <w:pStyle w:val="Style18"/>
              <w:widowControl w:val="false"/>
              <w:spacing w:lineRule="auto" w:line="240" w:before="0" w:after="120"/>
              <w:ind w:firstLine="567"/>
              <w:jc w:val="left"/>
              <w:rPr>
                <w:highlight w:val="none"/>
                <w:shd w:fill="FFFFFF" w:val="clear"/>
              </w:rPr>
            </w:pPr>
            <w:r>
              <w:rPr>
                <w:rFonts w:ascii="Times New Roman" w:hAnsi="Times New Roman"/>
                <w:b/>
                <w:sz w:val="24"/>
                <w:szCs w:val="24"/>
                <w:u w:val="single"/>
                <w:shd w:fill="FFFFFF" w:val="clear"/>
                <w:lang w:val="ru-RU"/>
              </w:rPr>
              <w:t>Поставщик</w:t>
            </w:r>
            <w:r>
              <w:rPr>
                <w:rFonts w:ascii="Times New Roman" w:hAnsi="Times New Roman"/>
                <w:b/>
                <w:sz w:val="24"/>
                <w:szCs w:val="24"/>
                <w:u w:val="single"/>
                <w:shd w:fill="FFFFFF" w:val="clear"/>
              </w:rPr>
              <w:t>:</w:t>
            </w:r>
          </w:p>
          <w:p>
            <w:pPr>
              <w:pStyle w:val="Style18"/>
              <w:widowControl w:val="false"/>
              <w:spacing w:lineRule="auto" w:line="240" w:before="0" w:after="120"/>
              <w:ind w:firstLine="567"/>
              <w:jc w:val="left"/>
              <w:rPr>
                <w:rFonts w:ascii="Times New Roman" w:hAnsi="Times New Roman"/>
                <w:szCs w:val="24"/>
                <w:highlight w:val="none"/>
                <w:u w:val="single"/>
                <w:shd w:fill="FFFFFF" w:val="clear"/>
                <w:lang w:val="ru-RU"/>
              </w:rPr>
            </w:pPr>
            <w:r>
              <w:rPr>
                <w:rFonts w:ascii="Times New Roman" w:hAnsi="Times New Roman"/>
                <w:szCs w:val="24"/>
                <w:u w:val="single"/>
                <w:shd w:fill="FFFFFF" w:val="clear"/>
                <w:lang w:val="ru-RU"/>
              </w:rPr>
            </w:r>
          </w:p>
        </w:tc>
      </w:tr>
      <w:tr>
        <w:trPr/>
        <w:tc>
          <w:tcPr>
            <w:tcW w:w="4785" w:type="dxa"/>
            <w:tcBorders/>
            <w:shd w:color="auto" w:fill="FFFFFF" w:themeFill="background1" w:val="clear"/>
          </w:tcPr>
          <w:p>
            <w:pPr>
              <w:pStyle w:val="Style18"/>
              <w:widowControl w:val="false"/>
              <w:spacing w:lineRule="auto" w:line="240" w:before="0" w:after="120"/>
              <w:ind w:firstLine="567"/>
              <w:jc w:val="left"/>
              <w:rPr>
                <w:highlight w:val="none"/>
                <w:shd w:fill="FFFFFF" w:val="clear"/>
              </w:rPr>
            </w:pPr>
            <w:r>
              <w:rPr>
                <w:rFonts w:ascii="Times New Roman" w:hAnsi="Times New Roman"/>
                <w:sz w:val="24"/>
                <w:szCs w:val="24"/>
                <w:shd w:fill="FFFFFF" w:val="clear"/>
                <w:lang w:val="ru-RU"/>
              </w:rPr>
              <w:t>_______________ / _____________ /</w:t>
            </w:r>
          </w:p>
          <w:p>
            <w:pPr>
              <w:pStyle w:val="Style18"/>
              <w:widowControl w:val="false"/>
              <w:spacing w:lineRule="auto" w:line="240" w:before="0" w:after="120"/>
              <w:ind w:firstLine="567"/>
              <w:jc w:val="left"/>
              <w:rPr>
                <w:highlight w:val="none"/>
                <w:shd w:fill="FFFFFF" w:val="clear"/>
              </w:rPr>
            </w:pPr>
            <w:r>
              <w:rPr>
                <w:rFonts w:ascii="Times New Roman" w:hAnsi="Times New Roman"/>
                <w:sz w:val="24"/>
                <w:szCs w:val="24"/>
                <w:shd w:fill="FFFFFF" w:val="clear"/>
                <w:lang w:val="ru-RU"/>
              </w:rPr>
              <w:t>М.п.</w:t>
            </w:r>
          </w:p>
        </w:tc>
        <w:tc>
          <w:tcPr>
            <w:tcW w:w="4785" w:type="dxa"/>
            <w:tcBorders/>
            <w:shd w:color="auto" w:fill="FFFFFF" w:themeFill="background1" w:val="clear"/>
          </w:tcPr>
          <w:p>
            <w:pPr>
              <w:pStyle w:val="Style18"/>
              <w:widowControl w:val="false"/>
              <w:spacing w:lineRule="auto" w:line="240" w:before="0" w:after="120"/>
              <w:ind w:firstLine="567"/>
              <w:jc w:val="left"/>
              <w:rPr>
                <w:highlight w:val="none"/>
                <w:shd w:fill="FFFFFF" w:val="clear"/>
              </w:rPr>
            </w:pPr>
            <w:r>
              <w:rPr>
                <w:rFonts w:ascii="Times New Roman" w:hAnsi="Times New Roman"/>
                <w:sz w:val="24"/>
                <w:szCs w:val="24"/>
                <w:shd w:fill="FFFFFF" w:val="clear"/>
                <w:lang w:val="ru-RU"/>
              </w:rPr>
              <w:t>_______________ / _____________ /</w:t>
            </w:r>
          </w:p>
          <w:p>
            <w:pPr>
              <w:pStyle w:val="Style18"/>
              <w:widowControl w:val="false"/>
              <w:spacing w:lineRule="auto" w:line="240" w:before="0" w:after="120"/>
              <w:ind w:firstLine="567"/>
              <w:jc w:val="left"/>
              <w:rPr>
                <w:highlight w:val="none"/>
                <w:shd w:fill="FFFFFF" w:val="clear"/>
              </w:rPr>
            </w:pPr>
            <w:r>
              <w:rPr>
                <w:rFonts w:ascii="Times New Roman" w:hAnsi="Times New Roman"/>
                <w:sz w:val="24"/>
                <w:szCs w:val="24"/>
                <w:shd w:fill="FFFFFF" w:val="clear"/>
                <w:lang w:val="ru-RU"/>
              </w:rPr>
              <w:t>М.п.</w:t>
            </w:r>
          </w:p>
        </w:tc>
      </w:tr>
    </w:tbl>
    <w:p>
      <w:pPr>
        <w:pStyle w:val="BodyText"/>
        <w:numPr>
          <w:ilvl w:val="0"/>
          <w:numId w:val="0"/>
        </w:numPr>
        <w:spacing w:before="0" w:after="120"/>
        <w:ind w:left="0" w:hanging="0"/>
        <w:outlineLvl w:val="0"/>
        <w:rPr>
          <w:b/>
          <w:bCs/>
          <w:sz w:val="24"/>
          <w:szCs w:val="24"/>
          <w:highlight w:val="none"/>
          <w:shd w:fill="FFFFFF" w:val="clear"/>
        </w:rPr>
      </w:pPr>
      <w:r>
        <w:rPr>
          <w:b/>
          <w:bCs/>
          <w:sz w:val="24"/>
          <w:szCs w:val="24"/>
          <w:shd w:fill="FFFFFF" w:val="clear"/>
        </w:rPr>
      </w:r>
    </w:p>
    <w:p>
      <w:pPr>
        <w:pStyle w:val="BodyText"/>
        <w:numPr>
          <w:ilvl w:val="0"/>
          <w:numId w:val="0"/>
        </w:numPr>
        <w:spacing w:before="0" w:after="120"/>
        <w:ind w:left="0" w:hanging="0"/>
        <w:outlineLvl w:val="0"/>
        <w:rPr>
          <w:b/>
          <w:bCs/>
          <w:sz w:val="24"/>
          <w:szCs w:val="24"/>
          <w:highlight w:val="none"/>
          <w:shd w:fill="FFFFFF" w:val="clear"/>
        </w:rPr>
      </w:pPr>
      <w:r>
        <w:rPr>
          <w:b/>
          <w:bCs/>
          <w:sz w:val="24"/>
          <w:szCs w:val="24"/>
          <w:shd w:fill="FFFFFF" w:val="clear"/>
        </w:rPr>
      </w:r>
    </w:p>
    <w:p>
      <w:pPr>
        <w:pStyle w:val="BodyText"/>
        <w:numPr>
          <w:ilvl w:val="0"/>
          <w:numId w:val="0"/>
        </w:numPr>
        <w:spacing w:before="0" w:after="120"/>
        <w:ind w:left="0" w:firstLine="567"/>
        <w:jc w:val="right"/>
        <w:outlineLvl w:val="0"/>
        <w:rPr>
          <w:highlight w:val="none"/>
          <w:shd w:fill="FFFFFF" w:val="clear"/>
        </w:rPr>
      </w:pPr>
      <w:r>
        <w:rPr>
          <w:shd w:fill="FFFFFF" w:val="clear"/>
        </w:rPr>
      </w:r>
    </w:p>
    <w:sectPr>
      <w:headerReference w:type="default" r:id="rId12"/>
      <w:headerReference w:type="first" r:id="rId13"/>
      <w:footerReference w:type="even" r:id="rId14"/>
      <w:footerReference w:type="default" r:id="rId15"/>
      <w:footerReference w:type="first" r:id="rId16"/>
      <w:footnotePr>
        <w:numFmt w:val="decimal"/>
      </w:footnotePr>
      <w:type w:val="nextPage"/>
      <w:pgSz w:w="11906" w:h="16838"/>
      <w:pgMar w:left="1134" w:right="1416" w:gutter="0" w:header="720" w:top="1134" w:footer="720" w:bottom="1134"/>
      <w:pgNumType w:fmt="decimal"/>
      <w:formProt w:val="false"/>
      <w:textDirection w:val="lrTb"/>
      <w:docGrid w:type="default" w:linePitch="100" w:charSpace="8192"/>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variable"/>
  </w:font>
  <w:font w:name="Tahoma">
    <w:charset w:val="01"/>
    <w:family w:val="roman"/>
    <w:pitch w:val="variable"/>
  </w:font>
  <w:font w:name="Liberation Sans">
    <w:altName w:val="Arial"/>
    <w:charset w:val="01"/>
    <w:family w:val="roman"/>
    <w:pitch w:val="variable"/>
  </w:font>
  <w:font w:name="Courier New">
    <w:charset w:val="01"/>
    <w:family w:val="roman"/>
    <w:pitch w:val="variable"/>
  </w:font>
  <w:font w:name="Verdana">
    <w:charset w:val="01"/>
    <w:family w:val="roman"/>
    <w:pitch w:val="variable"/>
  </w:font>
  <w:font w:name="Arial">
    <w:charset w:val="01"/>
    <w:family w:val="roman"/>
    <w:pitch w:val="variable"/>
  </w:font>
  <w:font w:name="Symbol">
    <w:charset w:val="02"/>
    <w:family w:val="auto"/>
    <w:pitch w:val="default"/>
  </w:font>
  <w:font w:name="Courier New">
    <w:charset w:val="01"/>
    <w:family w:val="modern"/>
    <w:pitch w:val="fixed"/>
  </w:font>
  <w:font w:name="Wingdings">
    <w:charset w:val="02"/>
    <w:family w:val="auto"/>
    <w:pitch w:val="default"/>
  </w:font>
  <w:font w:name="Tahoma">
    <w:charset w:val="01"/>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right="360" w:hanging="0"/>
      <w:rPr/>
    </w:pPr>
    <w:r>
      <w:rPr/>
      <mc:AlternateContent>
        <mc:Choice Requires="wps">
          <w:drawing>
            <wp:anchor behindDoc="1" distT="0" distB="0" distL="0" distR="0" simplePos="0" locked="0" layoutInCell="0" allowOverlap="1" relativeHeight="3">
              <wp:simplePos x="0" y="0"/>
              <wp:positionH relativeFrom="margin">
                <wp:align>right</wp:align>
              </wp:positionH>
              <wp:positionV relativeFrom="paragraph">
                <wp:posOffset>635</wp:posOffset>
              </wp:positionV>
              <wp:extent cx="14605" cy="14605"/>
              <wp:effectExtent l="0" t="0" r="0" b="0"/>
              <wp:wrapSquare wrapText="bothSides"/>
              <wp:docPr id="1" name="Врезка1"/>
              <a:graphic xmlns:a="http://schemas.openxmlformats.org/drawingml/2006/main">
                <a:graphicData uri="http://schemas.microsoft.com/office/word/2010/wordprocessingShape">
                  <wps:wsp>
                    <wps:cNvSpPr/>
                    <wps:spPr>
                      <a:xfrm>
                        <a:off x="0" y="0"/>
                        <a:ext cx="14760" cy="14760"/>
                      </a:xfrm>
                      <a:prstGeom prst="rect">
                        <a:avLst/>
                      </a:prstGeom>
                      <a:noFill/>
                      <a:ln w="0">
                        <a:noFill/>
                      </a:ln>
                    </wps:spPr>
                    <wps:style>
                      <a:lnRef idx="0"/>
                      <a:fillRef idx="0"/>
                      <a:effectRef idx="0"/>
                      <a:fontRef idx="minor"/>
                    </wps:style>
                    <wps:txb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0</w:t>
                          </w:r>
                          <w:r>
                            <w:rPr>
                              <w:rStyle w:val="Pagenumber"/>
                              <w:color w:val="000000"/>
                            </w:rPr>
                            <w:fldChar w:fldCharType="end"/>
                          </w:r>
                        </w:p>
                      </w:txbxContent>
                    </wps:txbx>
                    <wps:bodyPr lIns="0" rIns="0" tIns="0" bIns="0" anchor="t">
                      <a:spAutoFit/>
                    </wps:bodyPr>
                  </wps:wsp>
                </a:graphicData>
              </a:graphic>
            </wp:anchor>
          </w:drawing>
        </mc:Choice>
        <mc:Fallback>
          <w:pict>
            <v:rect id="shape_0" ID="Врезка1" path="m0,0l-2147483645,0l-2147483645,-2147483646l0,-2147483646xe" stroked="f" o:allowincell="f" style="position:absolute;margin-left:0pt;margin-top:0.05pt;width:1.1pt;height:1.1pt;mso-wrap-style:square;v-text-anchor:top;mso-position-horizontal:right;mso-position-horizontal-relative:margin">
              <v:fill o:detectmouseclick="t" on="false"/>
              <v:stroke color="#3465a4" joinstyle="round" endcap="flat"/>
              <v:textbo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0</w:t>
                    </w:r>
                    <w:r>
                      <w:rPr>
                        <w:rStyle w:val="Pagenumber"/>
                        <w:color w:val="000000"/>
                      </w:rPr>
                      <w:fldChar w:fldCharType="end"/>
                    </w:r>
                  </w:p>
                </w:txbxContent>
              </v:textbox>
              <w10:wrap type="square"/>
            </v:rect>
          </w:pict>
        </mc:Fallback>
      </mc:AlternateConten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right="360" w:hanging="0"/>
      <w:rPr/>
    </w:pPr>
    <w:r>
      <w:rPr/>
      <mc:AlternateContent>
        <mc:Choice Requires="wps">
          <w:drawing>
            <wp:anchor behindDoc="1" distT="0" distB="0" distL="0" distR="0" simplePos="0" locked="0" layoutInCell="0" allowOverlap="1" relativeHeight="39">
              <wp:simplePos x="0" y="0"/>
              <wp:positionH relativeFrom="margin">
                <wp:align>right</wp:align>
              </wp:positionH>
              <wp:positionV relativeFrom="paragraph">
                <wp:posOffset>635</wp:posOffset>
              </wp:positionV>
              <wp:extent cx="127635" cy="145415"/>
              <wp:effectExtent l="0" t="0" r="0" b="0"/>
              <wp:wrapSquare wrapText="bothSides"/>
              <wp:docPr id="3" name="Врезка2"/>
              <a:graphic xmlns:a="http://schemas.openxmlformats.org/drawingml/2006/main">
                <a:graphicData uri="http://schemas.microsoft.com/office/word/2010/wordprocessingShape">
                  <wps:wsp>
                    <wps:cNvSpPr/>
                    <wps:spPr>
                      <a:xfrm>
                        <a:off x="0" y="0"/>
                        <a:ext cx="127800" cy="145440"/>
                      </a:xfrm>
                      <a:prstGeom prst="rect">
                        <a:avLst/>
                      </a:prstGeom>
                      <a:noFill/>
                      <a:ln w="0">
                        <a:noFill/>
                      </a:ln>
                    </wps:spPr>
                    <wps:style>
                      <a:lnRef idx="0"/>
                      <a:fillRef idx="0"/>
                      <a:effectRef idx="0"/>
                      <a:fontRef idx="minor"/>
                    </wps:style>
                    <wps:txb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18</w:t>
                          </w:r>
                          <w:r>
                            <w:rPr>
                              <w:rStyle w:val="Pagenumber"/>
                              <w:color w:val="000000"/>
                            </w:rPr>
                            <w:fldChar w:fldCharType="end"/>
                          </w:r>
                        </w:p>
                      </w:txbxContent>
                    </wps:txbx>
                    <wps:bodyPr lIns="0" rIns="0" tIns="0" bIns="0" anchor="t">
                      <a:spAutoFit/>
                    </wps:bodyPr>
                  </wps:wsp>
                </a:graphicData>
              </a:graphic>
            </wp:anchor>
          </w:drawing>
        </mc:Choice>
        <mc:Fallback>
          <w:pict>
            <v:rect id="shape_0" ID="Врезка2" path="m0,0l-2147483645,0l-2147483645,-2147483646l0,-2147483646xe" stroked="f" o:allowincell="f" style="position:absolute;margin-left:457.65pt;margin-top:0.05pt;width:10pt;height:11.4pt;mso-wrap-style:square;v-text-anchor:top;mso-position-horizontal:right;mso-position-horizontal-relative:margin">
              <v:fill o:detectmouseclick="t" on="false"/>
              <v:stroke color="#3465a4" joinstyle="round" endcap="flat"/>
              <v:textbo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18</w:t>
                    </w:r>
                    <w:r>
                      <w:rPr>
                        <w:rStyle w:val="Pagenumber"/>
                        <w:color w:val="000000"/>
                      </w:rPr>
                      <w:fldChar w:fldCharType="end"/>
                    </w:r>
                  </w:p>
                </w:txbxContent>
              </v:textbox>
              <w10:wrap type="square"/>
            </v:rect>
          </w:pict>
        </mc:Fallback>
      </mc:AlternateConten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right="360" w:hanging="0"/>
      <w:rPr/>
    </w:pPr>
    <w:r>
      <w:rPr/>
      <mc:AlternateContent>
        <mc:Choice Requires="wps">
          <w:drawing>
            <wp:anchor behindDoc="1" distT="0" distB="0" distL="0" distR="0" simplePos="0" locked="0" layoutInCell="0" allowOverlap="1" relativeHeight="39">
              <wp:simplePos x="0" y="0"/>
              <wp:positionH relativeFrom="margin">
                <wp:align>right</wp:align>
              </wp:positionH>
              <wp:positionV relativeFrom="paragraph">
                <wp:posOffset>635</wp:posOffset>
              </wp:positionV>
              <wp:extent cx="127635" cy="145415"/>
              <wp:effectExtent l="0" t="0" r="0" b="0"/>
              <wp:wrapSquare wrapText="bothSides"/>
              <wp:docPr id="5" name="Врезка2"/>
              <a:graphic xmlns:a="http://schemas.openxmlformats.org/drawingml/2006/main">
                <a:graphicData uri="http://schemas.microsoft.com/office/word/2010/wordprocessingShape">
                  <wps:wsp>
                    <wps:cNvSpPr/>
                    <wps:spPr>
                      <a:xfrm>
                        <a:off x="0" y="0"/>
                        <a:ext cx="127800" cy="145440"/>
                      </a:xfrm>
                      <a:prstGeom prst="rect">
                        <a:avLst/>
                      </a:prstGeom>
                      <a:noFill/>
                      <a:ln w="0">
                        <a:noFill/>
                      </a:ln>
                    </wps:spPr>
                    <wps:style>
                      <a:lnRef idx="0"/>
                      <a:fillRef idx="0"/>
                      <a:effectRef idx="0"/>
                      <a:fontRef idx="minor"/>
                    </wps:style>
                    <wps:txb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18</w:t>
                          </w:r>
                          <w:r>
                            <w:rPr>
                              <w:rStyle w:val="Pagenumber"/>
                              <w:color w:val="000000"/>
                            </w:rPr>
                            <w:fldChar w:fldCharType="end"/>
                          </w:r>
                        </w:p>
                      </w:txbxContent>
                    </wps:txbx>
                    <wps:bodyPr lIns="0" rIns="0" tIns="0" bIns="0" anchor="t">
                      <a:spAutoFit/>
                    </wps:bodyPr>
                  </wps:wsp>
                </a:graphicData>
              </a:graphic>
            </wp:anchor>
          </w:drawing>
        </mc:Choice>
        <mc:Fallback>
          <w:pict>
            <v:rect id="shape_0" ID="Врезка2" path="m0,0l-2147483645,0l-2147483645,-2147483646l0,-2147483646xe" stroked="f" o:allowincell="f" style="position:absolute;margin-left:457.65pt;margin-top:0.05pt;width:10pt;height:11.4pt;mso-wrap-style:square;v-text-anchor:top;mso-position-horizontal:right;mso-position-horizontal-relative:margin">
              <v:fill o:detectmouseclick="t" on="false"/>
              <v:stroke color="#3465a4" joinstyle="round" endcap="flat"/>
              <v:textbo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18</w:t>
                    </w:r>
                    <w:r>
                      <w:rPr>
                        <w:rStyle w:val="Pagenumber"/>
                        <w:color w:val="000000"/>
                      </w:rPr>
                      <w:fldChar w:fldCharType="end"/>
                    </w:r>
                  </w:p>
                </w:txbxContent>
              </v:textbox>
              <w10:wrap type="square"/>
            </v:rect>
          </w:pict>
        </mc:Fallback>
      </mc:AlternateConten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right="360" w:hanging="0"/>
      <w:rPr/>
    </w:pPr>
    <w:r>
      <w:rPr/>
      <mc:AlternateContent>
        <mc:Choice Requires="wps">
          <w:drawing>
            <wp:anchor behindDoc="1" distT="0" distB="0" distL="0" distR="0" simplePos="0" locked="0" layoutInCell="0" allowOverlap="1" relativeHeight="2">
              <wp:simplePos x="0" y="0"/>
              <wp:positionH relativeFrom="margin">
                <wp:align>right</wp:align>
              </wp:positionH>
              <wp:positionV relativeFrom="paragraph">
                <wp:posOffset>635</wp:posOffset>
              </wp:positionV>
              <wp:extent cx="14605" cy="14605"/>
              <wp:effectExtent l="0" t="0" r="0" b="0"/>
              <wp:wrapSquare wrapText="bothSides"/>
              <wp:docPr id="7" name="Врезка3"/>
              <a:graphic xmlns:a="http://schemas.openxmlformats.org/drawingml/2006/main">
                <a:graphicData uri="http://schemas.microsoft.com/office/word/2010/wordprocessingShape">
                  <wps:wsp>
                    <wps:cNvSpPr/>
                    <wps:spPr>
                      <a:xfrm>
                        <a:off x="0" y="0"/>
                        <a:ext cx="14760" cy="14760"/>
                      </a:xfrm>
                      <a:prstGeom prst="rect">
                        <a:avLst/>
                      </a:prstGeom>
                      <a:noFill/>
                      <a:ln w="0">
                        <a:noFill/>
                      </a:ln>
                    </wps:spPr>
                    <wps:style>
                      <a:lnRef idx="0"/>
                      <a:fillRef idx="0"/>
                      <a:effectRef idx="0"/>
                      <a:fontRef idx="minor"/>
                    </wps:style>
                    <wps:txb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0</w:t>
                          </w:r>
                          <w:r>
                            <w:rPr>
                              <w:rStyle w:val="Pagenumber"/>
                              <w:color w:val="000000"/>
                            </w:rPr>
                            <w:fldChar w:fldCharType="end"/>
                          </w:r>
                        </w:p>
                      </w:txbxContent>
                    </wps:txbx>
                    <wps:bodyPr lIns="0" rIns="0" tIns="0" bIns="0" anchor="t">
                      <a:spAutoFit/>
                    </wps:bodyPr>
                  </wps:wsp>
                </a:graphicData>
              </a:graphic>
            </wp:anchor>
          </w:drawing>
        </mc:Choice>
        <mc:Fallback>
          <w:pict>
            <v:rect id="shape_0" ID="Врезка3" path="m0,0l-2147483645,0l-2147483645,-2147483646l0,-2147483646xe" stroked="f" o:allowincell="f" style="position:absolute;margin-left:0pt;margin-top:0.05pt;width:1.1pt;height:1.1pt;mso-wrap-style:square;v-text-anchor:top;mso-position-horizontal:right;mso-position-horizontal-relative:margin">
              <v:fill o:detectmouseclick="t" on="false"/>
              <v:stroke color="#3465a4" joinstyle="round" endcap="flat"/>
              <v:textbo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0</w:t>
                    </w:r>
                    <w:r>
                      <w:rPr>
                        <w:rStyle w:val="Pagenumber"/>
                        <w:color w:val="000000"/>
                      </w:rPr>
                      <w:fldChar w:fldCharType="end"/>
                    </w:r>
                  </w:p>
                </w:txbxContent>
              </v:textbox>
              <w10:wrap type="square"/>
            </v:rect>
          </w:pict>
        </mc:Fallback>
      </mc:AlternateConten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right="360" w:hanging="0"/>
      <w:rPr/>
    </w:pPr>
    <w:r>
      <w:rPr/>
      <mc:AlternateContent>
        <mc:Choice Requires="wps">
          <w:drawing>
            <wp:anchor behindDoc="1" distT="0" distB="0" distL="0" distR="0" simplePos="0" locked="0" layoutInCell="0" allowOverlap="1" relativeHeight="46">
              <wp:simplePos x="0" y="0"/>
              <wp:positionH relativeFrom="margin">
                <wp:align>right</wp:align>
              </wp:positionH>
              <wp:positionV relativeFrom="paragraph">
                <wp:posOffset>635</wp:posOffset>
              </wp:positionV>
              <wp:extent cx="127635" cy="145415"/>
              <wp:effectExtent l="0" t="0" r="0" b="0"/>
              <wp:wrapSquare wrapText="bothSides"/>
              <wp:docPr id="9" name="Врезка4"/>
              <a:graphic xmlns:a="http://schemas.openxmlformats.org/drawingml/2006/main">
                <a:graphicData uri="http://schemas.microsoft.com/office/word/2010/wordprocessingShape">
                  <wps:wsp>
                    <wps:cNvSpPr/>
                    <wps:spPr>
                      <a:xfrm>
                        <a:off x="0" y="0"/>
                        <a:ext cx="127800" cy="145440"/>
                      </a:xfrm>
                      <a:prstGeom prst="rect">
                        <a:avLst/>
                      </a:prstGeom>
                      <a:noFill/>
                      <a:ln w="0">
                        <a:noFill/>
                      </a:ln>
                    </wps:spPr>
                    <wps:style>
                      <a:lnRef idx="0"/>
                      <a:fillRef idx="0"/>
                      <a:effectRef idx="0"/>
                      <a:fontRef idx="minor"/>
                    </wps:style>
                    <wps:txb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19</w:t>
                          </w:r>
                          <w:r>
                            <w:rPr>
                              <w:rStyle w:val="Pagenumber"/>
                              <w:color w:val="000000"/>
                            </w:rPr>
                            <w:fldChar w:fldCharType="end"/>
                          </w:r>
                        </w:p>
                      </w:txbxContent>
                    </wps:txbx>
                    <wps:bodyPr lIns="0" rIns="0" tIns="0" bIns="0" anchor="t">
                      <a:spAutoFit/>
                    </wps:bodyPr>
                  </wps:wsp>
                </a:graphicData>
              </a:graphic>
            </wp:anchor>
          </w:drawing>
        </mc:Choice>
        <mc:Fallback>
          <w:pict>
            <v:rect id="shape_0" ID="Врезка4" path="m0,0l-2147483645,0l-2147483645,-2147483646l0,-2147483646xe" stroked="f" o:allowincell="f" style="position:absolute;margin-left:457.65pt;margin-top:0.05pt;width:10pt;height:11.4pt;mso-wrap-style:square;v-text-anchor:top;mso-position-horizontal:right;mso-position-horizontal-relative:margin">
              <v:fill o:detectmouseclick="t" on="false"/>
              <v:stroke color="#3465a4" joinstyle="round" endcap="flat"/>
              <v:textbo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19</w:t>
                    </w:r>
                    <w:r>
                      <w:rPr>
                        <w:rStyle w:val="Pagenumber"/>
                        <w:color w:val="000000"/>
                      </w:rPr>
                      <w:fldChar w:fldCharType="end"/>
                    </w:r>
                  </w:p>
                </w:txbxContent>
              </v:textbox>
              <w10:wrap type="square"/>
            </v:rect>
          </w:pict>
        </mc:Fallback>
      </mc:AlternateConten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right="360" w:hanging="0"/>
      <w:rPr/>
    </w:pPr>
    <w:r>
      <w:rPr/>
      <mc:AlternateContent>
        <mc:Choice Requires="wps">
          <w:drawing>
            <wp:anchor behindDoc="1" distT="0" distB="0" distL="0" distR="0" simplePos="0" locked="0" layoutInCell="0" allowOverlap="1" relativeHeight="46">
              <wp:simplePos x="0" y="0"/>
              <wp:positionH relativeFrom="margin">
                <wp:align>right</wp:align>
              </wp:positionH>
              <wp:positionV relativeFrom="paragraph">
                <wp:posOffset>635</wp:posOffset>
              </wp:positionV>
              <wp:extent cx="127635" cy="145415"/>
              <wp:effectExtent l="0" t="0" r="0" b="0"/>
              <wp:wrapSquare wrapText="bothSides"/>
              <wp:docPr id="11" name="Врезка4"/>
              <a:graphic xmlns:a="http://schemas.openxmlformats.org/drawingml/2006/main">
                <a:graphicData uri="http://schemas.microsoft.com/office/word/2010/wordprocessingShape">
                  <wps:wsp>
                    <wps:cNvSpPr/>
                    <wps:spPr>
                      <a:xfrm>
                        <a:off x="0" y="0"/>
                        <a:ext cx="127800" cy="145440"/>
                      </a:xfrm>
                      <a:prstGeom prst="rect">
                        <a:avLst/>
                      </a:prstGeom>
                      <a:noFill/>
                      <a:ln w="0">
                        <a:noFill/>
                      </a:ln>
                    </wps:spPr>
                    <wps:style>
                      <a:lnRef idx="0"/>
                      <a:fillRef idx="0"/>
                      <a:effectRef idx="0"/>
                      <a:fontRef idx="minor"/>
                    </wps:style>
                    <wps:txb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19</w:t>
                          </w:r>
                          <w:r>
                            <w:rPr>
                              <w:rStyle w:val="Pagenumber"/>
                              <w:color w:val="000000"/>
                            </w:rPr>
                            <w:fldChar w:fldCharType="end"/>
                          </w:r>
                        </w:p>
                      </w:txbxContent>
                    </wps:txbx>
                    <wps:bodyPr lIns="0" rIns="0" tIns="0" bIns="0" anchor="t">
                      <a:spAutoFit/>
                    </wps:bodyPr>
                  </wps:wsp>
                </a:graphicData>
              </a:graphic>
            </wp:anchor>
          </w:drawing>
        </mc:Choice>
        <mc:Fallback>
          <w:pict>
            <v:rect id="shape_0" ID="Врезка4" path="m0,0l-2147483645,0l-2147483645,-2147483646l0,-2147483646xe" stroked="f" o:allowincell="f" style="position:absolute;margin-left:457.65pt;margin-top:0.05pt;width:10pt;height:11.4pt;mso-wrap-style:square;v-text-anchor:top;mso-position-horizontal:right;mso-position-horizontal-relative:margin">
              <v:fill o:detectmouseclick="t" on="false"/>
              <v:stroke color="#3465a4" joinstyle="round" endcap="flat"/>
              <v:textbo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19</w:t>
                    </w:r>
                    <w:r>
                      <w:rPr>
                        <w:rStyle w:val="Pagenumber"/>
                        <w:color w:val="000000"/>
                      </w:rPr>
                      <w:fldChar w:fldCharType="end"/>
                    </w:r>
                  </w:p>
                </w:txbxContent>
              </v:textbox>
              <w10:wrap type="square"/>
            </v:rect>
          </w:pict>
        </mc:Fallback>
      </mc:AlternateConten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FootnoteText"/>
        <w:jc w:val="both"/>
        <w:rPr/>
      </w:pPr>
      <w:r>
        <w:rPr>
          <w:rStyle w:val="Style9"/>
        </w:rPr>
        <w:footnoteRef/>
      </w:r>
      <w:r>
        <w:rPr>
          <w:highlight w:val="yellow"/>
        </w:rPr>
        <w:t xml:space="preserve"> </w:t>
      </w:r>
      <w:r>
        <w:rPr>
          <w:highlight w:val="yellow"/>
        </w:rPr>
        <w:t>Применяется в случае, если Контрагент является МСП, для закупок, участниками которых могут быть только МСП, а также в случае, если по результатам закупки среди любых участников победителем закупки признан МСП, при этом Общество попадает под действие постановления Правительства РФ от 11.12.2014 № 1352 «Об особенностях участия субъектов малого и среднего предпринимательства в закупках товаров, работ, услуг отдельными видами юридических лиц».</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right"/>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right"/>
      <w:rPr/>
    </w:pPr>
    <w:r>
      <w:rPr/>
    </w:r>
  </w:p>
  <w:p>
    <w:pPr>
      <w:pStyle w:val="Header"/>
      <w:jc w:val="right"/>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2"/>
      <w:numFmt w:val="decimal"/>
      <w:lvlText w:val="%1"/>
      <w:lvlJc w:val="left"/>
      <w:pPr>
        <w:tabs>
          <w:tab w:val="num" w:pos="360"/>
        </w:tabs>
        <w:ind w:left="360" w:hanging="360"/>
      </w:pPr>
      <w:rPr/>
    </w:lvl>
    <w:lvl w:ilvl="1">
      <w:start w:val="2"/>
      <w:numFmt w:val="decimal"/>
      <w:lvlText w:val="%1.%2"/>
      <w:lvlJc w:val="left"/>
      <w:pPr>
        <w:tabs>
          <w:tab w:val="num" w:pos="360"/>
        </w:tabs>
        <w:ind w:left="360" w:hanging="360"/>
      </w:pPr>
      <w:rPr/>
    </w:lvl>
    <w:lvl w:ilvl="2">
      <w:start w:val="1"/>
      <w:numFmt w:val="decimal"/>
      <w:lvlText w:val="%1.%2.%3"/>
      <w:lvlJc w:val="left"/>
      <w:pPr>
        <w:tabs>
          <w:tab w:val="num" w:pos="720"/>
        </w:tabs>
        <w:ind w:left="720" w:hanging="720"/>
      </w:pPr>
      <w:rPr/>
    </w:lvl>
    <w:lvl w:ilvl="3">
      <w:start w:val="1"/>
      <w:numFmt w:val="decimal"/>
      <w:lvlText w:val="%1.%2.%3.%4"/>
      <w:lvlJc w:val="left"/>
      <w:pPr>
        <w:tabs>
          <w:tab w:val="num" w:pos="720"/>
        </w:tabs>
        <w:ind w:left="720" w:hanging="720"/>
      </w:pPr>
      <w:rPr/>
    </w:lvl>
    <w:lvl w:ilvl="4">
      <w:start w:val="1"/>
      <w:numFmt w:val="decimal"/>
      <w:lvlText w:val="%1.%2.%3.%4.%5"/>
      <w:lvlJc w:val="left"/>
      <w:pPr>
        <w:tabs>
          <w:tab w:val="num" w:pos="720"/>
        </w:tabs>
        <w:ind w:left="720" w:hanging="720"/>
      </w:pPr>
      <w:rPr/>
    </w:lvl>
    <w:lvl w:ilvl="5">
      <w:start w:val="1"/>
      <w:numFmt w:val="decimal"/>
      <w:lvlText w:val="%1.%2.%3.%4.%5.%6"/>
      <w:lvlJc w:val="left"/>
      <w:pPr>
        <w:tabs>
          <w:tab w:val="num" w:pos="1080"/>
        </w:tabs>
        <w:ind w:left="1080" w:hanging="1080"/>
      </w:pPr>
      <w:rPr/>
    </w:lvl>
    <w:lvl w:ilvl="6">
      <w:start w:val="1"/>
      <w:numFmt w:val="decimal"/>
      <w:lvlText w:val="%1.%2.%3.%4.%5.%6.%7"/>
      <w:lvlJc w:val="left"/>
      <w:pPr>
        <w:tabs>
          <w:tab w:val="num" w:pos="1080"/>
        </w:tabs>
        <w:ind w:left="1080" w:hanging="1080"/>
      </w:pPr>
      <w:rPr/>
    </w:lvl>
    <w:lvl w:ilvl="7">
      <w:start w:val="1"/>
      <w:numFmt w:val="decimal"/>
      <w:lvlText w:val="%1.%2.%3.%4.%5.%6.%7.%8"/>
      <w:lvlJc w:val="left"/>
      <w:pPr>
        <w:tabs>
          <w:tab w:val="num" w:pos="1440"/>
        </w:tabs>
        <w:ind w:left="1440" w:hanging="1440"/>
      </w:pPr>
      <w:rPr/>
    </w:lvl>
    <w:lvl w:ilvl="8">
      <w:start w:val="1"/>
      <w:numFmt w:val="decimal"/>
      <w:lvlText w:val="%1.%2.%3.%4.%5.%6.%7.%8.%9"/>
      <w:lvlJc w:val="left"/>
      <w:pPr>
        <w:tabs>
          <w:tab w:val="num" w:pos="1440"/>
        </w:tabs>
        <w:ind w:left="1440" w:hanging="1440"/>
      </w:pPr>
      <w:rPr/>
    </w:lvl>
  </w:abstractNum>
  <w:abstractNum w:abstractNumId="2">
    <w:lvl w:ilvl="0">
      <w:start w:val="2"/>
      <w:numFmt w:val="decimal"/>
      <w:lvlText w:val="%1"/>
      <w:lvlJc w:val="left"/>
      <w:pPr>
        <w:tabs>
          <w:tab w:val="num" w:pos="720"/>
        </w:tabs>
        <w:ind w:left="284" w:firstLine="76"/>
      </w:pPr>
      <w:rPr/>
    </w:lvl>
    <w:lvl w:ilvl="1">
      <w:start w:val="1"/>
      <w:numFmt w:val="decimal"/>
      <w:lvlText w:val="%2."/>
      <w:lvlJc w:val="left"/>
      <w:pPr>
        <w:tabs>
          <w:tab w:val="num" w:pos="1440"/>
        </w:tabs>
        <w:ind w:left="1440" w:hanging="360"/>
      </w:pPr>
      <w:rPr/>
    </w:lvl>
    <w:lvl w:ilvl="2">
      <w:start w:val="1"/>
      <w:numFmt w:val="lowerRoman"/>
      <w:lvlText w:val="%3."/>
      <w:lvlJc w:val="right"/>
      <w:pPr>
        <w:tabs>
          <w:tab w:val="num" w:pos="2160"/>
        </w:tabs>
        <w:ind w:left="2160" w:hanging="180"/>
      </w:pPr>
      <w:rPr/>
    </w:lvl>
    <w:lvl w:ilvl="3">
      <w:start w:val="1"/>
      <w:numFmt w:val="decimal"/>
      <w:lvlText w:val="%4."/>
      <w:lvlJc w:val="left"/>
      <w:pPr>
        <w:tabs>
          <w:tab w:val="num" w:pos="2880"/>
        </w:tabs>
        <w:ind w:left="2880" w:hanging="360"/>
      </w:pPr>
      <w:rPr/>
    </w:lvl>
    <w:lvl w:ilvl="4">
      <w:start w:val="1"/>
      <w:numFmt w:val="lowerLetter"/>
      <w:lvlText w:val="%5."/>
      <w:lvlJc w:val="left"/>
      <w:pPr>
        <w:tabs>
          <w:tab w:val="num" w:pos="3600"/>
        </w:tabs>
        <w:ind w:left="3600" w:hanging="360"/>
      </w:pPr>
      <w:rPr/>
    </w:lvl>
    <w:lvl w:ilvl="5">
      <w:start w:val="1"/>
      <w:numFmt w:val="lowerRoman"/>
      <w:lvlText w:val="%6."/>
      <w:lvlJc w:val="right"/>
      <w:pPr>
        <w:tabs>
          <w:tab w:val="num" w:pos="4320"/>
        </w:tabs>
        <w:ind w:left="4320" w:hanging="180"/>
      </w:pPr>
      <w:rPr/>
    </w:lvl>
    <w:lvl w:ilvl="6">
      <w:start w:val="1"/>
      <w:numFmt w:val="decimal"/>
      <w:lvlText w:val="%7."/>
      <w:lvlJc w:val="left"/>
      <w:pPr>
        <w:tabs>
          <w:tab w:val="num" w:pos="5040"/>
        </w:tabs>
        <w:ind w:left="5040" w:hanging="360"/>
      </w:pPr>
      <w:rPr/>
    </w:lvl>
    <w:lvl w:ilvl="7">
      <w:start w:val="1"/>
      <w:numFmt w:val="lowerLetter"/>
      <w:lvlText w:val="%8."/>
      <w:lvlJc w:val="left"/>
      <w:pPr>
        <w:tabs>
          <w:tab w:val="num" w:pos="5760"/>
        </w:tabs>
        <w:ind w:left="5760" w:hanging="360"/>
      </w:pPr>
      <w:rPr/>
    </w:lvl>
    <w:lvl w:ilvl="8">
      <w:start w:val="1"/>
      <w:numFmt w:val="lowerRoman"/>
      <w:lvlText w:val="%9."/>
      <w:lvlJc w:val="right"/>
      <w:pPr>
        <w:tabs>
          <w:tab w:val="num" w:pos="6480"/>
        </w:tabs>
        <w:ind w:left="6480" w:hanging="180"/>
      </w:pPr>
      <w:rPr/>
    </w:lvl>
  </w:abstractNum>
  <w:abstractNum w:abstractNumId="3">
    <w:lvl w:ilvl="0">
      <w:start w:val="1"/>
      <w:numFmt w:val="bullet"/>
      <w:lvlText w:val=""/>
      <w:lvlJc w:val="left"/>
      <w:pPr>
        <w:tabs>
          <w:tab w:val="num" w:pos="1287"/>
        </w:tabs>
        <w:ind w:left="1287" w:hanging="360"/>
      </w:pPr>
      <w:rPr>
        <w:rFonts w:ascii="Symbol" w:hAnsi="Symbol" w:cs="Symbol" w:hint="default"/>
      </w:rPr>
    </w:lvl>
    <w:lvl w:ilvl="1">
      <w:start w:val="1"/>
      <w:numFmt w:val="bullet"/>
      <w:lvlText w:val="o"/>
      <w:lvlJc w:val="left"/>
      <w:pPr>
        <w:tabs>
          <w:tab w:val="num" w:pos="2007"/>
        </w:tabs>
        <w:ind w:left="2007" w:hanging="360"/>
      </w:pPr>
      <w:rPr>
        <w:rFonts w:ascii="Courier New" w:hAnsi="Courier New" w:cs="Courier New" w:hint="default"/>
      </w:rPr>
    </w:lvl>
    <w:lvl w:ilvl="2">
      <w:start w:val="1"/>
      <w:numFmt w:val="bullet"/>
      <w:lvlText w:val=""/>
      <w:lvlJc w:val="left"/>
      <w:pPr>
        <w:tabs>
          <w:tab w:val="num" w:pos="2727"/>
        </w:tabs>
        <w:ind w:left="2727" w:hanging="360"/>
      </w:pPr>
      <w:rPr>
        <w:rFonts w:ascii="Wingdings" w:hAnsi="Wingdings" w:cs="Wingdings" w:hint="default"/>
      </w:rPr>
    </w:lvl>
    <w:lvl w:ilvl="3">
      <w:start w:val="1"/>
      <w:numFmt w:val="bullet"/>
      <w:lvlText w:val=""/>
      <w:lvlJc w:val="left"/>
      <w:pPr>
        <w:tabs>
          <w:tab w:val="num" w:pos="3447"/>
        </w:tabs>
        <w:ind w:left="3447" w:hanging="360"/>
      </w:pPr>
      <w:rPr>
        <w:rFonts w:ascii="Symbol" w:hAnsi="Symbol" w:cs="Symbol" w:hint="default"/>
      </w:rPr>
    </w:lvl>
    <w:lvl w:ilvl="4">
      <w:start w:val="1"/>
      <w:numFmt w:val="bullet"/>
      <w:lvlText w:val="o"/>
      <w:lvlJc w:val="left"/>
      <w:pPr>
        <w:tabs>
          <w:tab w:val="num" w:pos="4167"/>
        </w:tabs>
        <w:ind w:left="4167" w:hanging="360"/>
      </w:pPr>
      <w:rPr>
        <w:rFonts w:ascii="Courier New" w:hAnsi="Courier New" w:cs="Courier New" w:hint="default"/>
      </w:rPr>
    </w:lvl>
    <w:lvl w:ilvl="5">
      <w:start w:val="1"/>
      <w:numFmt w:val="bullet"/>
      <w:lvlText w:val=""/>
      <w:lvlJc w:val="left"/>
      <w:pPr>
        <w:tabs>
          <w:tab w:val="num" w:pos="4887"/>
        </w:tabs>
        <w:ind w:left="4887" w:hanging="360"/>
      </w:pPr>
      <w:rPr>
        <w:rFonts w:ascii="Wingdings" w:hAnsi="Wingdings" w:cs="Wingdings" w:hint="default"/>
      </w:rPr>
    </w:lvl>
    <w:lvl w:ilvl="6">
      <w:start w:val="1"/>
      <w:numFmt w:val="bullet"/>
      <w:lvlText w:val=""/>
      <w:lvlJc w:val="left"/>
      <w:pPr>
        <w:tabs>
          <w:tab w:val="num" w:pos="5607"/>
        </w:tabs>
        <w:ind w:left="5607" w:hanging="360"/>
      </w:pPr>
      <w:rPr>
        <w:rFonts w:ascii="Symbol" w:hAnsi="Symbol" w:cs="Symbol" w:hint="default"/>
      </w:rPr>
    </w:lvl>
    <w:lvl w:ilvl="7">
      <w:start w:val="1"/>
      <w:numFmt w:val="bullet"/>
      <w:lvlText w:val="o"/>
      <w:lvlJc w:val="left"/>
      <w:pPr>
        <w:tabs>
          <w:tab w:val="num" w:pos="6327"/>
        </w:tabs>
        <w:ind w:left="6327" w:hanging="360"/>
      </w:pPr>
      <w:rPr>
        <w:rFonts w:ascii="Courier New" w:hAnsi="Courier New" w:cs="Courier New" w:hint="default"/>
      </w:rPr>
    </w:lvl>
    <w:lvl w:ilvl="8">
      <w:start w:val="1"/>
      <w:numFmt w:val="bullet"/>
      <w:lvlText w:val=""/>
      <w:lvlJc w:val="left"/>
      <w:pPr>
        <w:tabs>
          <w:tab w:val="num" w:pos="7047"/>
        </w:tabs>
        <w:ind w:left="7047" w:hanging="360"/>
      </w:pPr>
      <w:rPr>
        <w:rFonts w:ascii="Wingdings" w:hAnsi="Wingdings" w:cs="Wingdings" w:hint="default"/>
      </w:rPr>
    </w:lvl>
  </w:abstractNum>
  <w:abstractNum w:abstractNumId="4">
    <w:lvl w:ilvl="0">
      <w:start w:val="3"/>
      <w:numFmt w:val="decimal"/>
      <w:lvlText w:val="%1."/>
      <w:lvlJc w:val="left"/>
      <w:pPr>
        <w:tabs>
          <w:tab w:val="num" w:pos="360"/>
        </w:tabs>
        <w:ind w:left="360" w:hanging="360"/>
      </w:pPr>
      <w:rPr/>
    </w:lvl>
    <w:lvl w:ilvl="1">
      <w:start w:val="1"/>
      <w:numFmt w:val="decimal"/>
      <w:lvlText w:val="%1.%2."/>
      <w:lvlJc w:val="left"/>
      <w:pPr>
        <w:tabs>
          <w:tab w:val="num" w:pos="1636"/>
        </w:tabs>
        <w:ind w:left="1636" w:hanging="360"/>
      </w:pPr>
      <w:rPr/>
    </w:lvl>
    <w:lvl w:ilvl="2">
      <w:start w:val="1"/>
      <w:numFmt w:val="decimal"/>
      <w:lvlText w:val="%1.%2.%3."/>
      <w:lvlJc w:val="left"/>
      <w:pPr>
        <w:tabs>
          <w:tab w:val="num" w:pos="2160"/>
        </w:tabs>
        <w:ind w:left="2160" w:hanging="720"/>
      </w:pPr>
      <w:rPr/>
    </w:lvl>
    <w:lvl w:ilvl="3">
      <w:start w:val="1"/>
      <w:numFmt w:val="decimal"/>
      <w:lvlText w:val="%1.%2.%3.%4."/>
      <w:lvlJc w:val="left"/>
      <w:pPr>
        <w:tabs>
          <w:tab w:val="num" w:pos="2880"/>
        </w:tabs>
        <w:ind w:left="2880" w:hanging="720"/>
      </w:pPr>
      <w:rPr/>
    </w:lvl>
    <w:lvl w:ilvl="4">
      <w:start w:val="1"/>
      <w:numFmt w:val="decimal"/>
      <w:lvlText w:val="%1.%2.%3.%4.%5."/>
      <w:lvlJc w:val="left"/>
      <w:pPr>
        <w:tabs>
          <w:tab w:val="num" w:pos="3960"/>
        </w:tabs>
        <w:ind w:left="3960" w:hanging="1080"/>
      </w:pPr>
      <w:rPr/>
    </w:lvl>
    <w:lvl w:ilvl="5">
      <w:start w:val="1"/>
      <w:numFmt w:val="decimal"/>
      <w:lvlText w:val="%1.%2.%3.%4.%5.%6."/>
      <w:lvlJc w:val="left"/>
      <w:pPr>
        <w:tabs>
          <w:tab w:val="num" w:pos="4680"/>
        </w:tabs>
        <w:ind w:left="4680" w:hanging="1080"/>
      </w:pPr>
      <w:rPr/>
    </w:lvl>
    <w:lvl w:ilvl="6">
      <w:start w:val="1"/>
      <w:numFmt w:val="decimal"/>
      <w:lvlText w:val="%1.%2.%3.%4.%5.%6.%7."/>
      <w:lvlJc w:val="left"/>
      <w:pPr>
        <w:tabs>
          <w:tab w:val="num" w:pos="5760"/>
        </w:tabs>
        <w:ind w:left="5760" w:hanging="1440"/>
      </w:pPr>
      <w:rPr/>
    </w:lvl>
    <w:lvl w:ilvl="7">
      <w:start w:val="1"/>
      <w:numFmt w:val="decimal"/>
      <w:lvlText w:val="%1.%2.%3.%4.%5.%6.%7.%8."/>
      <w:lvlJc w:val="left"/>
      <w:pPr>
        <w:tabs>
          <w:tab w:val="num" w:pos="6480"/>
        </w:tabs>
        <w:ind w:left="6480" w:hanging="1440"/>
      </w:pPr>
      <w:rPr/>
    </w:lvl>
    <w:lvl w:ilvl="8">
      <w:start w:val="1"/>
      <w:numFmt w:val="decimal"/>
      <w:lvlText w:val="%1.%2.%3.%4.%5.%6.%7.%8.%9."/>
      <w:lvlJc w:val="left"/>
      <w:pPr>
        <w:tabs>
          <w:tab w:val="num" w:pos="7560"/>
        </w:tabs>
        <w:ind w:left="7560" w:hanging="1800"/>
      </w:pPr>
      <w:rPr/>
    </w:lvl>
  </w:abstractNum>
  <w:abstractNum w:abstractNumId="5">
    <w:lvl w:ilvl="0">
      <w:start w:val="1"/>
      <w:numFmt w:val="bullet"/>
      <w:lvlText w:val=""/>
      <w:lvlJc w:val="left"/>
      <w:pPr>
        <w:tabs>
          <w:tab w:val="num" w:pos="1353"/>
        </w:tabs>
        <w:ind w:left="1353"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6">
    <w:lvl w:ilvl="0">
      <w:start w:val="1"/>
      <w:numFmt w:val="decimal"/>
      <w:lvlText w:val="%1."/>
      <w:lvlJc w:val="left"/>
      <w:pPr>
        <w:tabs>
          <w:tab w:val="num" w:pos="5321"/>
        </w:tabs>
        <w:ind w:left="5321" w:hanging="360"/>
      </w:pPr>
      <w:rPr/>
    </w:lvl>
    <w:lvl w:ilvl="1">
      <w:start w:val="1"/>
      <w:numFmt w:val="decimal"/>
      <w:lvlText w:val="%1.%2."/>
      <w:lvlJc w:val="left"/>
      <w:pPr>
        <w:tabs>
          <w:tab w:val="num" w:pos="1425"/>
        </w:tabs>
        <w:ind w:left="1425" w:hanging="432"/>
      </w:pPr>
      <w:rPr>
        <w:sz w:val="24"/>
        <w:szCs w:val="24"/>
      </w:rPr>
    </w:lvl>
    <w:lvl w:ilvl="2">
      <w:start w:val="1"/>
      <w:numFmt w:val="decimal"/>
      <w:lvlText w:val="%1.%2.%3."/>
      <w:lvlJc w:val="left"/>
      <w:pPr>
        <w:tabs>
          <w:tab w:val="num" w:pos="1440"/>
        </w:tabs>
        <w:ind w:left="122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7">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8">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9">
    <w:lvl w:ilvl="0">
      <w:start w:val="1"/>
      <w:numFmt w:val="bullet"/>
      <w:lvlText w:val="-"/>
      <w:lvlJc w:val="left"/>
      <w:pPr>
        <w:tabs>
          <w:tab w:val="num" w:pos="0"/>
        </w:tabs>
        <w:ind w:left="1069" w:hanging="360"/>
      </w:pPr>
      <w:rPr>
        <w:rFonts w:ascii="Tahoma" w:hAnsi="Tahoma" w:cs="Tahoma" w:hint="default"/>
      </w:rPr>
    </w:lvl>
    <w:lvl w:ilvl="1">
      <w:start w:val="1"/>
      <w:numFmt w:val="bullet"/>
      <w:lvlText w:val="o"/>
      <w:lvlJc w:val="left"/>
      <w:pPr>
        <w:tabs>
          <w:tab w:val="num" w:pos="0"/>
        </w:tabs>
        <w:ind w:left="1789" w:hanging="360"/>
      </w:pPr>
      <w:rPr>
        <w:rFonts w:ascii="Courier New" w:hAnsi="Courier New" w:cs="Courier New" w:hint="default"/>
      </w:rPr>
    </w:lvl>
    <w:lvl w:ilvl="2">
      <w:start w:val="1"/>
      <w:numFmt w:val="bullet"/>
      <w:lvlText w:val=""/>
      <w:lvlJc w:val="left"/>
      <w:pPr>
        <w:tabs>
          <w:tab w:val="num" w:pos="0"/>
        </w:tabs>
        <w:ind w:left="2509" w:hanging="360"/>
      </w:pPr>
      <w:rPr>
        <w:rFonts w:ascii="Wingdings" w:hAnsi="Wingdings" w:cs="Wingdings" w:hint="default"/>
      </w:rPr>
    </w:lvl>
    <w:lvl w:ilvl="3">
      <w:start w:val="1"/>
      <w:numFmt w:val="bullet"/>
      <w:lvlText w:val=""/>
      <w:lvlJc w:val="left"/>
      <w:pPr>
        <w:tabs>
          <w:tab w:val="num" w:pos="0"/>
        </w:tabs>
        <w:ind w:left="3229" w:hanging="360"/>
      </w:pPr>
      <w:rPr>
        <w:rFonts w:ascii="Symbol" w:hAnsi="Symbol" w:cs="Symbol" w:hint="default"/>
      </w:rPr>
    </w:lvl>
    <w:lvl w:ilvl="4">
      <w:start w:val="1"/>
      <w:numFmt w:val="bullet"/>
      <w:lvlText w:val="o"/>
      <w:lvlJc w:val="left"/>
      <w:pPr>
        <w:tabs>
          <w:tab w:val="num" w:pos="0"/>
        </w:tabs>
        <w:ind w:left="3949" w:hanging="360"/>
      </w:pPr>
      <w:rPr>
        <w:rFonts w:ascii="Courier New" w:hAnsi="Courier New" w:cs="Courier New" w:hint="default"/>
      </w:rPr>
    </w:lvl>
    <w:lvl w:ilvl="5">
      <w:start w:val="1"/>
      <w:numFmt w:val="bullet"/>
      <w:lvlText w:val=""/>
      <w:lvlJc w:val="left"/>
      <w:pPr>
        <w:tabs>
          <w:tab w:val="num" w:pos="0"/>
        </w:tabs>
        <w:ind w:left="4669" w:hanging="360"/>
      </w:pPr>
      <w:rPr>
        <w:rFonts w:ascii="Wingdings" w:hAnsi="Wingdings" w:cs="Wingdings" w:hint="default"/>
      </w:rPr>
    </w:lvl>
    <w:lvl w:ilvl="6">
      <w:start w:val="1"/>
      <w:numFmt w:val="bullet"/>
      <w:lvlText w:val=""/>
      <w:lvlJc w:val="left"/>
      <w:pPr>
        <w:tabs>
          <w:tab w:val="num" w:pos="0"/>
        </w:tabs>
        <w:ind w:left="5389" w:hanging="360"/>
      </w:pPr>
      <w:rPr>
        <w:rFonts w:ascii="Symbol" w:hAnsi="Symbol" w:cs="Symbol" w:hint="default"/>
      </w:rPr>
    </w:lvl>
    <w:lvl w:ilvl="7">
      <w:start w:val="1"/>
      <w:numFmt w:val="bullet"/>
      <w:lvlText w:val="o"/>
      <w:lvlJc w:val="left"/>
      <w:pPr>
        <w:tabs>
          <w:tab w:val="num" w:pos="0"/>
        </w:tabs>
        <w:ind w:left="6109" w:hanging="360"/>
      </w:pPr>
      <w:rPr>
        <w:rFonts w:ascii="Courier New" w:hAnsi="Courier New" w:cs="Courier New" w:hint="default"/>
      </w:rPr>
    </w:lvl>
    <w:lvl w:ilvl="8">
      <w:start w:val="1"/>
      <w:numFmt w:val="bullet"/>
      <w:lvlText w:val=""/>
      <w:lvlJc w:val="left"/>
      <w:pPr>
        <w:tabs>
          <w:tab w:val="num" w:pos="0"/>
        </w:tabs>
        <w:ind w:left="6829" w:hanging="360"/>
      </w:pPr>
      <w:rPr>
        <w:rFonts w:ascii="Wingdings" w:hAnsi="Wingdings" w:cs="Wingdings" w:hint="default"/>
      </w:rPr>
    </w:lvl>
  </w:abstractNum>
  <w:abstractNum w:abstractNumId="10">
    <w:lvl w:ilvl="0">
      <w:start w:val="1"/>
      <w:numFmt w:val="decimal"/>
      <w:lvlText w:val="Статья %1."/>
      <w:lvlJc w:val="left"/>
      <w:pPr>
        <w:tabs>
          <w:tab w:val="num" w:pos="720"/>
        </w:tabs>
        <w:ind w:left="720" w:hanging="360"/>
      </w:pPr>
      <w:rPr/>
    </w:lvl>
    <w:lvl w:ilvl="1">
      <w:start w:val="1"/>
      <w:numFmt w:val="decimal"/>
      <w:lvlText w:val="%1.%2."/>
      <w:lvlJc w:val="left"/>
      <w:pPr>
        <w:tabs>
          <w:tab w:val="num" w:pos="1725"/>
        </w:tabs>
        <w:ind w:left="1725" w:hanging="1185"/>
      </w:pPr>
      <w:rPr>
        <w:sz w:val="24"/>
        <w:b w:val="false"/>
        <w:szCs w:val="24"/>
      </w:rPr>
    </w:lvl>
    <w:lvl w:ilvl="2">
      <w:start w:val="1"/>
      <w:numFmt w:val="decimal"/>
      <w:lvlText w:val="%1.%2.%3."/>
      <w:lvlJc w:val="left"/>
      <w:pPr>
        <w:tabs>
          <w:tab w:val="num" w:pos="2085"/>
        </w:tabs>
        <w:ind w:left="2085" w:hanging="1185"/>
      </w:pPr>
      <w:rPr>
        <w:sz w:val="24"/>
        <w:b w:val="false"/>
        <w:szCs w:val="24"/>
      </w:rPr>
    </w:lvl>
    <w:lvl w:ilvl="3">
      <w:start w:val="1"/>
      <w:numFmt w:val="decimal"/>
      <w:lvlText w:val="%1.%2.%3.%4."/>
      <w:lvlJc w:val="left"/>
      <w:pPr>
        <w:tabs>
          <w:tab w:val="num" w:pos="2625"/>
        </w:tabs>
        <w:ind w:left="2625" w:hanging="1185"/>
      </w:pPr>
      <w:rPr/>
    </w:lvl>
    <w:lvl w:ilvl="4">
      <w:start w:val="1"/>
      <w:numFmt w:val="decimal"/>
      <w:lvlText w:val="%1.%2.%3.%4.%5."/>
      <w:lvlJc w:val="left"/>
      <w:pPr>
        <w:tabs>
          <w:tab w:val="num" w:pos="2985"/>
        </w:tabs>
        <w:ind w:left="2985" w:hanging="1185"/>
      </w:pPr>
      <w:rPr/>
    </w:lvl>
    <w:lvl w:ilvl="5">
      <w:start w:val="1"/>
      <w:numFmt w:val="decimal"/>
      <w:lvlText w:val="%1.%2.%3.%4.%5.%6."/>
      <w:lvlJc w:val="left"/>
      <w:pPr>
        <w:tabs>
          <w:tab w:val="num" w:pos="3345"/>
        </w:tabs>
        <w:ind w:left="3345" w:hanging="1185"/>
      </w:pPr>
      <w:rPr/>
    </w:lvl>
    <w:lvl w:ilvl="6">
      <w:start w:val="1"/>
      <w:numFmt w:val="decimal"/>
      <w:lvlText w:val="%1.%2.%3.%4.%5.%6.%7."/>
      <w:lvlJc w:val="left"/>
      <w:pPr>
        <w:tabs>
          <w:tab w:val="num" w:pos="3960"/>
        </w:tabs>
        <w:ind w:left="3960" w:hanging="1440"/>
      </w:pPr>
      <w:rPr/>
    </w:lvl>
    <w:lvl w:ilvl="7">
      <w:start w:val="1"/>
      <w:numFmt w:val="decimal"/>
      <w:lvlText w:val="%1.%2.%3.%4.%5.%6.%7.%8."/>
      <w:lvlJc w:val="left"/>
      <w:pPr>
        <w:tabs>
          <w:tab w:val="num" w:pos="4320"/>
        </w:tabs>
        <w:ind w:left="4320" w:hanging="1440"/>
      </w:pPr>
      <w:rPr/>
    </w:lvl>
    <w:lvl w:ilvl="8">
      <w:start w:val="1"/>
      <w:numFmt w:val="decimal"/>
      <w:lvlText w:val="%1.%2.%3.%4.%5.%6.%7.%8.%9."/>
      <w:lvlJc w:val="left"/>
      <w:pPr>
        <w:tabs>
          <w:tab w:val="num" w:pos="5040"/>
        </w:tabs>
        <w:ind w:left="5040" w:hanging="1800"/>
      </w:pPr>
      <w:rPr/>
    </w:lvl>
  </w:abstractNum>
  <w:abstractNum w:abstractNumId="11">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3">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4">
    <w:lvl w:ilvl="0">
      <w:start w:val="1"/>
      <w:numFmt w:val="bullet"/>
      <w:lvlText w:val=""/>
      <w:lvlJc w:val="left"/>
      <w:pPr>
        <w:tabs>
          <w:tab w:val="num" w:pos="0"/>
        </w:tabs>
        <w:ind w:left="1440" w:hanging="360"/>
      </w:pPr>
      <w:rPr>
        <w:rFonts w:ascii="Symbol" w:hAnsi="Symbol" w:cs="Symbol" w:hint="default"/>
      </w:rPr>
    </w:lvl>
    <w:lvl w:ilvl="1">
      <w:start w:val="1"/>
      <w:numFmt w:val="decimal"/>
      <w:lvlText w:val="%2."/>
      <w:lvlJc w:val="left"/>
      <w:pPr>
        <w:tabs>
          <w:tab w:val="num" w:pos="1440"/>
        </w:tabs>
        <w:ind w:left="1440" w:hanging="360"/>
      </w:pPr>
      <w:rPr/>
    </w:lvl>
    <w:lvl w:ilvl="2">
      <w:start w:val="1"/>
      <w:numFmt w:val="decimal"/>
      <w:lvlText w:val="%3."/>
      <w:lvlJc w:val="left"/>
      <w:pPr>
        <w:tabs>
          <w:tab w:val="num" w:pos="2160"/>
        </w:tabs>
        <w:ind w:left="2160" w:hanging="360"/>
      </w:pPr>
      <w:rPr/>
    </w:lvl>
    <w:lvl w:ilvl="3">
      <w:start w:val="1"/>
      <w:numFmt w:val="decimal"/>
      <w:lvlText w:val="%4."/>
      <w:lvlJc w:val="left"/>
      <w:pPr>
        <w:tabs>
          <w:tab w:val="num" w:pos="2880"/>
        </w:tabs>
        <w:ind w:left="2880" w:hanging="360"/>
      </w:pPr>
      <w:rPr/>
    </w:lvl>
    <w:lvl w:ilvl="4">
      <w:start w:val="1"/>
      <w:numFmt w:val="decimal"/>
      <w:lvlText w:val="%5."/>
      <w:lvlJc w:val="left"/>
      <w:pPr>
        <w:tabs>
          <w:tab w:val="num" w:pos="3600"/>
        </w:tabs>
        <w:ind w:left="3600" w:hanging="360"/>
      </w:pPr>
      <w:rPr/>
    </w:lvl>
    <w:lvl w:ilvl="5">
      <w:start w:val="1"/>
      <w:numFmt w:val="decimal"/>
      <w:lvlText w:val="%6."/>
      <w:lvlJc w:val="left"/>
      <w:pPr>
        <w:tabs>
          <w:tab w:val="num" w:pos="4320"/>
        </w:tabs>
        <w:ind w:left="4320" w:hanging="360"/>
      </w:pPr>
      <w:rPr/>
    </w:lvl>
    <w:lvl w:ilvl="6">
      <w:start w:val="1"/>
      <w:numFmt w:val="decimal"/>
      <w:lvlText w:val="%7."/>
      <w:lvlJc w:val="left"/>
      <w:pPr>
        <w:tabs>
          <w:tab w:val="num" w:pos="5040"/>
        </w:tabs>
        <w:ind w:left="5040" w:hanging="360"/>
      </w:pPr>
      <w:rPr/>
    </w:lvl>
    <w:lvl w:ilvl="7">
      <w:start w:val="1"/>
      <w:numFmt w:val="decimal"/>
      <w:lvlText w:val="%8."/>
      <w:lvlJc w:val="left"/>
      <w:pPr>
        <w:tabs>
          <w:tab w:val="num" w:pos="5760"/>
        </w:tabs>
        <w:ind w:left="5760" w:hanging="360"/>
      </w:pPr>
      <w:rPr/>
    </w:lvl>
    <w:lvl w:ilvl="8">
      <w:start w:val="1"/>
      <w:numFmt w:val="decimal"/>
      <w:lvlText w:val="%9."/>
      <w:lvlJc w:val="left"/>
      <w:pPr>
        <w:tabs>
          <w:tab w:val="num" w:pos="6480"/>
        </w:tabs>
        <w:ind w:left="6480" w:hanging="360"/>
      </w:pPr>
      <w:rPr/>
    </w:lvl>
  </w:abstractNum>
  <w:abstractNum w:abstractNumId="15">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7">
    <w:lvl w:ilvl="0">
      <w:numFmt w:val="bullet"/>
      <w:lvlText w:val="–"/>
      <w:lvlJc w:val="left"/>
      <w:pPr>
        <w:tabs>
          <w:tab w:val="num" w:pos="0"/>
        </w:tabs>
        <w:ind w:left="1429" w:hanging="360"/>
      </w:pPr>
      <w:rPr>
        <w:rFonts w:ascii="Times New Roman" w:hAnsi="Times New Roman" w:cs="Times New Roman" w:hint="default"/>
        <w:color w:val="000000"/>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8">
    <w:lvl w:ilvl="0">
      <w:start w:val="1"/>
      <w:numFmt w:val="decimal"/>
      <w:lvlText w:val="%1."/>
      <w:lvlJc w:val="left"/>
      <w:pPr>
        <w:tabs>
          <w:tab w:val="num" w:pos="1440"/>
        </w:tabs>
        <w:ind w:left="1440" w:hanging="360"/>
      </w:pPr>
      <w:rPr/>
    </w:lvl>
    <w:lvl w:ilvl="1">
      <w:start w:val="1"/>
      <w:numFmt w:val="lowerLetter"/>
      <w:lvlText w:val="%2."/>
      <w:lvlJc w:val="left"/>
      <w:pPr>
        <w:tabs>
          <w:tab w:val="num" w:pos="2160"/>
        </w:tabs>
        <w:ind w:left="2160" w:hanging="360"/>
      </w:pPr>
      <w:rPr/>
    </w:lvl>
    <w:lvl w:ilvl="2">
      <w:start w:val="1"/>
      <w:numFmt w:val="lowerRoman"/>
      <w:lvlText w:val="%3."/>
      <w:lvlJc w:val="right"/>
      <w:pPr>
        <w:tabs>
          <w:tab w:val="num" w:pos="2880"/>
        </w:tabs>
        <w:ind w:left="2880" w:hanging="180"/>
      </w:pPr>
      <w:rPr/>
    </w:lvl>
    <w:lvl w:ilvl="3">
      <w:start w:val="1"/>
      <w:numFmt w:val="decimal"/>
      <w:lvlText w:val="%4."/>
      <w:lvlJc w:val="left"/>
      <w:pPr>
        <w:tabs>
          <w:tab w:val="num" w:pos="3600"/>
        </w:tabs>
        <w:ind w:left="3600" w:hanging="360"/>
      </w:pPr>
      <w:rPr/>
    </w:lvl>
    <w:lvl w:ilvl="4">
      <w:start w:val="1"/>
      <w:numFmt w:val="lowerLetter"/>
      <w:lvlText w:val="%5."/>
      <w:lvlJc w:val="left"/>
      <w:pPr>
        <w:tabs>
          <w:tab w:val="num" w:pos="4320"/>
        </w:tabs>
        <w:ind w:left="4320" w:hanging="360"/>
      </w:pPr>
      <w:rPr/>
    </w:lvl>
    <w:lvl w:ilvl="5">
      <w:start w:val="1"/>
      <w:numFmt w:val="lowerRoman"/>
      <w:lvlText w:val="%6."/>
      <w:lvlJc w:val="right"/>
      <w:pPr>
        <w:tabs>
          <w:tab w:val="num" w:pos="5040"/>
        </w:tabs>
        <w:ind w:left="5040" w:hanging="180"/>
      </w:pPr>
      <w:rPr/>
    </w:lvl>
    <w:lvl w:ilvl="6">
      <w:start w:val="1"/>
      <w:numFmt w:val="decimal"/>
      <w:lvlText w:val="%7."/>
      <w:lvlJc w:val="left"/>
      <w:pPr>
        <w:tabs>
          <w:tab w:val="num" w:pos="5760"/>
        </w:tabs>
        <w:ind w:left="5760" w:hanging="360"/>
      </w:pPr>
      <w:rPr/>
    </w:lvl>
    <w:lvl w:ilvl="7">
      <w:start w:val="1"/>
      <w:numFmt w:val="lowerLetter"/>
      <w:lvlText w:val="%8."/>
      <w:lvlJc w:val="left"/>
      <w:pPr>
        <w:tabs>
          <w:tab w:val="num" w:pos="6480"/>
        </w:tabs>
        <w:ind w:left="6480" w:hanging="360"/>
      </w:pPr>
      <w:rPr/>
    </w:lvl>
    <w:lvl w:ilvl="8">
      <w:start w:val="1"/>
      <w:numFmt w:val="lowerRoman"/>
      <w:lvlText w:val="%9."/>
      <w:lvlJc w:val="right"/>
      <w:pPr>
        <w:tabs>
          <w:tab w:val="num" w:pos="7200"/>
        </w:tabs>
        <w:ind w:left="7200" w:hanging="180"/>
      </w:pPr>
      <w:rPr/>
    </w:lvl>
  </w:abstractNum>
  <w:abstractNum w:abstractNumId="19">
    <w:lvl w:ilvl="0">
      <w:start w:val="1"/>
      <w:numFmt w:val="decimal"/>
      <w:lvlText w:val="%1."/>
      <w:lvlJc w:val="left"/>
      <w:pPr>
        <w:tabs>
          <w:tab w:val="num" w:pos="1440"/>
        </w:tabs>
        <w:ind w:left="1440" w:hanging="360"/>
      </w:pPr>
      <w:rPr/>
    </w:lvl>
    <w:lvl w:ilvl="1">
      <w:start w:val="1"/>
      <w:numFmt w:val="lowerLetter"/>
      <w:lvlText w:val="%2."/>
      <w:lvlJc w:val="left"/>
      <w:pPr>
        <w:tabs>
          <w:tab w:val="num" w:pos="2160"/>
        </w:tabs>
        <w:ind w:left="2160" w:hanging="360"/>
      </w:pPr>
      <w:rPr/>
    </w:lvl>
    <w:lvl w:ilvl="2">
      <w:start w:val="1"/>
      <w:numFmt w:val="lowerRoman"/>
      <w:lvlText w:val="%3."/>
      <w:lvlJc w:val="right"/>
      <w:pPr>
        <w:tabs>
          <w:tab w:val="num" w:pos="2880"/>
        </w:tabs>
        <w:ind w:left="2880" w:hanging="180"/>
      </w:pPr>
      <w:rPr/>
    </w:lvl>
    <w:lvl w:ilvl="3">
      <w:start w:val="1"/>
      <w:numFmt w:val="decimal"/>
      <w:lvlText w:val="%4."/>
      <w:lvlJc w:val="left"/>
      <w:pPr>
        <w:tabs>
          <w:tab w:val="num" w:pos="3600"/>
        </w:tabs>
        <w:ind w:left="3600" w:hanging="360"/>
      </w:pPr>
      <w:rPr/>
    </w:lvl>
    <w:lvl w:ilvl="4">
      <w:start w:val="1"/>
      <w:numFmt w:val="lowerLetter"/>
      <w:lvlText w:val="%5."/>
      <w:lvlJc w:val="left"/>
      <w:pPr>
        <w:tabs>
          <w:tab w:val="num" w:pos="4320"/>
        </w:tabs>
        <w:ind w:left="4320" w:hanging="360"/>
      </w:pPr>
      <w:rPr/>
    </w:lvl>
    <w:lvl w:ilvl="5">
      <w:start w:val="1"/>
      <w:numFmt w:val="lowerRoman"/>
      <w:lvlText w:val="%6."/>
      <w:lvlJc w:val="right"/>
      <w:pPr>
        <w:tabs>
          <w:tab w:val="num" w:pos="5040"/>
        </w:tabs>
        <w:ind w:left="5040" w:hanging="180"/>
      </w:pPr>
      <w:rPr/>
    </w:lvl>
    <w:lvl w:ilvl="6">
      <w:start w:val="1"/>
      <w:numFmt w:val="decimal"/>
      <w:lvlText w:val="%7."/>
      <w:lvlJc w:val="left"/>
      <w:pPr>
        <w:tabs>
          <w:tab w:val="num" w:pos="5760"/>
        </w:tabs>
        <w:ind w:left="5760" w:hanging="360"/>
      </w:pPr>
      <w:rPr/>
    </w:lvl>
    <w:lvl w:ilvl="7">
      <w:start w:val="1"/>
      <w:numFmt w:val="lowerLetter"/>
      <w:lvlText w:val="%8."/>
      <w:lvlJc w:val="left"/>
      <w:pPr>
        <w:tabs>
          <w:tab w:val="num" w:pos="6480"/>
        </w:tabs>
        <w:ind w:left="6480" w:hanging="360"/>
      </w:pPr>
      <w:rPr/>
    </w:lvl>
    <w:lvl w:ilvl="8">
      <w:start w:val="1"/>
      <w:numFmt w:val="lowerRoman"/>
      <w:lvlText w:val="%9."/>
      <w:lvlJc w:val="right"/>
      <w:pPr>
        <w:tabs>
          <w:tab w:val="num" w:pos="7200"/>
        </w:tabs>
        <w:ind w:left="7200" w:hanging="180"/>
      </w:pPr>
      <w:rPr/>
    </w:lvl>
  </w:abstractNum>
  <w:abstractNum w:abstractNumId="20">
    <w:lvl w:ilvl="0">
      <w:start w:val="1"/>
      <w:numFmt w:val="decimal"/>
      <w:lvlText w:val="%1."/>
      <w:lvlJc w:val="left"/>
      <w:pPr>
        <w:tabs>
          <w:tab w:val="num" w:pos="1440"/>
        </w:tabs>
        <w:ind w:left="1440" w:hanging="360"/>
      </w:pPr>
      <w:rPr/>
    </w:lvl>
    <w:lvl w:ilvl="1">
      <w:start w:val="1"/>
      <w:numFmt w:val="lowerLetter"/>
      <w:lvlText w:val="%2."/>
      <w:lvlJc w:val="left"/>
      <w:pPr>
        <w:tabs>
          <w:tab w:val="num" w:pos="2160"/>
        </w:tabs>
        <w:ind w:left="2160" w:hanging="360"/>
      </w:pPr>
      <w:rPr/>
    </w:lvl>
    <w:lvl w:ilvl="2">
      <w:start w:val="1"/>
      <w:numFmt w:val="lowerRoman"/>
      <w:lvlText w:val="%3."/>
      <w:lvlJc w:val="right"/>
      <w:pPr>
        <w:tabs>
          <w:tab w:val="num" w:pos="2880"/>
        </w:tabs>
        <w:ind w:left="2880" w:hanging="180"/>
      </w:pPr>
      <w:rPr/>
    </w:lvl>
    <w:lvl w:ilvl="3">
      <w:start w:val="1"/>
      <w:numFmt w:val="decimal"/>
      <w:lvlText w:val="%4."/>
      <w:lvlJc w:val="left"/>
      <w:pPr>
        <w:tabs>
          <w:tab w:val="num" w:pos="3600"/>
        </w:tabs>
        <w:ind w:left="3600" w:hanging="360"/>
      </w:pPr>
      <w:rPr/>
    </w:lvl>
    <w:lvl w:ilvl="4">
      <w:start w:val="1"/>
      <w:numFmt w:val="lowerLetter"/>
      <w:lvlText w:val="%5."/>
      <w:lvlJc w:val="left"/>
      <w:pPr>
        <w:tabs>
          <w:tab w:val="num" w:pos="4320"/>
        </w:tabs>
        <w:ind w:left="4320" w:hanging="360"/>
      </w:pPr>
      <w:rPr/>
    </w:lvl>
    <w:lvl w:ilvl="5">
      <w:start w:val="1"/>
      <w:numFmt w:val="lowerRoman"/>
      <w:lvlText w:val="%6."/>
      <w:lvlJc w:val="right"/>
      <w:pPr>
        <w:tabs>
          <w:tab w:val="num" w:pos="5040"/>
        </w:tabs>
        <w:ind w:left="5040" w:hanging="180"/>
      </w:pPr>
      <w:rPr/>
    </w:lvl>
    <w:lvl w:ilvl="6">
      <w:start w:val="1"/>
      <w:numFmt w:val="decimal"/>
      <w:lvlText w:val="%7."/>
      <w:lvlJc w:val="left"/>
      <w:pPr>
        <w:tabs>
          <w:tab w:val="num" w:pos="5760"/>
        </w:tabs>
        <w:ind w:left="5760" w:hanging="360"/>
      </w:pPr>
      <w:rPr/>
    </w:lvl>
    <w:lvl w:ilvl="7">
      <w:start w:val="1"/>
      <w:numFmt w:val="lowerLetter"/>
      <w:lvlText w:val="%8."/>
      <w:lvlJc w:val="left"/>
      <w:pPr>
        <w:tabs>
          <w:tab w:val="num" w:pos="6480"/>
        </w:tabs>
        <w:ind w:left="6480" w:hanging="360"/>
      </w:pPr>
      <w:rPr/>
    </w:lvl>
    <w:lvl w:ilvl="8">
      <w:start w:val="1"/>
      <w:numFmt w:val="lowerRoman"/>
      <w:lvlText w:val="%9."/>
      <w:lvlJc w:val="right"/>
      <w:pPr>
        <w:tabs>
          <w:tab w:val="num" w:pos="7200"/>
        </w:tabs>
        <w:ind w:left="7200" w:hanging="180"/>
      </w:pPr>
      <w:rPr/>
    </w:lvl>
  </w:abstractNum>
  <w:abstractNum w:abstractNumId="21">
    <w:lvl w:ilvl="0">
      <w:start w:val="1"/>
      <w:numFmt w:val="decimal"/>
      <w:lvlText w:val="%1."/>
      <w:lvlJc w:val="left"/>
      <w:pPr>
        <w:tabs>
          <w:tab w:val="num" w:pos="1440"/>
        </w:tabs>
        <w:ind w:left="1440" w:hanging="360"/>
      </w:pPr>
      <w:rPr/>
    </w:lvl>
    <w:lvl w:ilvl="1">
      <w:start w:val="1"/>
      <w:numFmt w:val="lowerLetter"/>
      <w:lvlText w:val="%2."/>
      <w:lvlJc w:val="left"/>
      <w:pPr>
        <w:tabs>
          <w:tab w:val="num" w:pos="2160"/>
        </w:tabs>
        <w:ind w:left="2160" w:hanging="360"/>
      </w:pPr>
      <w:rPr/>
    </w:lvl>
    <w:lvl w:ilvl="2">
      <w:start w:val="1"/>
      <w:numFmt w:val="lowerRoman"/>
      <w:lvlText w:val="%3."/>
      <w:lvlJc w:val="right"/>
      <w:pPr>
        <w:tabs>
          <w:tab w:val="num" w:pos="2880"/>
        </w:tabs>
        <w:ind w:left="2880" w:hanging="180"/>
      </w:pPr>
      <w:rPr/>
    </w:lvl>
    <w:lvl w:ilvl="3">
      <w:start w:val="1"/>
      <w:numFmt w:val="decimal"/>
      <w:lvlText w:val="%4."/>
      <w:lvlJc w:val="left"/>
      <w:pPr>
        <w:tabs>
          <w:tab w:val="num" w:pos="3600"/>
        </w:tabs>
        <w:ind w:left="3600" w:hanging="360"/>
      </w:pPr>
      <w:rPr/>
    </w:lvl>
    <w:lvl w:ilvl="4">
      <w:start w:val="1"/>
      <w:numFmt w:val="lowerLetter"/>
      <w:lvlText w:val="%5."/>
      <w:lvlJc w:val="left"/>
      <w:pPr>
        <w:tabs>
          <w:tab w:val="num" w:pos="4320"/>
        </w:tabs>
        <w:ind w:left="4320" w:hanging="360"/>
      </w:pPr>
      <w:rPr/>
    </w:lvl>
    <w:lvl w:ilvl="5">
      <w:start w:val="1"/>
      <w:numFmt w:val="lowerRoman"/>
      <w:lvlText w:val="%6."/>
      <w:lvlJc w:val="right"/>
      <w:pPr>
        <w:tabs>
          <w:tab w:val="num" w:pos="5040"/>
        </w:tabs>
        <w:ind w:left="5040" w:hanging="180"/>
      </w:pPr>
      <w:rPr/>
    </w:lvl>
    <w:lvl w:ilvl="6">
      <w:start w:val="1"/>
      <w:numFmt w:val="decimal"/>
      <w:lvlText w:val="%7."/>
      <w:lvlJc w:val="left"/>
      <w:pPr>
        <w:tabs>
          <w:tab w:val="num" w:pos="5760"/>
        </w:tabs>
        <w:ind w:left="5760" w:hanging="360"/>
      </w:pPr>
      <w:rPr/>
    </w:lvl>
    <w:lvl w:ilvl="7">
      <w:start w:val="1"/>
      <w:numFmt w:val="lowerLetter"/>
      <w:lvlText w:val="%8."/>
      <w:lvlJc w:val="left"/>
      <w:pPr>
        <w:tabs>
          <w:tab w:val="num" w:pos="6480"/>
        </w:tabs>
        <w:ind w:left="6480" w:hanging="360"/>
      </w:pPr>
      <w:rPr/>
    </w:lvl>
    <w:lvl w:ilvl="8">
      <w:start w:val="1"/>
      <w:numFmt w:val="lowerRoman"/>
      <w:lvlText w:val="%9."/>
      <w:lvlJc w:val="right"/>
      <w:pPr>
        <w:tabs>
          <w:tab w:val="num" w:pos="7200"/>
        </w:tabs>
        <w:ind w:left="7200" w:hanging="180"/>
      </w:pPr>
      <w:rPr/>
    </w:lvl>
  </w:abstractNum>
  <w:abstractNum w:abstractNumId="2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18"/>
    <w:lvlOverride w:ilvl="0">
      <w:startOverride w:val="1"/>
    </w:lvlOverride>
  </w:num>
  <w:num w:numId="24">
    <w:abstractNumId w:val="18"/>
  </w:num>
  <w:num w:numId="25">
    <w:abstractNumId w:val="18"/>
  </w:num>
  <w:num w:numId="26">
    <w:abstractNumId w:val="18"/>
  </w:num>
</w:numbering>
</file>

<file path=word/settings.xml><?xml version="1.0" encoding="utf-8"?>
<w:settings xmlns:w="http://schemas.openxmlformats.org/wordprocessingml/2006/main">
  <w:zoom w:percent="100"/>
  <w:embedSystemFonts/>
  <w:defaultTabStop w:val="720"/>
  <w:autoHyphenation w:val="true"/>
  <w:footnotePr>
    <w:numFmt w:val="decimal"/>
    <w:footnote w:id="0"/>
    <w:footnote w:id="1"/>
  </w:foot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ru-RU" w:bidi="ar-SA"/>
      </w:rPr>
    </w:rPrDefault>
    <w:pPrDefault>
      <w:pPr>
        <w:suppressAutoHyphens w:val="true"/>
      </w:pPr>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uiPriority="99"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99"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uiPriority="99"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99"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uiPriority="99"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atentStyles>
  <w:style w:type="paragraph" w:styleId="Normal" w:default="1">
    <w:name w:val="Normal"/>
    <w:qFormat/>
    <w:rsid w:val="00e42745"/>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Heading1">
    <w:name w:val="Heading 1"/>
    <w:basedOn w:val="Normal"/>
    <w:next w:val="Normal"/>
    <w:qFormat/>
    <w:rsid w:val="00e42745"/>
    <w:pPr>
      <w:keepNext w:val="true"/>
      <w:outlineLvl w:val="0"/>
    </w:pPr>
    <w:rPr>
      <w:b/>
    </w:rPr>
  </w:style>
  <w:style w:type="paragraph" w:styleId="Heading2">
    <w:name w:val="Heading 2"/>
    <w:basedOn w:val="Normal"/>
    <w:next w:val="Normal"/>
    <w:qFormat/>
    <w:rsid w:val="00e42745"/>
    <w:pPr>
      <w:keepNext w:val="true"/>
      <w:jc w:val="both"/>
      <w:outlineLvl w:val="1"/>
    </w:pPr>
    <w:rPr>
      <w:b/>
    </w:rPr>
  </w:style>
  <w:style w:type="paragraph" w:styleId="Heading3">
    <w:name w:val="Heading 3"/>
    <w:basedOn w:val="Normal"/>
    <w:next w:val="Normal"/>
    <w:link w:val="31"/>
    <w:qFormat/>
    <w:rsid w:val="00e42745"/>
    <w:pPr>
      <w:keepNext w:val="true"/>
      <w:tabs>
        <w:tab w:val="clear" w:pos="720"/>
        <w:tab w:val="left" w:pos="0" w:leader="none"/>
      </w:tabs>
      <w:jc w:val="center"/>
      <w:outlineLvl w:val="2"/>
    </w:pPr>
    <w:rPr>
      <w:b/>
    </w:rPr>
  </w:style>
  <w:style w:type="paragraph" w:styleId="Heading4">
    <w:name w:val="Heading 4"/>
    <w:basedOn w:val="Normal"/>
    <w:next w:val="Normal"/>
    <w:qFormat/>
    <w:rsid w:val="00e42745"/>
    <w:pPr>
      <w:keepNext w:val="true"/>
      <w:numPr>
        <w:ilvl w:val="0"/>
        <w:numId w:val="1"/>
      </w:numPr>
      <w:ind w:left="3119" w:hanging="0"/>
      <w:outlineLvl w:val="3"/>
    </w:pPr>
    <w:rPr>
      <w:b/>
    </w:rPr>
  </w:style>
  <w:style w:type="paragraph" w:styleId="Heading5">
    <w:name w:val="Heading 5"/>
    <w:basedOn w:val="Normal"/>
    <w:next w:val="Normal"/>
    <w:qFormat/>
    <w:rsid w:val="00e42745"/>
    <w:pPr>
      <w:keepNext w:val="true"/>
      <w:numPr>
        <w:ilvl w:val="0"/>
        <w:numId w:val="2"/>
      </w:numPr>
      <w:jc w:val="center"/>
      <w:outlineLvl w:val="4"/>
    </w:pPr>
    <w:rPr>
      <w:b/>
    </w:rPr>
  </w:style>
  <w:style w:type="paragraph" w:styleId="Heading6">
    <w:name w:val="Heading 6"/>
    <w:basedOn w:val="Normal"/>
    <w:next w:val="Normal"/>
    <w:qFormat/>
    <w:rsid w:val="00e42745"/>
    <w:pPr>
      <w:keepNext w:val="true"/>
      <w:jc w:val="center"/>
      <w:outlineLvl w:val="5"/>
    </w:pPr>
    <w:rPr>
      <w:sz w:val="28"/>
    </w:rPr>
  </w:style>
  <w:style w:type="paragraph" w:styleId="Heading7">
    <w:name w:val="Heading 7"/>
    <w:basedOn w:val="Normal"/>
    <w:next w:val="Normal"/>
    <w:qFormat/>
    <w:rsid w:val="00e42745"/>
    <w:pPr>
      <w:keepNext w:val="true"/>
      <w:jc w:val="center"/>
      <w:outlineLvl w:val="6"/>
    </w:pPr>
    <w:rPr>
      <w:bCs/>
      <w:sz w:val="24"/>
    </w:rPr>
  </w:style>
  <w:style w:type="paragraph" w:styleId="Heading8">
    <w:name w:val="Heading 8"/>
    <w:basedOn w:val="Normal"/>
    <w:next w:val="Normal"/>
    <w:qFormat/>
    <w:rsid w:val="00e42745"/>
    <w:pPr>
      <w:keepNext w:val="true"/>
      <w:jc w:val="center"/>
      <w:outlineLvl w:val="7"/>
    </w:pPr>
    <w:rPr>
      <w:b/>
      <w:bCs/>
      <w:sz w:val="24"/>
    </w:rPr>
  </w:style>
  <w:style w:type="character" w:styleId="DefaultParagraphFont" w:default="1">
    <w:name w:val="Default Paragraph Font"/>
    <w:uiPriority w:val="1"/>
    <w:semiHidden/>
    <w:unhideWhenUsed/>
    <w:qFormat/>
    <w:rPr/>
  </w:style>
  <w:style w:type="character" w:styleId="Pagenumber">
    <w:name w:val="page number"/>
    <w:basedOn w:val="DefaultParagraphFont"/>
    <w:qFormat/>
    <w:rsid w:val="00e42745"/>
    <w:rPr/>
  </w:style>
  <w:style w:type="character" w:styleId="Style1" w:customStyle="1">
    <w:name w:val="Заголовок Знак"/>
    <w:qFormat/>
    <w:rsid w:val="00ba4a00"/>
    <w:rPr>
      <w:b/>
      <w:bCs/>
      <w:sz w:val="28"/>
      <w:szCs w:val="24"/>
    </w:rPr>
  </w:style>
  <w:style w:type="character" w:styleId="2" w:customStyle="1">
    <w:name w:val="Основной текст с отступом 2 Знак"/>
    <w:link w:val="BodyTextIndent2"/>
    <w:qFormat/>
    <w:rsid w:val="0066561f"/>
    <w:rPr>
      <w:sz w:val="24"/>
    </w:rPr>
  </w:style>
  <w:style w:type="character" w:styleId="Style2" w:customStyle="1">
    <w:name w:val="Текст выноски Знак"/>
    <w:link w:val="BalloonText"/>
    <w:qFormat/>
    <w:rsid w:val="0066561f"/>
    <w:rPr>
      <w:rFonts w:ascii="Tahoma" w:hAnsi="Tahoma" w:cs="Tahoma"/>
      <w:sz w:val="16"/>
      <w:szCs w:val="16"/>
    </w:rPr>
  </w:style>
  <w:style w:type="character" w:styleId="Style3" w:customStyle="1">
    <w:name w:val="Основной текст Знак"/>
    <w:qFormat/>
    <w:rsid w:val="0066561f"/>
    <w:rPr>
      <w:sz w:val="22"/>
    </w:rPr>
  </w:style>
  <w:style w:type="character" w:styleId="3" w:customStyle="1">
    <w:name w:val="Основной текст 3 Знак"/>
    <w:link w:val="BodyText3"/>
    <w:qFormat/>
    <w:rsid w:val="0066561f"/>
    <w:rPr>
      <w:sz w:val="28"/>
    </w:rPr>
  </w:style>
  <w:style w:type="character" w:styleId="Annotationreference">
    <w:name w:val="annotation reference"/>
    <w:qFormat/>
    <w:rsid w:val="0066561f"/>
    <w:rPr>
      <w:sz w:val="16"/>
      <w:szCs w:val="16"/>
    </w:rPr>
  </w:style>
  <w:style w:type="character" w:styleId="Style4" w:customStyle="1">
    <w:name w:val="Текст примечания Знак"/>
    <w:basedOn w:val="DefaultParagraphFont"/>
    <w:link w:val="Annotationtext"/>
    <w:qFormat/>
    <w:rsid w:val="0066561f"/>
    <w:rPr/>
  </w:style>
  <w:style w:type="character" w:styleId="Style5" w:customStyle="1">
    <w:name w:val="Тема примечания Знак"/>
    <w:link w:val="Annotationsubject"/>
    <w:qFormat/>
    <w:rsid w:val="0066561f"/>
    <w:rPr>
      <w:b/>
      <w:bCs/>
    </w:rPr>
  </w:style>
  <w:style w:type="character" w:styleId="31" w:customStyle="1">
    <w:name w:val="Заголовок 3 Знак"/>
    <w:qFormat/>
    <w:rsid w:val="0066561f"/>
    <w:rPr>
      <w:b/>
    </w:rPr>
  </w:style>
  <w:style w:type="character" w:styleId="Style6" w:customStyle="1">
    <w:name w:val="Основной текст с отступом Знак"/>
    <w:qFormat/>
    <w:rsid w:val="0066561f"/>
    <w:rPr>
      <w:sz w:val="22"/>
      <w:shd w:fill="FFFFFF" w:val="clear"/>
    </w:rPr>
  </w:style>
  <w:style w:type="character" w:styleId="Style7" w:customStyle="1">
    <w:name w:val="комментарий"/>
    <w:uiPriority w:val="99"/>
    <w:qFormat/>
    <w:rsid w:val="0066561f"/>
    <w:rPr>
      <w:rFonts w:cs="Times New Roman"/>
      <w:b/>
      <w:bCs/>
      <w:i/>
      <w:iCs/>
      <w:shd w:fill="FFFF99" w:val="clear"/>
    </w:rPr>
  </w:style>
  <w:style w:type="character" w:styleId="Style8" w:customStyle="1">
    <w:name w:val="Текст сноски Знак"/>
    <w:basedOn w:val="DefaultParagraphFont"/>
    <w:uiPriority w:val="99"/>
    <w:qFormat/>
    <w:rsid w:val="0066561f"/>
    <w:rPr/>
  </w:style>
  <w:style w:type="character" w:styleId="Style9">
    <w:name w:val="Символ сноски"/>
    <w:uiPriority w:val="99"/>
    <w:qFormat/>
    <w:rsid w:val="0066561f"/>
    <w:rPr>
      <w:vertAlign w:val="superscript"/>
    </w:rPr>
  </w:style>
  <w:style w:type="character" w:styleId="FootnoteReference">
    <w:name w:val="Footnote Reference"/>
    <w:rPr>
      <w:vertAlign w:val="superscript"/>
    </w:rPr>
  </w:style>
  <w:style w:type="character" w:styleId="Style10" w:customStyle="1">
    <w:name w:val="Схема документа Знак"/>
    <w:link w:val="DocumentMap"/>
    <w:qFormat/>
    <w:rsid w:val="0066561f"/>
    <w:rPr>
      <w:rFonts w:ascii="Tahoma" w:hAnsi="Tahoma" w:cs="Tahoma"/>
      <w:shd w:fill="000080" w:val="clear"/>
    </w:rPr>
  </w:style>
  <w:style w:type="character" w:styleId="Style11" w:customStyle="1">
    <w:name w:val="Верхний колонтитул Знак"/>
    <w:basedOn w:val="DefaultParagraphFont"/>
    <w:qFormat/>
    <w:rsid w:val="0066561f"/>
    <w:rPr/>
  </w:style>
  <w:style w:type="character" w:styleId="Hyperlink">
    <w:name w:val="Hyperlink"/>
    <w:basedOn w:val="DefaultParagraphFont"/>
    <w:uiPriority w:val="99"/>
    <w:unhideWhenUsed/>
    <w:rsid w:val="0066722e"/>
    <w:rPr>
      <w:color w:val="0000FF" w:themeColor="hyperlink"/>
      <w:u w:val="single"/>
    </w:rPr>
  </w:style>
  <w:style w:type="character" w:styleId="Style12" w:customStyle="1">
    <w:name w:val="Абзац списка Знак"/>
    <w:link w:val="ListParagraph"/>
    <w:uiPriority w:val="34"/>
    <w:qFormat/>
    <w:locked/>
    <w:rsid w:val="00b11d27"/>
    <w:rPr/>
  </w:style>
  <w:style w:type="character" w:styleId="1" w:customStyle="1">
    <w:name w:val="1. Статья Знак"/>
    <w:link w:val="12"/>
    <w:qFormat/>
    <w:rsid w:val="00b11d27"/>
    <w:rPr>
      <w:sz w:val="24"/>
      <w:szCs w:val="24"/>
      <w:lang w:val="x-none" w:eastAsia="x-none"/>
    </w:rPr>
  </w:style>
  <w:style w:type="character" w:styleId="Style13">
    <w:name w:val="Символ концевой сноски"/>
    <w:qFormat/>
    <w:rPr>
      <w:vertAlign w:val="superscript"/>
    </w:rPr>
  </w:style>
  <w:style w:type="character" w:styleId="EndnoteReference">
    <w:name w:val="Endnote Reference"/>
    <w:rPr>
      <w:vertAlign w:val="superscript"/>
    </w:rPr>
  </w:style>
  <w:style w:type="character" w:styleId="FootnoteCharacters">
    <w:name w:val="Footnote Characters"/>
    <w:qFormat/>
    <w:rPr>
      <w:vertAlign w:val="superscript"/>
    </w:rPr>
  </w:style>
  <w:style w:type="paragraph" w:styleId="Style14">
    <w:name w:val="Заголовок"/>
    <w:basedOn w:val="Normal"/>
    <w:next w:val="BodyText"/>
    <w:qFormat/>
    <w:pPr>
      <w:keepNext w:val="true"/>
      <w:spacing w:before="240" w:after="120"/>
    </w:pPr>
    <w:rPr>
      <w:rFonts w:ascii="Liberation Sans" w:hAnsi="Liberation Sans" w:eastAsia="Arial Unicode MS" w:cs="Arial Unicode MS"/>
      <w:sz w:val="28"/>
      <w:szCs w:val="28"/>
    </w:rPr>
  </w:style>
  <w:style w:type="paragraph" w:styleId="BodyText">
    <w:name w:val="Body Text"/>
    <w:basedOn w:val="Normal"/>
    <w:link w:val="Style3"/>
    <w:rsid w:val="00e42745"/>
    <w:pPr>
      <w:jc w:val="both"/>
    </w:pPr>
    <w:rPr>
      <w:sz w:val="22"/>
    </w:rPr>
  </w:style>
  <w:style w:type="paragraph" w:styleId="List">
    <w:name w:val="List"/>
    <w:basedOn w:val="BodyText"/>
    <w:pPr/>
    <w:rPr/>
  </w:style>
  <w:style w:type="paragraph" w:styleId="Caption">
    <w:name w:val="Caption"/>
    <w:basedOn w:val="Normal"/>
    <w:qFormat/>
    <w:pPr>
      <w:suppressLineNumbers/>
      <w:spacing w:before="120" w:after="120"/>
    </w:pPr>
    <w:rPr>
      <w:i/>
      <w:iCs/>
      <w:sz w:val="24"/>
      <w:szCs w:val="24"/>
    </w:rPr>
  </w:style>
  <w:style w:type="paragraph" w:styleId="Style15">
    <w:name w:val="Указатель"/>
    <w:basedOn w:val="Normal"/>
    <w:qFormat/>
    <w:pPr>
      <w:suppressLineNumbers/>
    </w:pPr>
    <w:rPr/>
  </w:style>
  <w:style w:type="paragraph" w:styleId="NormalWeb">
    <w:name w:val="Normal (Web)"/>
    <w:basedOn w:val="Normal"/>
    <w:qFormat/>
    <w:rsid w:val="00e42745"/>
    <w:pPr>
      <w:spacing w:beforeAutospacing="1" w:afterAutospacing="1"/>
      <w:ind w:right="150" w:hanging="0"/>
    </w:pPr>
    <w:rPr>
      <w:rFonts w:ascii="Tahoma" w:hAnsi="Tahoma" w:cs="Tahoma"/>
      <w:color w:val="000000"/>
    </w:rPr>
  </w:style>
  <w:style w:type="paragraph" w:styleId="BodyText2">
    <w:name w:val="Body Text 2"/>
    <w:basedOn w:val="Normal"/>
    <w:qFormat/>
    <w:rsid w:val="00e42745"/>
    <w:pPr>
      <w:jc w:val="both"/>
    </w:pPr>
    <w:rPr/>
  </w:style>
  <w:style w:type="paragraph" w:styleId="Style16">
    <w:name w:val="Колонтитул"/>
    <w:basedOn w:val="Normal"/>
    <w:qFormat/>
    <w:pPr/>
    <w:rPr/>
  </w:style>
  <w:style w:type="paragraph" w:styleId="Footer">
    <w:name w:val="Footer"/>
    <w:basedOn w:val="Normal"/>
    <w:rsid w:val="00e42745"/>
    <w:pPr>
      <w:tabs>
        <w:tab w:val="clear" w:pos="720"/>
        <w:tab w:val="center" w:pos="4677" w:leader="none"/>
        <w:tab w:val="right" w:pos="9355" w:leader="none"/>
      </w:tabs>
    </w:pPr>
    <w:rPr/>
  </w:style>
  <w:style w:type="paragraph" w:styleId="Title">
    <w:name w:val="Title"/>
    <w:basedOn w:val="Normal"/>
    <w:link w:val="Style1"/>
    <w:qFormat/>
    <w:rsid w:val="00e42745"/>
    <w:pPr>
      <w:jc w:val="center"/>
    </w:pPr>
    <w:rPr>
      <w:b/>
      <w:bCs/>
      <w:sz w:val="28"/>
      <w:szCs w:val="24"/>
    </w:rPr>
  </w:style>
  <w:style w:type="paragraph" w:styleId="11" w:customStyle="1">
    <w:name w:val="Текст1"/>
    <w:basedOn w:val="Normal"/>
    <w:qFormat/>
    <w:rsid w:val="00e42745"/>
    <w:pPr>
      <w:spacing w:before="0" w:after="120"/>
      <w:jc w:val="both"/>
    </w:pPr>
    <w:rPr>
      <w:rFonts w:ascii="Courier New" w:hAnsi="Courier New"/>
      <w:sz w:val="22"/>
      <w:lang w:eastAsia="en-US"/>
    </w:rPr>
  </w:style>
  <w:style w:type="paragraph" w:styleId="BodyText3">
    <w:name w:val="Body Text 3"/>
    <w:basedOn w:val="Normal"/>
    <w:link w:val="3"/>
    <w:qFormat/>
    <w:rsid w:val="00e42745"/>
    <w:pPr>
      <w:jc w:val="both"/>
    </w:pPr>
    <w:rPr>
      <w:sz w:val="28"/>
    </w:rPr>
  </w:style>
  <w:style w:type="paragraph" w:styleId="BodyTextIndent">
    <w:name w:val="Body Text Indent"/>
    <w:basedOn w:val="Normal"/>
    <w:link w:val="Style6"/>
    <w:rsid w:val="00e42745"/>
    <w:pPr>
      <w:widowControl w:val="false"/>
      <w:shd w:val="clear" w:color="auto" w:fill="FFFFFF"/>
      <w:ind w:firstLine="567"/>
      <w:jc w:val="both"/>
    </w:pPr>
    <w:rPr>
      <w:sz w:val="22"/>
    </w:rPr>
  </w:style>
  <w:style w:type="paragraph" w:styleId="BodyTextIndent3">
    <w:name w:val="Body Text Indent 3"/>
    <w:basedOn w:val="Normal"/>
    <w:qFormat/>
    <w:rsid w:val="00e42745"/>
    <w:pPr>
      <w:shd w:val="clear" w:color="auto" w:fill="FFFFFF"/>
      <w:ind w:firstLine="567"/>
      <w:jc w:val="both"/>
    </w:pPr>
    <w:rPr>
      <w:sz w:val="28"/>
      <w:szCs w:val="24"/>
    </w:rPr>
  </w:style>
  <w:style w:type="paragraph" w:styleId="Style17" w:customStyle="1">
    <w:name w:val="Таблицы (моноширинный)"/>
    <w:basedOn w:val="Normal"/>
    <w:next w:val="Normal"/>
    <w:qFormat/>
    <w:rsid w:val="0066561f"/>
    <w:pPr>
      <w:widowControl w:val="false"/>
      <w:jc w:val="both"/>
    </w:pPr>
    <w:rPr>
      <w:rFonts w:ascii="Courier New" w:hAnsi="Courier New" w:cs="Courier New"/>
    </w:rPr>
  </w:style>
  <w:style w:type="paragraph" w:styleId="BodyTextIndent2">
    <w:name w:val="Body Text Indent 2"/>
    <w:basedOn w:val="Normal"/>
    <w:link w:val="2"/>
    <w:qFormat/>
    <w:rsid w:val="0066561f"/>
    <w:pPr>
      <w:widowControl w:val="false"/>
      <w:ind w:left="1843" w:hanging="0"/>
      <w:jc w:val="both"/>
    </w:pPr>
    <w:rPr>
      <w:sz w:val="24"/>
    </w:rPr>
  </w:style>
  <w:style w:type="paragraph" w:styleId="BalloonText">
    <w:name w:val="Balloon Text"/>
    <w:basedOn w:val="Normal"/>
    <w:link w:val="Style2"/>
    <w:qFormat/>
    <w:rsid w:val="0066561f"/>
    <w:pPr>
      <w:widowControl w:val="false"/>
    </w:pPr>
    <w:rPr>
      <w:rFonts w:ascii="Tahoma" w:hAnsi="Tahoma" w:cs="Tahoma"/>
      <w:sz w:val="16"/>
      <w:szCs w:val="16"/>
    </w:rPr>
  </w:style>
  <w:style w:type="paragraph" w:styleId="Annotationtext">
    <w:name w:val="annotation text"/>
    <w:basedOn w:val="Normal"/>
    <w:link w:val="Style4"/>
    <w:qFormat/>
    <w:rsid w:val="0066561f"/>
    <w:pPr>
      <w:widowControl w:val="false"/>
    </w:pPr>
    <w:rPr/>
  </w:style>
  <w:style w:type="paragraph" w:styleId="Annotationsubject">
    <w:name w:val="annotation subject"/>
    <w:basedOn w:val="Annotationtext"/>
    <w:next w:val="Annotationtext"/>
    <w:link w:val="Style5"/>
    <w:qFormat/>
    <w:rsid w:val="0066561f"/>
    <w:pPr/>
    <w:rPr>
      <w:b/>
      <w:bCs/>
    </w:rPr>
  </w:style>
  <w:style w:type="paragraph" w:styleId="ListParagraph">
    <w:name w:val="List Paragraph"/>
    <w:basedOn w:val="Normal"/>
    <w:link w:val="Style12"/>
    <w:uiPriority w:val="34"/>
    <w:qFormat/>
    <w:rsid w:val="0066561f"/>
    <w:pPr>
      <w:widowControl w:val="false"/>
      <w:spacing w:before="0" w:after="0"/>
      <w:ind w:left="720" w:hanging="0"/>
      <w:contextualSpacing/>
    </w:pPr>
    <w:rPr/>
  </w:style>
  <w:style w:type="paragraph" w:styleId="Style18" w:customStyle="1">
    <w:name w:val="Знак Знак Знак Знак Знак Знак Знак Знак Знак"/>
    <w:basedOn w:val="Normal"/>
    <w:uiPriority w:val="99"/>
    <w:qFormat/>
    <w:rsid w:val="0066561f"/>
    <w:pPr>
      <w:spacing w:lineRule="exact" w:line="240" w:before="0" w:after="160"/>
      <w:jc w:val="both"/>
    </w:pPr>
    <w:rPr>
      <w:rFonts w:ascii="Verdana" w:hAnsi="Verdana"/>
      <w:sz w:val="22"/>
      <w:lang w:val="en-US" w:eastAsia="en-US"/>
    </w:rPr>
  </w:style>
  <w:style w:type="paragraph" w:styleId="Style19" w:customStyle="1">
    <w:name w:val="Подпункт договора"/>
    <w:basedOn w:val="Normal"/>
    <w:qFormat/>
    <w:rsid w:val="0066561f"/>
    <w:pPr>
      <w:tabs>
        <w:tab w:val="clear" w:pos="720"/>
        <w:tab w:val="left" w:pos="360" w:leader="none"/>
      </w:tabs>
      <w:jc w:val="both"/>
    </w:pPr>
    <w:rPr>
      <w:rFonts w:ascii="Arial" w:hAnsi="Arial"/>
    </w:rPr>
  </w:style>
  <w:style w:type="paragraph" w:styleId="ConsNormal" w:customStyle="1">
    <w:name w:val="ConsNormal"/>
    <w:qFormat/>
    <w:rsid w:val="0066561f"/>
    <w:pPr>
      <w:widowControl/>
      <w:suppressAutoHyphens w:val="true"/>
      <w:bidi w:val="0"/>
      <w:spacing w:before="0" w:after="0"/>
      <w:ind w:right="19772" w:firstLine="720"/>
      <w:jc w:val="left"/>
    </w:pPr>
    <w:rPr>
      <w:rFonts w:ascii="Arial" w:hAnsi="Arial" w:eastAsia="Times New Roman" w:cs="Times New Roman"/>
      <w:color w:val="auto"/>
      <w:kern w:val="0"/>
      <w:sz w:val="32"/>
      <w:szCs w:val="20"/>
      <w:lang w:val="ru-RU" w:eastAsia="en-US" w:bidi="ar-SA"/>
    </w:rPr>
  </w:style>
  <w:style w:type="paragraph" w:styleId="Style20" w:customStyle="1">
    <w:name w:val="Знак"/>
    <w:basedOn w:val="Normal"/>
    <w:qFormat/>
    <w:rsid w:val="0066561f"/>
    <w:pPr>
      <w:spacing w:lineRule="exact" w:line="240" w:before="0" w:after="160"/>
    </w:pPr>
    <w:rPr>
      <w:rFonts w:ascii="Verdana" w:hAnsi="Verdana" w:cs="Verdana"/>
      <w:lang w:val="en-US" w:eastAsia="en-US"/>
    </w:rPr>
  </w:style>
  <w:style w:type="paragraph" w:styleId="FootnoteText">
    <w:name w:val="Footnote Text"/>
    <w:basedOn w:val="Normal"/>
    <w:link w:val="Style8"/>
    <w:uiPriority w:val="99"/>
    <w:rsid w:val="0066561f"/>
    <w:pPr>
      <w:widowControl w:val="false"/>
    </w:pPr>
    <w:rPr/>
  </w:style>
  <w:style w:type="paragraph" w:styleId="ListBullet3">
    <w:name w:val="List Bullet 3"/>
    <w:basedOn w:val="Normal"/>
    <w:uiPriority w:val="99"/>
    <w:unhideWhenUsed/>
    <w:qFormat/>
    <w:rsid w:val="0066561f"/>
    <w:pPr>
      <w:tabs>
        <w:tab w:val="clear" w:pos="720"/>
        <w:tab w:val="left" w:pos="1418" w:leader="none"/>
      </w:tabs>
      <w:spacing w:lineRule="auto" w:line="360" w:before="120" w:after="0"/>
      <w:ind w:firstLine="720"/>
      <w:jc w:val="both"/>
    </w:pPr>
    <w:rPr>
      <w:rFonts w:eastAsia="Calibri"/>
      <w:i/>
      <w:iCs/>
      <w:sz w:val="24"/>
      <w:szCs w:val="24"/>
    </w:rPr>
  </w:style>
  <w:style w:type="paragraph" w:styleId="-" w:customStyle="1">
    <w:name w:val="Контракт-пункт"/>
    <w:basedOn w:val="Normal"/>
    <w:qFormat/>
    <w:rsid w:val="0066561f"/>
    <w:pPr>
      <w:tabs>
        <w:tab w:val="clear" w:pos="720"/>
        <w:tab w:val="left" w:pos="851" w:leader="none"/>
      </w:tabs>
      <w:spacing w:lineRule="auto" w:line="360"/>
      <w:ind w:left="851" w:hanging="851"/>
      <w:jc w:val="both"/>
    </w:pPr>
    <w:rPr>
      <w:rFonts w:eastAsia="Calibri"/>
      <w:sz w:val="28"/>
      <w:szCs w:val="28"/>
    </w:rPr>
  </w:style>
  <w:style w:type="paragraph" w:styleId="DocumentMap">
    <w:name w:val="Document Map"/>
    <w:basedOn w:val="Normal"/>
    <w:link w:val="Style10"/>
    <w:qFormat/>
    <w:rsid w:val="0066561f"/>
    <w:pPr>
      <w:widowControl w:val="false"/>
      <w:shd w:val="clear" w:color="auto" w:fill="000080"/>
    </w:pPr>
    <w:rPr>
      <w:rFonts w:ascii="Tahoma" w:hAnsi="Tahoma" w:cs="Tahoma"/>
    </w:rPr>
  </w:style>
  <w:style w:type="paragraph" w:styleId="Revision">
    <w:name w:val="Revision"/>
    <w:uiPriority w:val="99"/>
    <w:semiHidden/>
    <w:qFormat/>
    <w:rsid w:val="0066561f"/>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Header">
    <w:name w:val="Header"/>
    <w:basedOn w:val="Normal"/>
    <w:link w:val="Style11"/>
    <w:rsid w:val="0066561f"/>
    <w:pPr>
      <w:widowControl w:val="false"/>
      <w:tabs>
        <w:tab w:val="clear" w:pos="720"/>
        <w:tab w:val="center" w:pos="4677" w:leader="none"/>
        <w:tab w:val="right" w:pos="9355" w:leader="none"/>
      </w:tabs>
    </w:pPr>
    <w:rPr/>
  </w:style>
  <w:style w:type="paragraph" w:styleId="12" w:customStyle="1">
    <w:name w:val="1. Статья"/>
    <w:basedOn w:val="Heading3"/>
    <w:link w:val="1"/>
    <w:qFormat/>
    <w:rsid w:val="00b11d27"/>
    <w:pPr>
      <w:keepNext w:val="false"/>
      <w:widowControl w:val="false"/>
      <w:numPr>
        <w:ilvl w:val="0"/>
        <w:numId w:val="10"/>
      </w:numPr>
      <w:tabs>
        <w:tab w:val="left" w:pos="0" w:leader="none"/>
        <w:tab w:val="left" w:pos="2340" w:leader="none"/>
      </w:tabs>
      <w:overflowPunct w:val="true"/>
      <w:ind w:right="1462" w:hanging="0"/>
      <w:textAlignment w:val="baseline"/>
    </w:pPr>
    <w:rPr>
      <w:b w:val="false"/>
      <w:sz w:val="24"/>
      <w:szCs w:val="24"/>
      <w:lang w:val="x-none" w:eastAsia="x-none"/>
    </w:rPr>
  </w:style>
  <w:style w:type="paragraph" w:styleId="21" w:customStyle="1">
    <w:name w:val="2. Пункт"/>
    <w:basedOn w:val="Heading3"/>
    <w:qFormat/>
    <w:rsid w:val="00b11d27"/>
    <w:pPr>
      <w:keepNext w:val="false"/>
      <w:widowControl w:val="false"/>
      <w:numPr>
        <w:ilvl w:val="1"/>
        <w:numId w:val="10"/>
      </w:numPr>
      <w:overflowPunct w:val="true"/>
      <w:jc w:val="both"/>
      <w:textAlignment w:val="baseline"/>
    </w:pPr>
    <w:rPr>
      <w:b w:val="false"/>
      <w:sz w:val="24"/>
      <w:szCs w:val="24"/>
      <w:lang w:val="x-none" w:eastAsia="x-none"/>
    </w:rPr>
  </w:style>
  <w:style w:type="paragraph" w:styleId="32" w:customStyle="1">
    <w:name w:val="3. Подпункт"/>
    <w:basedOn w:val="Heading3"/>
    <w:qFormat/>
    <w:rsid w:val="00b11d27"/>
    <w:pPr>
      <w:keepNext w:val="false"/>
      <w:widowControl w:val="false"/>
      <w:numPr>
        <w:ilvl w:val="2"/>
        <w:numId w:val="10"/>
      </w:numPr>
      <w:tabs>
        <w:tab w:val="left" w:pos="0" w:leader="none"/>
        <w:tab w:val="left" w:pos="1620" w:leader="none"/>
      </w:tabs>
      <w:overflowPunct w:val="true"/>
      <w:jc w:val="both"/>
      <w:textAlignment w:val="baseline"/>
    </w:pPr>
    <w:rPr>
      <w:bCs/>
      <w:sz w:val="24"/>
      <w:szCs w:val="24"/>
      <w:lang w:val="x-none" w:eastAsia="x-none"/>
    </w:rPr>
  </w:style>
  <w:style w:type="paragraph" w:styleId="Style21">
    <w:name w:val="Содержимое врезки"/>
    <w:basedOn w:val="Normal"/>
    <w:qFormat/>
    <w:pPr/>
    <w:rPr/>
  </w:style>
  <w:style w:type="paragraph" w:styleId="Style22">
    <w:name w:val="Таблица текст"/>
    <w:basedOn w:val="Normal"/>
    <w:qFormat/>
    <w:pPr>
      <w:spacing w:before="40" w:after="40"/>
      <w:ind w:left="57" w:right="57" w:hanging="0"/>
    </w:pPr>
    <w:rPr>
      <w:sz w:val="24"/>
      <w:szCs w:val="24"/>
    </w:rPr>
  </w:style>
  <w:style w:type="paragraph" w:styleId="Style23">
    <w:name w:val="Знак Знак Знак Знак"/>
    <w:basedOn w:val="Normal"/>
    <w:qFormat/>
    <w:pPr>
      <w:spacing w:lineRule="exact" w:line="240" w:before="0" w:after="160"/>
    </w:pPr>
    <w:rPr>
      <w:rFonts w:ascii="Verdana" w:hAnsi="Verdana" w:cs="Verdana"/>
      <w:lang w:val="en-US" w:eastAsia="en-US"/>
    </w:rPr>
  </w:style>
  <w:style w:type="numbering" w:styleId="NoList" w:default="1">
    <w:name w:val="No List"/>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 w:type="table" w:styleId="af">
    <w:name w:val="Table Grid"/>
    <w:basedOn w:val="a1"/>
    <w:rsid w:val="0066561f"/>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www.consultant.ru/document/cons_doc_LAW_371981/" TargetMode="External"/><Relationship Id="rId3" Type="http://schemas.openxmlformats.org/officeDocument/2006/relationships/hyperlink" Target="https://www.consultant.ru/document/cons_doc_LAW_371981/" TargetMode="External"/><Relationship Id="rId4" Type="http://schemas.openxmlformats.org/officeDocument/2006/relationships/hyperlink" Target="https://www.consultant.ru/document/cons_doc_LAW_371981/" TargetMode="External"/><Relationship Id="rId5" Type="http://schemas.openxmlformats.org/officeDocument/2006/relationships/hyperlink" Target="consultantplus://offline/ref=94D5CE8889791A29DE57299515463A9D6134D8237B999C803E6F853513x2A2P" TargetMode="External"/><Relationship Id="rId6" Type="http://schemas.openxmlformats.org/officeDocument/2006/relationships/hyperlink" Target="consultantplus://offline/ref=94D5CE8889791A29DE57299515463A9D6135D2287D929C803E6F853513x2A2P" TargetMode="External"/><Relationship Id="rId7" Type="http://schemas.openxmlformats.org/officeDocument/2006/relationships/hyperlink" Target="consultantplus://offline/ref=79440D5123ABA6A25F43346AB59DBAAC7032C8E1556DA64FAED62E167F76889C2B7C475C32EFC59BJ8rDH" TargetMode="Externa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footer" Target="footer3.xml"/><Relationship Id="rId12" Type="http://schemas.openxmlformats.org/officeDocument/2006/relationships/header" Target="header2.xml"/><Relationship Id="rId13" Type="http://schemas.openxmlformats.org/officeDocument/2006/relationships/header" Target="header3.xml"/><Relationship Id="rId14" Type="http://schemas.openxmlformats.org/officeDocument/2006/relationships/footer" Target="footer4.xml"/><Relationship Id="rId15" Type="http://schemas.openxmlformats.org/officeDocument/2006/relationships/footer" Target="footer5.xml"/><Relationship Id="rId16" Type="http://schemas.openxmlformats.org/officeDocument/2006/relationships/footer" Target="footer6.xml"/><Relationship Id="rId17" Type="http://schemas.openxmlformats.org/officeDocument/2006/relationships/footnotes" Target="footnotes.xml"/><Relationship Id="rId18" Type="http://schemas.openxmlformats.org/officeDocument/2006/relationships/numbering" Target="numbering.xml"/><Relationship Id="rId19" Type="http://schemas.openxmlformats.org/officeDocument/2006/relationships/fontTable" Target="fontTable.xml"/><Relationship Id="rId20" Type="http://schemas.openxmlformats.org/officeDocument/2006/relationships/settings" Target="settings.xml"/><Relationship Id="rId21" Type="http://schemas.openxmlformats.org/officeDocument/2006/relationships/theme" Target="theme/theme1.xml"/><Relationship Id="rId22" Type="http://schemas.openxmlformats.org/officeDocument/2006/relationships/customXml" Target="../customXml/item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8D5F11-F866-4C5C-B6C6-6AD718258A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187</TotalTime>
  <Application>AlterOffice/3.4.0.9$Linux_X86_64 LibreOffice_project/b8daf9e823b1a5463a2f48435ddc2e8696e7d4fc</Application>
  <AppVersion>15.0000</AppVersion>
  <Pages>21</Pages>
  <Words>7594</Words>
  <Characters>54336</Characters>
  <CharactersWithSpaces>61449</CharactersWithSpaces>
  <Paragraphs>391</Paragraphs>
  <Company>ООО "Райдэн"</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2017-11-07T14:49:00Z</dcterms:created>
  <dc:creator>Света &amp; Алла (Twix)</dc:creator>
  <dc:description/>
  <dc:language>ru-RU</dc:language>
  <cp:lastModifiedBy>sherstukdi@corp.gidroogk.com</cp:lastModifiedBy>
  <cp:lastPrinted>2017-11-07T14:48:00Z</cp:lastPrinted>
  <dcterms:modified xsi:type="dcterms:W3CDTF">2026-10-04T19:16:11Z</dcterms:modified>
  <cp:revision>62</cp:revision>
  <dc:subject/>
  <dc:title>ДОГОВОР ПОСТАВКИ</dc:title>
</cp:coreProperties>
</file>

<file path=docProps/custom.xml><?xml version="1.0" encoding="utf-8"?>
<Properties xmlns="http://schemas.openxmlformats.org/officeDocument/2006/custom-properties" xmlns:vt="http://schemas.openxmlformats.org/officeDocument/2006/docPropsVTypes"/>
</file>