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8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7.xml" ContentType="application/vnd.openxmlformats-officedocument.wordprocessingml.footer+xml"/>
  <Override PartName="/word/footer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ind w:firstLine="709" w:right="3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center"/>
        <w:rPr>
          <w:sz w:val="28"/>
          <w:szCs w:val="28"/>
        </w:rPr>
      </w:pPr>
      <w:r>
        <w:rPr>
          <w:rFonts w:eastAsia="Times New Roman"/>
          <w:b/>
          <w:caps/>
          <w:sz w:val="28"/>
          <w:szCs w:val="28"/>
          <w:lang w:eastAsia="ru-RU"/>
        </w:rPr>
        <w:t>Технические ТРЕБОВАНИЯ</w:t>
      </w:r>
    </w:p>
    <w:p>
      <w:pPr>
        <w:pStyle w:val="Normal"/>
        <w:widowControl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ОКПД2: 71.12.19.100:  «Разработка рабочей документации на текущий ремонт затворов ремонтных №1-12 нижнего бьефа Бурейской ГЭС»</w:t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sectPr>
          <w:footerReference w:type="default" r:id="rId2"/>
          <w:type w:val="nextPage"/>
          <w:pgSz w:w="11906" w:h="16838"/>
          <w:pgMar w:left="1701" w:right="851" w:gutter="0" w:header="0" w:top="1200" w:footer="620" w:bottom="904"/>
          <w:pgNumType w:fmt="decimal"/>
          <w:formProt w:val="false"/>
          <w:textDirection w:val="lrTb"/>
          <w:docGrid w:type="default" w:linePitch="299" w:charSpace="0"/>
        </w:sect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  <w:t>2026 г.</w:t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fldChar w:fldCharType="begin"/>
          </w:r>
          <w:r>
            <w:rPr>
              <w:sz w:val="24"/>
              <w:szCs w:val="24"/>
            </w:rPr>
            <w:instrText xml:space="preserve"> TOC \o "1-4" \h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1.1. Обозначения и сокращения                                                                                                   3</w:t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>1.2. Наименование закупаемой продукции                                                                                 4</w:t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>1.3. Цель и задачи выполнения работ                                                                                          4</w:t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>1.4. Существующее положение                                                                                                    4</w:t>
          </w:r>
        </w:p>
        <w:p>
          <w:pPr>
            <w:pStyle w:val="Normal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      </w:t>
          </w:r>
          <w:r>
            <w:rPr>
              <w:b w:val="false"/>
              <w:bCs w:val="false"/>
              <w:i/>
              <w:iCs/>
              <w:sz w:val="24"/>
              <w:szCs w:val="24"/>
            </w:rPr>
            <w:t>Таблица 1. Перечень объектов Заказчика</w:t>
          </w:r>
          <w:r>
            <w:rPr>
              <w:sz w:val="24"/>
              <w:szCs w:val="24"/>
            </w:rPr>
            <w:t xml:space="preserve">                                                                            5</w:t>
          </w:r>
        </w:p>
        <w:p>
          <w:pPr>
            <w:pStyle w:val="Normal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>1.5. Основание на выполнение работ                                                                                           5 1.6. Наименование и место расположения функционального заказчика                                 5</w:t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>1.7.</w:t>
          </w:r>
          <w:bookmarkStart w:id="0" w:name="_Toc184134833_Копия_1"/>
          <w:r>
            <w:rPr>
              <w:sz w:val="24"/>
              <w:szCs w:val="24"/>
            </w:rPr>
            <w:t xml:space="preserve"> Информация в отношении исполнения договора, </w:t>
          </w:r>
          <w:bookmarkStart w:id="1" w:name="_Hlk46492347_Копия_1"/>
          <w:r>
            <w:rPr>
              <w:sz w:val="24"/>
              <w:szCs w:val="24"/>
            </w:rPr>
            <w:t xml:space="preserve">которая должна быть учтена </w:t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      </w:t>
          </w:r>
          <w:r>
            <w:rPr>
              <w:sz w:val="24"/>
              <w:szCs w:val="24"/>
            </w:rPr>
            <w:t xml:space="preserve">при подготовке заявки </w:t>
          </w:r>
          <w:bookmarkEnd w:id="1"/>
          <w:r>
            <w:rPr>
              <w:sz w:val="24"/>
              <w:szCs w:val="24"/>
            </w:rPr>
            <w:t xml:space="preserve">(в том числе перечень ресурсов, услуг и документов, </w:t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      </w:t>
          </w:r>
          <w:r>
            <w:rPr>
              <w:sz w:val="24"/>
              <w:szCs w:val="24"/>
            </w:rPr>
            <w:t>предоставляемых заказчиком на этапе исполнения договора)</w:t>
          </w:r>
          <w:bookmarkEnd w:id="0"/>
          <w:r>
            <w:rPr>
              <w:sz w:val="24"/>
              <w:szCs w:val="24"/>
            </w:rPr>
            <w:t xml:space="preserve">                                          6</w:t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>1.8. Иные требования и сведения общего характера                                                                  6</w:t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2. </w:t>
          </w:r>
          <w:bookmarkStart w:id="2" w:name="_Toc184134837_Копия_1"/>
          <w:bookmarkStart w:id="3" w:name="_Toc473553327_Копия_1"/>
          <w:r>
            <w:rPr>
              <w:sz w:val="24"/>
              <w:szCs w:val="24"/>
            </w:rPr>
            <w:t>Требования к продукции</w:t>
          </w:r>
          <w:bookmarkEnd w:id="2"/>
          <w:bookmarkEnd w:id="3"/>
          <w:r>
            <w:rPr>
              <w:sz w:val="24"/>
              <w:szCs w:val="24"/>
            </w:rPr>
            <w:t xml:space="preserve">                                                                                                           6</w:t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>2.1. Тр</w:t>
          </w:r>
          <w:r>
            <w:rPr>
              <w:b w:val="false"/>
              <w:bCs w:val="false"/>
              <w:sz w:val="24"/>
              <w:szCs w:val="24"/>
            </w:rPr>
            <w:t>ебования к объемам и срокам выполнения работ                                                           6</w:t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b w:val="false"/>
              <w:bCs w:val="false"/>
              <w:sz w:val="24"/>
              <w:szCs w:val="24"/>
            </w:rPr>
            <w:t>2.1.1. Требования к перечню и объему работ                                                                             6</w:t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b w:val="false"/>
              <w:bCs w:val="false"/>
              <w:sz w:val="24"/>
              <w:szCs w:val="24"/>
            </w:rPr>
            <w:t xml:space="preserve">        </w:t>
          </w:r>
          <w:r>
            <w:rPr>
              <w:b w:val="false"/>
              <w:bCs w:val="false"/>
              <w:i/>
              <w:iCs/>
              <w:sz w:val="24"/>
              <w:szCs w:val="24"/>
            </w:rPr>
            <w:t xml:space="preserve">Таблица 2. Перечень и объем выполняемых работ   </w:t>
          </w:r>
          <w:r>
            <w:rPr>
              <w:b w:val="false"/>
              <w:bCs w:val="false"/>
              <w:sz w:val="24"/>
              <w:szCs w:val="24"/>
            </w:rPr>
            <w:t xml:space="preserve">                                                         6</w:t>
          </w:r>
        </w:p>
        <w:p>
          <w:pPr>
            <w:pStyle w:val="Heading3"/>
            <w:widowControl/>
            <w:numPr>
              <w:ilvl w:val="2"/>
              <w:numId w:val="1"/>
            </w:numPr>
            <w:suppressAutoHyphens w:val="false"/>
            <w:bidi w:val="0"/>
            <w:jc w:val="left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bookmarkStart w:id="4" w:name="__RefHeading___Toc54643706_Копия_1"/>
          <w:bookmarkEnd w:id="4"/>
          <w:r>
            <w:rPr>
              <w:rFonts w:ascii="Times New Roman" w:hAnsi="Times New Roman"/>
              <w:b w:val="false"/>
              <w:bCs w:val="false"/>
              <w:sz w:val="24"/>
              <w:szCs w:val="24"/>
            </w:rPr>
            <w:t>2.1.2. Требования к срокам выполнения работ                                                                           7</w:t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bookmarkStart w:id="5" w:name="__RefHeading___Toc54643707_Копия_1"/>
          <w:bookmarkEnd w:id="5"/>
          <w:r>
            <w:rPr>
              <w:b w:val="false"/>
              <w:bCs w:val="false"/>
              <w:sz w:val="24"/>
              <w:szCs w:val="24"/>
            </w:rPr>
            <w:t xml:space="preserve">        </w:t>
          </w:r>
          <w:r>
            <w:rPr>
              <w:b w:val="false"/>
              <w:bCs w:val="false"/>
              <w:i/>
              <w:iCs/>
              <w:sz w:val="24"/>
              <w:szCs w:val="24"/>
            </w:rPr>
            <w:t xml:space="preserve">Таблица 3. </w:t>
          </w:r>
          <w:bookmarkStart w:id="6" w:name="_Hlk50465284_Копия_1"/>
          <w:r>
            <w:rPr>
              <w:b w:val="false"/>
              <w:bCs w:val="false"/>
              <w:i/>
              <w:iCs/>
              <w:sz w:val="24"/>
              <w:szCs w:val="24"/>
            </w:rPr>
            <w:t xml:space="preserve">Требования к срокам </w:t>
          </w:r>
          <w:bookmarkEnd w:id="6"/>
          <w:r>
            <w:rPr>
              <w:b w:val="false"/>
              <w:bCs w:val="false"/>
              <w:i/>
              <w:iCs/>
              <w:sz w:val="24"/>
              <w:szCs w:val="24"/>
            </w:rPr>
            <w:t xml:space="preserve">выполнения работ   </w:t>
          </w:r>
          <w:r>
            <w:rPr>
              <w:b w:val="false"/>
              <w:bCs w:val="false"/>
              <w:sz w:val="24"/>
              <w:szCs w:val="24"/>
            </w:rPr>
            <w:t xml:space="preserve">                                                       7</w:t>
          </w:r>
        </w:p>
        <w:p>
          <w:pPr>
            <w:pStyle w:val="Normal"/>
            <w:widowControl/>
            <w:suppressAutoHyphens w:val="false"/>
            <w:bidi w:val="0"/>
            <w:jc w:val="left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b w:val="false"/>
              <w:bCs w:val="false"/>
              <w:sz w:val="24"/>
              <w:szCs w:val="24"/>
            </w:rPr>
          </w:r>
        </w:p>
        <w:p>
          <w:pPr>
            <w:pStyle w:val="TOC1"/>
            <w:widowControl/>
            <w:suppressAutoHyphens w:val="false"/>
            <w:bidi w:val="0"/>
            <w:jc w:val="left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b w:val="false"/>
              <w:bCs w:val="false"/>
              <w:sz w:val="24"/>
              <w:szCs w:val="24"/>
            </w:rPr>
            <w:t>2.2. Требования к качеству выполнения работ                                                                           8</w:t>
          </w:r>
        </w:p>
        <w:p>
          <w:pPr>
            <w:pStyle w:val="Normal"/>
            <w:widowControl/>
            <w:suppressAutoHyphens w:val="false"/>
            <w:bidi w:val="0"/>
            <w:jc w:val="left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b w:val="false"/>
              <w:bCs w:val="false"/>
              <w:sz w:val="24"/>
              <w:szCs w:val="24"/>
            </w:rPr>
            <w:t xml:space="preserve">        </w:t>
          </w:r>
          <w:r>
            <w:rPr>
              <w:b w:val="false"/>
              <w:bCs w:val="false"/>
              <w:i/>
              <w:iCs/>
              <w:sz w:val="24"/>
              <w:szCs w:val="24"/>
            </w:rPr>
            <w:t xml:space="preserve">Таблица 4. Требования к качеству выполнения работ   </w:t>
          </w:r>
          <w:r>
            <w:rPr>
              <w:b w:val="false"/>
              <w:bCs w:val="false"/>
              <w:sz w:val="24"/>
              <w:szCs w:val="24"/>
            </w:rPr>
            <w:t xml:space="preserve">                                                   8</w:t>
          </w:r>
        </w:p>
        <w:p>
          <w:pPr>
            <w:pStyle w:val="Normal"/>
            <w:widowControl/>
            <w:suppressAutoHyphens w:val="false"/>
            <w:bidi w:val="0"/>
            <w:jc w:val="left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/>
          </w:r>
          <w:r>
            <w:rPr/>
            <w:fldChar w:fldCharType="end"/>
          </w:r>
        </w:p>
      </w:sdtContent>
    </w:sdt>
    <w:p>
      <w:pPr>
        <w:pStyle w:val="TOC1"/>
        <w:widowControl/>
        <w:suppressAutoHyphens w:val="false"/>
        <w:bidi w:val="0"/>
        <w:spacing w:before="0" w:after="57"/>
        <w:jc w:val="left"/>
        <w:rPr>
          <w:sz w:val="24"/>
          <w:szCs w:val="24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TOC1"/>
        <w:widowControl/>
        <w:suppressAutoHyphens w:val="false"/>
        <w:bidi w:val="0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TOC1"/>
        <w:widowControl/>
        <w:suppressAutoHyphens w:val="false"/>
        <w:bidi w:val="0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Normal"/>
        <w:widowControl/>
        <w:suppressAutoHyphens w:val="false"/>
        <w:bidi w:val="0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Normal"/>
        <w:widowControl/>
        <w:suppressAutoHyphens w:val="false"/>
        <w:bidi w:val="0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Normal"/>
        <w:widowControl/>
        <w:suppressAutoHyphens w:val="false"/>
        <w:bidi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uppressAutoHyphens w:val="false"/>
        <w:bidi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TOC1"/>
        <w:tabs>
          <w:tab w:val="clear" w:pos="426"/>
          <w:tab w:val="left" w:pos="284" w:leader="none"/>
          <w:tab w:val="right" w:pos="9344" w:leader="none"/>
        </w:tabs>
        <w:rPr>
          <w:rStyle w:val="Hyperlink"/>
          <w:szCs w:val="24"/>
        </w:rPr>
      </w:pPr>
      <w:r>
        <w:rPr>
          <w:szCs w:val="24"/>
        </w:rPr>
      </w:r>
      <w:r>
        <w:br w:type="page"/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142"/>
        <w:jc w:val="center"/>
        <w:rPr>
          <w:sz w:val="28"/>
          <w:szCs w:val="28"/>
        </w:rPr>
      </w:pPr>
      <w:bookmarkStart w:id="7" w:name="_Toc184134828"/>
      <w:r>
        <w:rPr>
          <w:b/>
          <w:sz w:val="28"/>
          <w:szCs w:val="28"/>
        </w:rPr>
        <w:t>1.1 ОБОЗНАЧЕНИЯ И СОКРАЩЕНИЯ</w:t>
      </w:r>
      <w:bookmarkEnd w:id="7"/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W w:w="94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96"/>
        <w:gridCol w:w="8163"/>
      </w:tblGrid>
      <w:tr>
        <w:trPr>
          <w:trHeight w:val="282" w:hRule="atLeast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Cs w:val="24"/>
                <w:shd w:fill="auto" w:val="clear"/>
                <w:lang w:eastAsia="ru-RU"/>
              </w:rPr>
              <w:t>ГЭС</w:t>
            </w: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Cs w:val="24"/>
                <w:shd w:fill="auto" w:val="clear"/>
                <w:lang w:eastAsia="ru-RU"/>
              </w:rPr>
              <w:t>Гидроэлектростанция</w:t>
            </w:r>
          </w:p>
        </w:tc>
      </w:tr>
      <w:tr>
        <w:trPr>
          <w:trHeight w:val="282" w:hRule="atLeast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Cs w:val="24"/>
                <w:shd w:fill="auto" w:val="clear"/>
                <w:lang w:eastAsia="ru-RU"/>
              </w:rPr>
              <w:t>АКЗ</w:t>
            </w: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Cs w:val="24"/>
                <w:shd w:fill="auto" w:val="clear"/>
                <w:lang w:eastAsia="ru-RU"/>
              </w:rPr>
              <w:t>Антикоррозийная защита</w:t>
            </w:r>
          </w:p>
        </w:tc>
      </w:tr>
      <w:tr>
        <w:trPr>
          <w:trHeight w:val="282" w:hRule="atLeast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Cs w:val="24"/>
                <w:shd w:fill="auto" w:val="clear"/>
                <w:lang w:eastAsia="ru-RU"/>
              </w:rPr>
              <w:t>НТД</w:t>
            </w: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Cs w:val="24"/>
                <w:shd w:fill="auto" w:val="clear"/>
                <w:lang w:eastAsia="ru-RU"/>
              </w:rPr>
              <w:t>Нормативно-техническая документация</w:t>
            </w:r>
          </w:p>
        </w:tc>
      </w:tr>
      <w:tr>
        <w:trPr>
          <w:trHeight w:val="295" w:hRule="atLeast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Cs w:val="24"/>
                <w:shd w:fill="auto" w:val="clear"/>
              </w:rPr>
              <w:t>ТТ</w:t>
            </w: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Cs w:val="24"/>
                <w:shd w:fill="auto" w:val="clear"/>
              </w:rPr>
              <w:t>Технические требования</w:t>
            </w:r>
          </w:p>
        </w:tc>
      </w:tr>
      <w:tr>
        <w:trPr>
          <w:trHeight w:val="295" w:hRule="atLeast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Cs w:val="24"/>
                <w:shd w:fill="auto" w:val="clear"/>
                <w:lang w:eastAsia="ru-RU"/>
              </w:rPr>
              <w:t>РД</w:t>
            </w: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Cs w:val="24"/>
                <w:shd w:fill="auto" w:val="clear"/>
                <w:lang w:eastAsia="ru-RU"/>
              </w:rPr>
              <w:t>Рабочая документация</w:t>
            </w:r>
          </w:p>
        </w:tc>
      </w:tr>
      <w:tr>
        <w:trPr>
          <w:trHeight w:val="295" w:hRule="atLeast"/>
        </w:trPr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СБ</w:t>
            </w:r>
          </w:p>
        </w:tc>
        <w:tc>
          <w:tcPr>
            <w:tcW w:w="8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Сборочный чертеж</w:t>
            </w:r>
          </w:p>
        </w:tc>
      </w:tr>
      <w:tr>
        <w:trPr>
          <w:trHeight w:val="295" w:hRule="atLeast"/>
        </w:trPr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ДСП</w:t>
            </w:r>
          </w:p>
        </w:tc>
        <w:tc>
          <w:tcPr>
            <w:tcW w:w="8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Древесно-стружечные плиты</w:t>
            </w:r>
          </w:p>
        </w:tc>
      </w:tr>
      <w:tr>
        <w:trPr>
          <w:trHeight w:val="295" w:hRule="atLeast"/>
        </w:trPr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ПАО</w:t>
            </w:r>
          </w:p>
        </w:tc>
        <w:tc>
          <w:tcPr>
            <w:tcW w:w="8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Публично-акционерное общество</w:t>
            </w:r>
          </w:p>
        </w:tc>
      </w:tr>
    </w:tbl>
    <w:p>
      <w:pPr>
        <w:sectPr>
          <w:footerReference w:type="default" r:id="rId3"/>
          <w:footerReference w:type="first" r:id="rId4"/>
          <w:type w:val="nextPage"/>
          <w:pgSz w:w="11906" w:h="16838"/>
          <w:pgMar w:left="1701" w:right="851" w:gutter="0" w:header="0" w:top="851" w:footer="709" w:bottom="993"/>
          <w:pgNumType w:fmt="decimal"/>
          <w:formProt w:val="false"/>
          <w:textDirection w:val="lrTb"/>
          <w:docGrid w:type="default" w:linePitch="299" w:charSpace="0"/>
        </w:sectPr>
      </w:pP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  <w:sz w:val="24"/>
          <w:szCs w:val="24"/>
        </w:rPr>
      </w:pPr>
      <w:bookmarkStart w:id="8" w:name="_Toc184134829"/>
      <w:bookmarkStart w:id="9" w:name="_Toc473553325"/>
      <w:bookmarkStart w:id="10" w:name="_Toc428261813"/>
      <w:bookmarkStart w:id="11" w:name="_Toc428261681"/>
      <w:bookmarkStart w:id="12" w:name="_Toc428261147"/>
      <w:bookmarkStart w:id="13" w:name="_Toc428261677"/>
      <w:bookmarkStart w:id="14" w:name="_Toc428262215"/>
      <w:bookmarkStart w:id="15" w:name="_Toc428261676"/>
      <w:bookmarkStart w:id="16" w:name="_Toc428261814"/>
      <w:bookmarkStart w:id="17" w:name="_Toc428262210"/>
      <w:bookmarkStart w:id="18" w:name="_Toc428261145"/>
      <w:bookmarkStart w:id="19" w:name="_Toc428261723"/>
      <w:bookmarkStart w:id="20" w:name="_Toc428261725"/>
      <w:bookmarkStart w:id="21" w:name="_Toc428262209"/>
      <w:bookmarkStart w:id="22" w:name="_Toc428261141"/>
      <w:bookmarkStart w:id="23" w:name="_Toc428262214"/>
      <w:bookmarkStart w:id="24" w:name="_Toc428261815"/>
      <w:bookmarkStart w:id="25" w:name="_Toc428261809"/>
      <w:bookmarkStart w:id="26" w:name="_Toc428261146"/>
      <w:bookmarkStart w:id="27" w:name="_Toc428261142"/>
      <w:bookmarkStart w:id="28" w:name="_Toc428262216"/>
      <w:bookmarkStart w:id="29" w:name="_Toc428261140"/>
      <w:bookmarkStart w:id="30" w:name="_Toc428261683"/>
      <w:bookmarkStart w:id="31" w:name="_Toc428261678"/>
      <w:bookmarkStart w:id="32" w:name="_Toc137554595"/>
      <w:bookmarkStart w:id="33" w:name="_Toc428261730"/>
      <w:bookmarkStart w:id="34" w:name="_Toc428261808"/>
      <w:bookmarkStart w:id="35" w:name="_Toc428261810"/>
      <w:bookmarkStart w:id="36" w:name="_Toc428261728"/>
      <w:bookmarkStart w:id="37" w:name="_Toc428262211"/>
      <w:bookmarkStart w:id="38" w:name="_Toc428261724"/>
      <w:bookmarkStart w:id="39" w:name="_Toc428261729"/>
      <w:bookmarkStart w:id="40" w:name="_Toc428261682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>
        <w:rPr>
          <w:b/>
          <w:color w:val="000000"/>
          <w:sz w:val="24"/>
          <w:szCs w:val="24"/>
        </w:rPr>
        <w:t>1.2. Наименование закупаемой продукции</w:t>
      </w:r>
      <w:bookmarkEnd w:id="8"/>
      <w:bookmarkEnd w:id="9"/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>
        <w:rPr>
          <w:bCs w:val="false"/>
          <w:color w:val="000000"/>
          <w:sz w:val="24"/>
          <w:szCs w:val="24"/>
        </w:rPr>
        <w:t>Разработка рабочей документации на текущий ремонт затворов ремонтных №1-12 нижнего бьефа Бурейской ГЭС»</w:t>
      </w:r>
      <w:r>
        <w:rPr>
          <w:color w:val="000000"/>
          <w:sz w:val="24"/>
          <w:szCs w:val="24"/>
        </w:rPr>
        <w:t>.</w:t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  <w:sz w:val="24"/>
          <w:szCs w:val="24"/>
        </w:rPr>
      </w:pPr>
      <w:bookmarkStart w:id="41" w:name="_Toc473553326"/>
      <w:bookmarkStart w:id="42" w:name="_Toc184134830"/>
      <w:r>
        <w:rPr>
          <w:b/>
          <w:color w:val="000000"/>
          <w:sz w:val="24"/>
          <w:szCs w:val="24"/>
        </w:rPr>
        <w:t>1.3. Цель и задачи выполнения работ</w:t>
      </w:r>
      <w:bookmarkEnd w:id="42"/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1.3.1. Цель:</w:t>
      </w:r>
    </w:p>
    <w:p>
      <w:pPr>
        <w:pStyle w:val="Normal"/>
        <w:widowControl/>
        <w:suppressAutoHyphens w:val="false"/>
        <w:bidi w:val="0"/>
        <w:spacing w:before="0" w:after="0"/>
        <w:ind w:firstLine="567" w:left="0" w:right="0"/>
        <w:jc w:val="both"/>
        <w:rPr/>
      </w:pPr>
      <w:r>
        <w:rPr>
          <w:color w:val="000000"/>
          <w:sz w:val="24"/>
          <w:szCs w:val="24"/>
          <w:shd w:fill="auto" w:val="clear"/>
          <w:lang w:eastAsia="ru-RU"/>
        </w:rPr>
        <w:t xml:space="preserve">Разработка рабочей документации на технологический процесс размещения и надежной фиксации, с использованием специальной монтажной оснастки (приспособлений), </w:t>
      </w:r>
      <w:r>
        <w:rPr>
          <w:rStyle w:val="Hyperlink"/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shd w:fill="auto" w:val="clear"/>
          <w:lang w:val="ru-RU" w:eastAsia="ru-RU" w:bidi="ar-SA"/>
        </w:rPr>
        <w:t xml:space="preserve">затворов ремонтных отсасывающих труб 8,0-6,01-36,8 (черт. 67БС, </w:t>
      </w:r>
      <w:r>
        <w:rPr>
          <w:rStyle w:val="Hyperlink"/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shd w:fill="auto" w:val="clear"/>
          <w:lang w:val="ru-RU" w:eastAsia="x-none" w:bidi="ar-SA"/>
        </w:rPr>
        <w:t xml:space="preserve">1107140 СБ </w:t>
      </w:r>
      <w:r>
        <w:rPr>
          <w:rStyle w:val="Hyperlink"/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shd w:fill="auto" w:val="clear"/>
          <w:lang w:val="ru-RU" w:eastAsia="ru-RU" w:bidi="ar-SA"/>
        </w:rPr>
        <w:t xml:space="preserve">) №1-12 Бурейской ГЭС (далее — Объекты) </w:t>
      </w:r>
      <w:r>
        <w:rPr>
          <w:color w:val="000000"/>
          <w:sz w:val="24"/>
          <w:szCs w:val="24"/>
          <w:shd w:fill="auto" w:val="clear"/>
          <w:lang w:eastAsia="ru-RU"/>
        </w:rPr>
        <w:t>в пространстве, по месту проведения ремонтных работ, а также при инструментальных обследованиях Объектов.</w:t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>1.3.2. Задача:</w:t>
      </w:r>
    </w:p>
    <w:p>
      <w:pPr>
        <w:pStyle w:val="Normal"/>
        <w:widowControl/>
        <w:suppressAutoHyphens w:val="false"/>
        <w:bidi w:val="0"/>
        <w:spacing w:before="0" w:after="0"/>
        <w:ind w:firstLine="567" w:left="0" w:right="0"/>
        <w:jc w:val="both"/>
        <w:rPr/>
      </w:pPr>
      <w:r>
        <w:rPr>
          <w:rStyle w:val="Hyperlink"/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lang w:val="ru-RU" w:eastAsia="ru-RU" w:bidi="ar-SA"/>
        </w:rPr>
        <w:t>Подготовка комплекта рабочей документации, содержащей конструктивные и технические решения по специальной монтажной оснастке (конструкция, приспособление) для обеспечения безопасного доступа персонала к обследуемым элементам Объектов при проведении инструментальных обследований, а также для возможности проведения полного комплекса ремонтных работ на Объектах (замена уплотнений, антикоррозийная защита (далее — АКЗ), устранение дефектов металлоконструкции, ремонт опорно-ходовой части).</w:t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  <w:sz w:val="24"/>
          <w:szCs w:val="24"/>
        </w:rPr>
      </w:pPr>
      <w:bookmarkStart w:id="43" w:name="_Toc184134831"/>
      <w:r>
        <w:rPr>
          <w:b/>
          <w:color w:val="000000"/>
          <w:sz w:val="24"/>
          <w:szCs w:val="24"/>
        </w:rPr>
        <w:t>1.4. Существующее положение:</w:t>
      </w:r>
      <w:bookmarkEnd w:id="43"/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rStyle w:val="Hyperlink"/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lang w:val="ru-RU" w:eastAsia="x-none" w:bidi="ar-SA"/>
        </w:rPr>
      </w:pPr>
      <w:r>
        <w:rPr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lang w:val="ru-RU" w:eastAsia="x-none" w:bidi="ar-SA"/>
        </w:rPr>
      </w:r>
    </w:p>
    <w:p>
      <w:pPr>
        <w:pStyle w:val="Normal"/>
        <w:widowControl/>
        <w:suppressAutoHyphens w:val="false"/>
        <w:bidi w:val="0"/>
        <w:spacing w:lineRule="auto" w:line="252" w:before="0" w:after="0"/>
        <w:ind w:firstLine="567" w:left="0" w:right="0"/>
        <w:jc w:val="both"/>
        <w:rPr/>
      </w:pPr>
      <w:r>
        <w:rPr>
          <w:rStyle w:val="Hyperlink"/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lang w:val="ru-RU" w:eastAsia="x-none" w:bidi="ar-SA"/>
        </w:rPr>
        <w:t>На Бурейской ГЭС эксплуатируются Объекты (Затворы) в</w:t>
      </w:r>
      <w:r>
        <w:rPr>
          <w:rStyle w:val="Hyperlink"/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shd w:fill="auto" w:val="clear"/>
          <w:lang w:val="ru-RU" w:eastAsia="x-none" w:bidi="ar-SA"/>
        </w:rPr>
        <w:t xml:space="preserve"> количестве 12 штук, которые ведены в эксплуатацию в период 2003-2007 годов.</w:t>
      </w:r>
    </w:p>
    <w:p>
      <w:pPr>
        <w:pStyle w:val="Normal"/>
        <w:widowControl/>
        <w:suppressAutoHyphens w:val="false"/>
        <w:bidi w:val="0"/>
        <w:spacing w:lineRule="auto" w:line="252" w:before="0" w:after="0"/>
        <w:ind w:firstLine="567" w:left="0" w:right="0"/>
        <w:jc w:val="both"/>
        <w:rPr/>
      </w:pPr>
      <w:r>
        <w:rPr>
          <w:rStyle w:val="Hyperlink"/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shd w:fill="auto" w:val="clear"/>
          <w:lang w:val="ru-RU" w:eastAsia="x-none" w:bidi="ar-SA"/>
        </w:rPr>
        <w:t>В настоящее время ограничен объем ремонтных работ на Затворах, ввиду отсутствия необходимого технологического ос</w:t>
      </w:r>
      <w:r>
        <w:rPr>
          <w:rStyle w:val="Hyperlink"/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lang w:val="ru-RU" w:eastAsia="x-none" w:bidi="ar-SA"/>
        </w:rPr>
        <w:t>нащения для возможности их надежного и безопасного размещения в зоне ремонтных работ, а именно, в районе раздельной стенки нижнего бъефа Бурейской ГЭ</w:t>
      </w:r>
      <w:r>
        <w:rPr>
          <w:rStyle w:val="Hyperlink"/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shd w:fill="auto" w:val="clear"/>
          <w:lang w:val="ru-RU" w:eastAsia="x-none" w:bidi="ar-SA"/>
        </w:rPr>
        <w:t>С. Кроме того, на ремонтный процесс влияют постоянные ограничения по времени и особенности эксплуатации специального козлового крана 68БС1: он должен постоянно находиться в состоянии готовности для возможности оперативного маневрирования Объектами на всех гидроагрегатах станции.</w:t>
      </w:r>
    </w:p>
    <w:p>
      <w:pPr>
        <w:pStyle w:val="Normal"/>
        <w:widowControl/>
        <w:suppressAutoHyphens w:val="false"/>
        <w:bidi w:val="0"/>
        <w:spacing w:lineRule="auto" w:line="252" w:before="0" w:after="0"/>
        <w:ind w:firstLine="567" w:left="0" w:right="0"/>
        <w:jc w:val="both"/>
        <w:rPr/>
      </w:pPr>
      <w:r>
        <w:rPr>
          <w:rStyle w:val="Hyperlink"/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lang w:val="ru-RU" w:eastAsia="x-none" w:bidi="ar-SA"/>
        </w:rPr>
        <w:t>При существующей в настоящее время технологии установки одного из Затворов на водораздельной стенке, с использованием расчалок для раскрепления Затвора, не обеспечивается безопасность производства работ. В</w:t>
      </w:r>
      <w:r>
        <w:rPr>
          <w:rStyle w:val="Hyperlink"/>
          <w:rFonts w:eastAsia="Times New Roman" w:cs="Times New Roman"/>
          <w:bCs/>
          <w:iCs/>
          <w:color w:val="000000"/>
          <w:kern w:val="0"/>
          <w:sz w:val="24"/>
          <w:szCs w:val="24"/>
          <w:u w:val="none"/>
          <w:lang w:val="ru-RU" w:eastAsia="ru-RU" w:bidi="ar-SA"/>
        </w:rPr>
        <w:t xml:space="preserve"> процессе установки Затвора на ремонтные опоры, в момент отсоединения захватной балки крана козлового и его последующего следования к месту стоянки, Затвор находится в вертикальном положении, удерживаемый только двумя расчалками и посредством болтовых соединений к его опорам, что не обеспечивает требуемую устойчивость (схема раскрепления оборудованием для проведения работ по АКЗ металлических поверхностей Затворов, предусмотрено раскрепление Затвора четырьмя расчалками). В таком положении затвор находится достаточно длительное время, до тех пор, пока не будут установлены оставшиеся расчалки с применением автогидроподъёмника. </w:t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rPr>
          <w:rStyle w:val="Hyperlink"/>
          <w:iCs/>
          <w:color w:val="000000"/>
          <w:sz w:val="24"/>
          <w:szCs w:val="24"/>
          <w:u w:val="none"/>
        </w:rPr>
      </w:pPr>
      <w:r>
        <w:rPr>
          <w:iCs/>
          <w:color w:val="000000"/>
          <w:sz w:val="24"/>
          <w:szCs w:val="24"/>
          <w:u w:val="none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jc w:val="both"/>
        <w:outlineLvl w:val="0"/>
        <w:rPr/>
      </w:pPr>
      <w:r>
        <w:rPr>
          <w:rStyle w:val="Hyperlink"/>
          <w:rFonts w:eastAsia="Times New Roman"/>
          <w:b/>
          <w:bCs/>
          <w:i/>
          <w:iCs/>
          <w:color w:val="000000"/>
          <w:sz w:val="24"/>
          <w:szCs w:val="24"/>
          <w:u w:val="none"/>
          <w:lang w:eastAsia="ru-RU"/>
        </w:rPr>
        <w:t>Основные технические характеристики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Отверстие                                                                 глубинное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Пролет отверстия в свету, м                                   8,0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Расчетный пролет, м                                                8,5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 xml:space="preserve">Нагруженный пролет, м                                           8,15 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Высота отверстия, м                                                 6,01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Расчетный напор, м                                                  36,8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Нагрузка на затвор, т                                                1680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Расчетное подъемное усилие, т                               90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Масса затвора, т                                                        41,85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 xml:space="preserve">Грузоподъемность обслуживающего 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механизма, т                                                              100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jc w:val="both"/>
        <w:outlineLvl w:val="0"/>
        <w:rPr/>
      </w:pPr>
      <w:r>
        <w:rPr>
          <w:rStyle w:val="Hyperlink"/>
          <w:rFonts w:eastAsia="Times New Roman"/>
          <w:b/>
          <w:bCs/>
          <w:i/>
          <w:iCs/>
          <w:color w:val="000000"/>
          <w:sz w:val="24"/>
          <w:szCs w:val="24"/>
          <w:u w:val="none"/>
          <w:lang w:eastAsia="ru-RU"/>
        </w:rPr>
        <w:t>Описание конструкции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Ремонтные затворы в количестве 12 штук предназначены для перекрытия отверстий отсасывающих труб со стороны нижнего бьефа на период ремонта и осмотра гидроагрегатов.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Затвор односекционный, плоский, скользящий, сварной конструкции.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Затвор состоит из обшивки, расположенной с напорной стороны, восьми ригелей, опорно-концевых стоек и диафрагм.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Опорно-ходовые полозья с вкладышами из ДСП-Б-Гт. Для направления движения затвора в пазах имеются четыре торцевых направляющих и шесть обратных распорок.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Уплотнения боковые, верхние и нижние выполнены из резины специального профиля II и расположены с безнапорной стороны.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Затвор имеет одну точку подвеса и обслуживается козловым краном 100 т с помощью захватной балки с электромеханическим приводом на кране. Для подвешивания затвора в верхнем положении в пазах на металлоконструкции предусмотрены выдвижные подхваты.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Маневрирование затвором производится в безнапорном состоянии.</w:t>
      </w:r>
    </w:p>
    <w:p>
      <w:pPr>
        <w:pStyle w:val="22"/>
        <w:shd w:val="clear" w:color="auto" w:fill="auto"/>
        <w:tabs>
          <w:tab w:val="clear" w:pos="709"/>
          <w:tab w:val="left" w:pos="1469" w:leader="none"/>
        </w:tabs>
        <w:spacing w:lineRule="auto" w:line="240" w:before="0" w:after="0"/>
        <w:ind w:firstLine="567" w:right="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Место размещения объекта:</w:t>
      </w:r>
    </w:p>
    <w:p>
      <w:pPr>
        <w:pStyle w:val="22"/>
        <w:shd w:val="clear" w:color="auto" w:fill="auto"/>
        <w:tabs>
          <w:tab w:val="clear" w:pos="709"/>
          <w:tab w:val="left" w:pos="1469" w:leader="none"/>
        </w:tabs>
        <w:spacing w:lineRule="auto" w:line="240" w:before="0" w:after="0"/>
        <w:ind w:firstLine="567" w:right="57"/>
        <w:jc w:val="both"/>
        <w:rPr/>
      </w:pPr>
      <w:r>
        <w:rPr>
          <w:rStyle w:val="Hyperlink"/>
          <w:color w:val="000000"/>
          <w:sz w:val="24"/>
          <w:szCs w:val="24"/>
          <w:u w:val="none"/>
        </w:rPr>
        <w:t>Амурская область, Бурейский район, п.г.т. Талакан, Бурейская ГЭС, нижний бьеф, отм 152,50.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jc w:val="both"/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Heading1"/>
        <w:keepLines/>
        <w:numPr>
          <w:ilvl w:val="0"/>
          <w:numId w:val="0"/>
        </w:numPr>
        <w:ind w:hanging="0" w:left="0"/>
        <w:rPr>
          <w:color w:val="000000"/>
          <w:sz w:val="24"/>
          <w:szCs w:val="24"/>
        </w:rPr>
      </w:pPr>
      <w:bookmarkStart w:id="44" w:name="__RefHeading___Toc54643699"/>
      <w:bookmarkEnd w:id="44"/>
      <w:r>
        <w:rPr>
          <w:b/>
          <w:color w:val="000000"/>
          <w:sz w:val="24"/>
          <w:szCs w:val="24"/>
        </w:rPr>
        <w:t>Таблица 1. Перечень объектов заказчика</w:t>
      </w:r>
    </w:p>
    <w:p>
      <w:pPr>
        <w:pStyle w:val="Normal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4"/>
        <w:gridCol w:w="3258"/>
        <w:gridCol w:w="2374"/>
        <w:gridCol w:w="3383"/>
      </w:tblGrid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объектов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Расположение объектов </w:t>
              <w:br/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(место выполнения работ)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Наименование основных средств </w:t>
              <w:br/>
              <w:t>(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в отношении которых выполняются работы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Затвор ремонтный №1 </w:t>
            </w:r>
          </w:p>
        </w:tc>
        <w:tc>
          <w:tcPr>
            <w:tcW w:w="2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Бурейская ГЭС, нижний бьеф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Инв.№ 831</w:t>
            </w:r>
          </w:p>
        </w:tc>
      </w:tr>
      <w:tr>
        <w:trPr/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Затвор ремонтный №2</w:t>
            </w:r>
          </w:p>
        </w:tc>
        <w:tc>
          <w:tcPr>
            <w:tcW w:w="2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Инв.№832</w:t>
            </w:r>
          </w:p>
        </w:tc>
      </w:tr>
      <w:tr>
        <w:trPr/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Затвор ремонтный №3</w:t>
            </w:r>
          </w:p>
        </w:tc>
        <w:tc>
          <w:tcPr>
            <w:tcW w:w="2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Инв.№833</w:t>
            </w:r>
          </w:p>
        </w:tc>
      </w:tr>
      <w:tr>
        <w:trPr/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Затвор ремонтный №4</w:t>
            </w:r>
          </w:p>
        </w:tc>
        <w:tc>
          <w:tcPr>
            <w:tcW w:w="2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Инв.№834</w:t>
            </w:r>
          </w:p>
        </w:tc>
      </w:tr>
      <w:tr>
        <w:trPr/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Затвор ремонтный №5</w:t>
            </w:r>
          </w:p>
        </w:tc>
        <w:tc>
          <w:tcPr>
            <w:tcW w:w="2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Инв.№835</w:t>
            </w:r>
          </w:p>
        </w:tc>
      </w:tr>
      <w:tr>
        <w:trPr/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Затвор ремонтный №6</w:t>
            </w:r>
          </w:p>
        </w:tc>
        <w:tc>
          <w:tcPr>
            <w:tcW w:w="2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Инв.№836</w:t>
            </w:r>
          </w:p>
        </w:tc>
      </w:tr>
      <w:tr>
        <w:trPr/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Затвор ремонтный №7</w:t>
            </w:r>
          </w:p>
        </w:tc>
        <w:tc>
          <w:tcPr>
            <w:tcW w:w="2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Инв.№837</w:t>
            </w:r>
          </w:p>
        </w:tc>
      </w:tr>
      <w:tr>
        <w:trPr/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Затвор ремонтный №8</w:t>
            </w:r>
          </w:p>
        </w:tc>
        <w:tc>
          <w:tcPr>
            <w:tcW w:w="2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Инв.№838</w:t>
            </w:r>
          </w:p>
        </w:tc>
      </w:tr>
      <w:tr>
        <w:trPr/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9.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Затвор ремонтный №9</w:t>
            </w:r>
          </w:p>
        </w:tc>
        <w:tc>
          <w:tcPr>
            <w:tcW w:w="2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Инв.№839</w:t>
            </w:r>
          </w:p>
        </w:tc>
      </w:tr>
      <w:tr>
        <w:trPr/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Затвор ремонтный №10</w:t>
            </w:r>
          </w:p>
        </w:tc>
        <w:tc>
          <w:tcPr>
            <w:tcW w:w="2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Инв.№840</w:t>
            </w:r>
          </w:p>
        </w:tc>
      </w:tr>
      <w:tr>
        <w:trPr/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11.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Затвор ремонтный №11</w:t>
            </w:r>
          </w:p>
        </w:tc>
        <w:tc>
          <w:tcPr>
            <w:tcW w:w="2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Инв.№841</w:t>
            </w:r>
          </w:p>
        </w:tc>
      </w:tr>
      <w:tr>
        <w:trPr/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Затвор ремонтный №12</w:t>
            </w:r>
          </w:p>
        </w:tc>
        <w:tc>
          <w:tcPr>
            <w:tcW w:w="2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Инв.№842</w:t>
            </w:r>
          </w:p>
        </w:tc>
      </w:tr>
    </w:tbl>
    <w:p>
      <w:pPr>
        <w:pStyle w:val="Heading4"/>
        <w:numPr>
          <w:ilvl w:val="0"/>
          <w:numId w:val="0"/>
        </w:numPr>
        <w:spacing w:before="0" w:after="0"/>
        <w:ind w:hanging="0" w:left="43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color w:val="000000"/>
          <w:sz w:val="24"/>
          <w:szCs w:val="24"/>
        </w:rPr>
      </w:pPr>
      <w:bookmarkStart w:id="45" w:name="_Toc184134836"/>
      <w:r>
        <w:rPr>
          <w:b/>
          <w:color w:val="000000"/>
          <w:sz w:val="24"/>
          <w:szCs w:val="24"/>
        </w:rPr>
        <w:t>1.5. Основание на выполнение работ:</w:t>
      </w:r>
      <w:bookmarkEnd w:id="45"/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ind w:firstLine="567"/>
        <w:jc w:val="both"/>
        <w:rPr/>
      </w:pPr>
      <w:r>
        <w:rPr>
          <w:rStyle w:val="Hyperlink"/>
          <w:rFonts w:eastAsia="Times New Roman"/>
          <w:color w:val="000000"/>
          <w:sz w:val="24"/>
          <w:szCs w:val="24"/>
          <w:u w:val="none"/>
          <w:lang w:eastAsia="ru-RU"/>
        </w:rPr>
        <w:t>Утвержденная производственная программа филиала ПАО «РусГидро»-«Бурейская ГЭС», а также настоящие Технические требования (далее — ТТ).</w:t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bCs w:val="false"/>
          <w:color w:val="000000"/>
          <w:sz w:val="24"/>
          <w:szCs w:val="24"/>
        </w:rPr>
      </w:pPr>
      <w:r>
        <w:rPr>
          <w:bCs w:val="false"/>
          <w:color w:val="000000"/>
          <w:sz w:val="24"/>
          <w:szCs w:val="24"/>
        </w:rPr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  <w:sz w:val="24"/>
          <w:szCs w:val="24"/>
        </w:rPr>
      </w:pPr>
      <w:bookmarkStart w:id="46" w:name="_Toc184134832"/>
      <w:r>
        <w:rPr>
          <w:b/>
          <w:color w:val="000000"/>
          <w:sz w:val="24"/>
          <w:szCs w:val="24"/>
        </w:rPr>
        <w:t xml:space="preserve">1.6.  </w:t>
      </w:r>
      <w:bookmarkStart w:id="47" w:name="_Toc54647827"/>
      <w:r>
        <w:rPr>
          <w:b/>
          <w:color w:val="000000"/>
          <w:sz w:val="24"/>
          <w:szCs w:val="24"/>
        </w:rPr>
        <w:t>Наименование и место расположения функционального заказчика</w:t>
      </w:r>
      <w:bookmarkEnd w:id="41"/>
      <w:bookmarkEnd w:id="46"/>
      <w:bookmarkEnd w:id="47"/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ind w:firstLine="567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ПАО «РусГидро», функциональный заказчик: филиал ПАО «РусГидро» - «Бурейская ГЭС» (676730, Амурская область, Бурейский район, п.г.т. Талакан).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color w:val="000000"/>
          <w:sz w:val="24"/>
          <w:szCs w:val="24"/>
        </w:rPr>
      </w:pPr>
      <w:bookmarkStart w:id="48" w:name="_Toc184134833"/>
      <w:r>
        <w:rPr>
          <w:b/>
          <w:color w:val="000000"/>
          <w:sz w:val="24"/>
          <w:szCs w:val="24"/>
        </w:rPr>
        <w:t xml:space="preserve">1.7. Информация в отношении исполнения договора, </w:t>
      </w:r>
      <w:bookmarkStart w:id="49" w:name="_Hlk46492347"/>
      <w:r>
        <w:rPr>
          <w:b/>
          <w:color w:val="000000"/>
          <w:sz w:val="24"/>
          <w:szCs w:val="24"/>
        </w:rPr>
        <w:t xml:space="preserve">которая должна быть учтена при подготовке заявки </w:t>
      </w:r>
      <w:bookmarkEnd w:id="49"/>
      <w:r>
        <w:rPr>
          <w:b/>
          <w:color w:val="000000"/>
          <w:sz w:val="24"/>
          <w:szCs w:val="24"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48"/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разработке РД Заказчик по мере необходимости предоставляет Исполнителю по его письменному требованию уточняющую информацию общего характера не являющейся коммерческой тайной или иной степени секретности.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color w:val="000000"/>
          <w:sz w:val="24"/>
          <w:szCs w:val="24"/>
        </w:rPr>
      </w:pPr>
      <w:bookmarkStart w:id="50" w:name="_Ref54637921"/>
      <w:bookmarkStart w:id="51" w:name="_Toc184134834"/>
      <w:r>
        <w:rPr>
          <w:b/>
          <w:color w:val="000000"/>
          <w:sz w:val="24"/>
          <w:szCs w:val="24"/>
        </w:rPr>
        <w:t>1.8. Иные требования и сведения общего характера</w:t>
      </w:r>
      <w:bookmarkEnd w:id="50"/>
      <w:bookmarkEnd w:id="51"/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ind w:firstLine="567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Кран козловой специальный г/п 100 установлен на отметке 152,50 со стороны нижнего бьефа, применяется </w:t>
      </w:r>
      <w:r>
        <w:rPr>
          <w:color w:val="000000"/>
          <w:sz w:val="24"/>
          <w:szCs w:val="24"/>
          <w:lang w:eastAsia="ru-RU"/>
        </w:rPr>
        <w:t>для маневрирования Затворами.</w:t>
      </w:r>
    </w:p>
    <w:p>
      <w:pPr>
        <w:pStyle w:val="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Heading4"/>
        <w:numPr>
          <w:ilvl w:val="0"/>
          <w:numId w:val="0"/>
        </w:numPr>
        <w:spacing w:before="0" w:after="0"/>
        <w:ind w:hanging="0" w:left="0"/>
        <w:jc w:val="center"/>
        <w:rPr>
          <w:color w:val="000000"/>
          <w:sz w:val="28"/>
          <w:szCs w:val="28"/>
        </w:rPr>
      </w:pPr>
      <w:bookmarkStart w:id="52" w:name="_Toc184134837"/>
      <w:bookmarkStart w:id="53" w:name="_Toc473553327"/>
      <w:r>
        <w:rPr>
          <w:color w:val="000000"/>
          <w:sz w:val="28"/>
          <w:szCs w:val="28"/>
        </w:rPr>
        <w:t>2.  Требования к продукции</w:t>
      </w:r>
      <w:bookmarkEnd w:id="52"/>
      <w:bookmarkEnd w:id="53"/>
    </w:p>
    <w:p>
      <w:pPr>
        <w:pStyle w:val="Heading4"/>
        <w:numPr>
          <w:ilvl w:val="0"/>
          <w:numId w:val="0"/>
        </w:numPr>
        <w:spacing w:before="0" w:after="0"/>
        <w:ind w:hanging="0" w:left="864"/>
        <w:jc w:val="both"/>
        <w:rPr>
          <w:color w:val="000000"/>
        </w:rPr>
      </w:pPr>
      <w:r>
        <w:rPr>
          <w:color w:val="000000"/>
        </w:rPr>
      </w:r>
    </w:p>
    <w:p>
      <w:pPr>
        <w:pStyle w:val="Heading4"/>
        <w:numPr>
          <w:ilvl w:val="0"/>
          <w:numId w:val="0"/>
        </w:numPr>
        <w:spacing w:before="0" w:after="0"/>
        <w:ind w:hanging="0"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Требования к объемам и срокам выполнения работ</w:t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Heading4"/>
        <w:numPr>
          <w:ilvl w:val="0"/>
          <w:numId w:val="0"/>
        </w:numPr>
        <w:spacing w:before="0" w:after="0"/>
        <w:ind w:hanging="0" w:left="454"/>
        <w:rPr>
          <w:rFonts w:ascii="Times New Roman" w:hAnsi="Times New Roman"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2.1.1. Требования к перечню и объему работ</w:t>
      </w:r>
    </w:p>
    <w:p>
      <w:pPr>
        <w:pStyle w:val="Normal"/>
        <w:ind w:hanging="0" w:left="454"/>
        <w:rPr>
          <w:rFonts w:ascii="Times New Roman" w:hAnsi="Times New Roman"/>
          <w:b/>
          <w:bCs/>
          <w:i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</w:r>
    </w:p>
    <w:p>
      <w:pPr>
        <w:pStyle w:val="Heading4"/>
        <w:numPr>
          <w:ilvl w:val="0"/>
          <w:numId w:val="0"/>
        </w:numPr>
        <w:spacing w:before="0" w:after="0"/>
        <w:ind w:hanging="0" w:left="0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Таблица 2. Перечень и объем выполняемых работ</w:t>
      </w:r>
    </w:p>
    <w:tbl>
      <w:tblPr>
        <w:tblW w:w="962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8"/>
        <w:gridCol w:w="5232"/>
        <w:gridCol w:w="1688"/>
        <w:gridCol w:w="1986"/>
      </w:tblGrid>
      <w:tr>
        <w:trPr>
          <w:trHeight w:val="113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>
        <w:trPr>
          <w:trHeight w:val="131" w:hRule="atLeast"/>
        </w:trPr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Этап 1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Предпроектное обследование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5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Сбор исходных данных. Изучение Подрядчиком переданной Заказчиком имеющейся в наличии технической документации (не противоречащей п.1.7 настоящих ТТ) на </w:t>
            </w:r>
            <w:r>
              <w:rPr>
                <w:rStyle w:val="Hyperlink"/>
                <w:rFonts w:eastAsia="Times New Roman"/>
                <w:bCs/>
                <w:iCs/>
                <w:color w:val="000000"/>
                <w:sz w:val="24"/>
                <w:szCs w:val="24"/>
                <w:u w:val="none"/>
                <w:lang w:eastAsia="x-none"/>
              </w:rPr>
              <w:t>Объекты (таблица 1 настоящих ТТ)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5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Проведение визуального и инструментального обследования Объектов, включающее: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- определение состава устанавливаемых конструкций;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</w:rPr>
            </w:pPr>
            <w:r>
              <w:rPr>
                <w:rFonts w:cs="Times New Roman"/>
                <w:color w:val="000000"/>
                <w:kern w:val="0"/>
                <w:lang w:val="ru-RU" w:eastAsia="ru-RU" w:bidi="ar-SA"/>
              </w:rPr>
              <w:t>- определение мест размещения конструкций.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5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Подготовка отчета о проведенном предпроектном обследовании Объектов и согласование его с Заказчиком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Экземпляр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Этап 2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Разработка рабочей документации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5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Разработка рабочей документации на текущий ремонт затворов ремонтных №1-12 нижнего бьефа Бурейской ГЭС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Экземпляр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5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Согласование разработанной рабочей и сметной  документации с Заказчиком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ind w:hanging="0" w:left="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color w:val="000000"/>
                <w:sz w:val="24"/>
                <w:szCs w:val="24"/>
                <w:shd w:fill="FFFF99" w:val="clear"/>
              </w:rPr>
            </w:pPr>
            <w:r>
              <w:rPr>
                <w:b w:val="false"/>
                <w:bCs w:val="false"/>
                <w:i/>
                <w:iCs/>
                <w:color w:val="000000"/>
                <w:sz w:val="24"/>
                <w:szCs w:val="24"/>
                <w:shd w:fill="FFFF99" w:val="clear"/>
              </w:rPr>
            </w:r>
          </w:p>
        </w:tc>
      </w:tr>
    </w:tbl>
    <w:p>
      <w:pPr>
        <w:pStyle w:val="Heading3"/>
        <w:numPr>
          <w:ilvl w:val="0"/>
          <w:numId w:val="0"/>
        </w:numPr>
        <w:spacing w:before="0" w:after="0"/>
        <w:ind w:hanging="0" w:left="567"/>
        <w:rPr>
          <w:rFonts w:ascii="Times New Roman" w:hAnsi="Times New Roman"/>
          <w:i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567"/>
        <w:rPr>
          <w:rFonts w:ascii="Times New Roman" w:hAnsi="Times New Roman"/>
          <w:i/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567"/>
        <w:rPr>
          <w:rFonts w:ascii="Times New Roman" w:hAnsi="Times New Roman"/>
          <w:i/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567"/>
        <w:rPr>
          <w:rFonts w:ascii="Times New Roman" w:hAnsi="Times New Roman"/>
          <w:i/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567"/>
        <w:rPr>
          <w:rFonts w:ascii="Times New Roman" w:hAnsi="Times New Roman"/>
          <w:i/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567"/>
        <w:rPr>
          <w:rFonts w:ascii="Times New Roman" w:hAnsi="Times New Roman"/>
          <w:i/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</w:r>
    </w:p>
    <w:p>
      <w:pPr>
        <w:pStyle w:val="Heading3"/>
        <w:numPr>
          <w:ilvl w:val="2"/>
          <w:numId w:val="1"/>
        </w:numPr>
        <w:spacing w:before="0" w:after="0"/>
        <w:rPr>
          <w:rFonts w:ascii="Times New Roman" w:hAnsi="Times New Roman"/>
          <w:color w:val="000000"/>
          <w:sz w:val="24"/>
          <w:szCs w:val="24"/>
        </w:rPr>
      </w:pPr>
      <w:bookmarkStart w:id="54" w:name="__RefHeading___Toc54643706"/>
      <w:bookmarkEnd w:id="54"/>
      <w:r>
        <w:rPr>
          <w:rFonts w:ascii="Times New Roman" w:hAnsi="Times New Roman"/>
          <w:i/>
          <w:iCs/>
          <w:color w:val="000000"/>
          <w:sz w:val="24"/>
          <w:szCs w:val="24"/>
        </w:rPr>
        <w:t>2.1.2. Требования к срокам выполнения работ</w:t>
      </w:r>
    </w:p>
    <w:p>
      <w:pPr>
        <w:pStyle w:val="Normal"/>
        <w:rPr>
          <w:rFonts w:ascii="Times New Roman" w:hAnsi="Times New Roman"/>
          <w:i/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</w:r>
    </w:p>
    <w:p>
      <w:pPr>
        <w:pStyle w:val="Heading1"/>
        <w:numPr>
          <w:ilvl w:val="0"/>
          <w:numId w:val="0"/>
        </w:numPr>
        <w:ind w:hanging="0" w:left="0"/>
        <w:rPr>
          <w:rFonts w:ascii="Times New Roman" w:hAnsi="Times New Roman"/>
          <w:color w:val="000000"/>
          <w:sz w:val="24"/>
          <w:szCs w:val="24"/>
        </w:rPr>
      </w:pPr>
      <w:bookmarkStart w:id="55" w:name="__RefHeading___Toc54643707"/>
      <w:bookmarkEnd w:id="55"/>
      <w:r>
        <w:rPr>
          <w:b/>
          <w:color w:val="000000"/>
          <w:sz w:val="24"/>
          <w:szCs w:val="24"/>
        </w:rPr>
        <w:t xml:space="preserve">Таблица 3. </w:t>
      </w:r>
      <w:bookmarkStart w:id="56" w:name="_Hlk50465284"/>
      <w:r>
        <w:rPr>
          <w:b/>
          <w:color w:val="000000"/>
          <w:sz w:val="24"/>
          <w:szCs w:val="24"/>
        </w:rPr>
        <w:t xml:space="preserve">Требования к срокам </w:t>
      </w:r>
      <w:bookmarkEnd w:id="56"/>
      <w:r>
        <w:rPr>
          <w:b/>
          <w:color w:val="000000"/>
          <w:sz w:val="24"/>
          <w:szCs w:val="24"/>
        </w:rPr>
        <w:t>выполнения работ</w:t>
      </w:r>
    </w:p>
    <w:tbl>
      <w:tblPr>
        <w:tblW w:w="9600" w:type="dxa"/>
        <w:jc w:val="left"/>
        <w:tblInd w:w="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8"/>
        <w:gridCol w:w="3806"/>
        <w:gridCol w:w="2930"/>
        <w:gridCol w:w="2275"/>
      </w:tblGrid>
      <w:tr>
        <w:trPr>
          <w:trHeight w:val="450" w:hRule="atLeast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Требования к началу срока выполнения работ / этапа работ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>
          <w:trHeight w:val="106" w:hRule="atLeast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-57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Общий срок выполнения работ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День, следующий за днем подписания договора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 15.02.2027 г.</w:t>
            </w:r>
          </w:p>
        </w:tc>
      </w:tr>
      <w:tr>
        <w:trPr/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-57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Поэтапно: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3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Этап 1 - Предпроектное обследование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День, следующий за днем подписания договора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В течении 3 месяцев с даты подписания договора</w:t>
            </w:r>
          </w:p>
        </w:tc>
      </w:tr>
      <w:tr>
        <w:trPr>
          <w:trHeight w:val="176" w:hRule="atLeast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-57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3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Этап 2 - Разработка и согласование рабочей документации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keepNext w:val="true"/>
              <w:widowControl w:val="false"/>
              <w:numPr>
                <w:ilvl w:val="0"/>
                <w:numId w:val="0"/>
              </w:numPr>
              <w:suppressAutoHyphens w:val="false"/>
              <w:bidi w:val="0"/>
              <w:spacing w:before="120" w:after="6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С даты окончания этапа 1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 15.02.2027 г.</w:t>
            </w:r>
          </w:p>
        </w:tc>
      </w:tr>
    </w:tbl>
    <w:p>
      <w:pPr>
        <w:sectPr>
          <w:footerReference w:type="default" r:id="rId5"/>
          <w:footerReference w:type="first" r:id="rId6"/>
          <w:type w:val="nextPage"/>
          <w:pgSz w:w="11906" w:h="16838"/>
          <w:pgMar w:left="1675" w:right="593" w:gutter="0" w:header="0" w:top="1135" w:footer="709" w:bottom="993"/>
          <w:pgNumType w:fmt="decimal"/>
          <w:formProt w:val="false"/>
          <w:textDirection w:val="lrTb"/>
          <w:docGrid w:type="default" w:linePitch="326" w:charSpace="0"/>
        </w:sect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2.2. </w:t>
      </w:r>
      <w:bookmarkStart w:id="57" w:name="__RefHeading___Toc54643709"/>
      <w:r>
        <w:rPr>
          <w:b/>
          <w:bCs/>
          <w:color w:val="000000"/>
          <w:sz w:val="24"/>
          <w:szCs w:val="24"/>
        </w:rPr>
        <w:t xml:space="preserve">Требования к </w:t>
      </w:r>
      <w:r>
        <w:rPr>
          <w:b/>
          <w:bCs/>
          <w:color w:val="000000"/>
          <w:sz w:val="24"/>
          <w:szCs w:val="24"/>
          <w:lang w:val="ru-RU"/>
        </w:rPr>
        <w:t>качеству выполнения работ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b/>
          <w:bCs/>
          <w:i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  <w:lang w:val="ru-RU"/>
        </w:rPr>
        <w:t>Наименование работ / этапа работ таблицы 2: Этап 1 (позиции 1.1.1-1.1.4) — Предпроектное обследование Объектов</w:t>
      </w:r>
    </w:p>
    <w:p>
      <w:pPr>
        <w:pStyle w:val="Normal"/>
        <w:widowControl/>
        <w:suppressAutoHyphens w:val="false"/>
        <w:bidi w:val="0"/>
        <w:spacing w:before="0" w:after="0"/>
        <w:ind w:firstLine="5216" w:left="0" w:right="0"/>
        <w:jc w:val="left"/>
        <w:rPr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  <w:lang w:val="ru-RU"/>
        </w:rPr>
        <w:t>Этап 2 (позиции 2.1.1-2.1.2) — Разработка рабочей документации</w:t>
      </w:r>
    </w:p>
    <w:p>
      <w:pPr>
        <w:pStyle w:val="Normal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Таблица </w:t>
      </w:r>
      <w:r>
        <w:rPr>
          <w:b/>
          <w:bCs/>
          <w:color w:val="000000"/>
          <w:sz w:val="24"/>
          <w:szCs w:val="24"/>
          <w:lang w:val="ru-RU"/>
        </w:rPr>
        <w:t>4</w:t>
      </w:r>
      <w:r>
        <w:rPr>
          <w:b/>
          <w:bCs/>
          <w:color w:val="000000"/>
          <w:sz w:val="24"/>
          <w:szCs w:val="24"/>
        </w:rPr>
        <w:t xml:space="preserve">. Требования к </w:t>
      </w:r>
      <w:r>
        <w:rPr>
          <w:b/>
          <w:bCs/>
          <w:color w:val="000000"/>
          <w:sz w:val="24"/>
          <w:szCs w:val="24"/>
          <w:lang w:val="ru-RU"/>
        </w:rPr>
        <w:t xml:space="preserve">качеству </w:t>
      </w:r>
      <w:bookmarkEnd w:id="57"/>
      <w:r>
        <w:rPr>
          <w:b/>
          <w:bCs/>
          <w:color w:val="000000"/>
          <w:sz w:val="24"/>
          <w:szCs w:val="24"/>
          <w:lang w:val="ru-RU"/>
        </w:rPr>
        <w:t>выполнения работ</w:t>
      </w:r>
      <w:r>
        <w:rPr>
          <w:b/>
          <w:bCs/>
          <w:color w:val="000000"/>
          <w:sz w:val="24"/>
          <w:szCs w:val="24"/>
        </w:rPr>
        <w:t xml:space="preserve"> </w:t>
      </w:r>
    </w:p>
    <w:p>
      <w:pPr>
        <w:pStyle w:val="Normal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</w:p>
    <w:tbl>
      <w:tblPr>
        <w:tblStyle w:val="af"/>
        <w:tblW w:w="15151" w:type="dxa"/>
        <w:jc w:val="left"/>
        <w:tblInd w:w="-1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39"/>
        <w:gridCol w:w="2191"/>
        <w:gridCol w:w="5580"/>
        <w:gridCol w:w="2235"/>
        <w:gridCol w:w="2251"/>
        <w:gridCol w:w="2054"/>
      </w:tblGrid>
      <w:tr>
        <w:trPr/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Cs w:val="24"/>
                <w:lang w:val="ru-RU" w:bidi="ar-SA"/>
              </w:rPr>
              <w:t xml:space="preserve">№ 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Cs w:val="24"/>
                <w:lang w:val="ru-RU" w:bidi="ar-SA"/>
              </w:rPr>
              <w:t>п/п</w:t>
            </w:r>
          </w:p>
        </w:tc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Cs w:val="24"/>
                <w:lang w:val="ru-RU" w:bidi="ar-SA"/>
              </w:rPr>
              <w:t>Наименование параметра</w:t>
            </w:r>
          </w:p>
        </w:tc>
        <w:tc>
          <w:tcPr>
            <w:tcW w:w="5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Cs w:val="24"/>
                <w:lang w:val="ru-RU" w:bidi="ar-SA"/>
              </w:rPr>
              <w:t>Требование Заказчика</w:t>
            </w:r>
          </w:p>
        </w:tc>
        <w:tc>
          <w:tcPr>
            <w:tcW w:w="4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Cs w:val="24"/>
                <w:lang w:val="ru-RU" w:bidi="ar-SA"/>
              </w:rPr>
              <w:t xml:space="preserve">Способ подтверждения участником 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Cs w:val="24"/>
                <w:lang w:val="ru-RU" w:bidi="ar-SA"/>
              </w:rPr>
              <w:t>соответствия требованиям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Cs w:val="24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3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</w:r>
          </w:p>
        </w:tc>
        <w:tc>
          <w:tcPr>
            <w:tcW w:w="21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</w:r>
          </w:p>
        </w:tc>
        <w:tc>
          <w:tcPr>
            <w:tcW w:w="5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Cs w:val="24"/>
                <w:lang w:val="ru-RU" w:bidi="ar-SA"/>
              </w:rPr>
              <w:t>Согласие с требованием/ указание характеристик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Cs w:val="24"/>
                <w:lang w:val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1</w:t>
            </w:r>
          </w:p>
        </w:tc>
        <w:tc>
          <w:tcPr>
            <w:tcW w:w="21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2</w:t>
            </w:r>
          </w:p>
        </w:tc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3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4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5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6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false"/>
              <w:bidi w:val="0"/>
              <w:spacing w:before="60" w:after="60"/>
              <w:ind w:hanging="0" w:left="0" w:right="0"/>
              <w:contextualSpacing/>
              <w:jc w:val="center"/>
              <w:rPr>
                <w:rFonts w:eastAsia="Calibri" w:cs="Times New Roman"/>
                <w:b/>
                <w:bCs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lang w:val="ru-RU" w:bidi="ar-SA"/>
              </w:rPr>
              <w:t>1.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 xml:space="preserve">Требования к выполнению работ 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hanging="0" w:left="-117"/>
              <w:contextualSpacing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1.1.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i/>
                <w:iCs/>
                <w:color w:val="000000"/>
                <w:sz w:val="24"/>
                <w:szCs w:val="24"/>
              </w:rPr>
              <w:t>Общие требования к выполнению работ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 xml:space="preserve">Вся документация разрабатывается в соответствии с национальными, отраслевыми и корпоративными (ПАО «РусГидро») нормативно-техническими документами. 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</w:r>
          </w:p>
        </w:tc>
      </w:tr>
      <w:tr>
        <w:trPr>
          <w:trHeight w:val="481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hanging="1199" w:left="1224"/>
              <w:contextualSpacing/>
              <w:jc w:val="center"/>
              <w:rPr>
                <w:rFonts w:eastAsia="Calibri" w:cs="Times New Roman"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</w:r>
          </w:p>
        </w:tc>
        <w:tc>
          <w:tcPr>
            <w:tcW w:w="219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Соблюдение при выполнении работ по РД норм и правил НТД</w:t>
            </w:r>
          </w:p>
        </w:tc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 выполнении работ необходимо руководствоваться следующими национальными, отраслевыми и корпоративными НТД: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 xml:space="preserve">1.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>ГОСТ 2.102-2013</w:t>
            </w:r>
            <w:r>
              <w:rPr>
                <w:color w:val="000000"/>
                <w:sz w:val="24"/>
                <w:szCs w:val="24"/>
              </w:rPr>
              <w:t xml:space="preserve"> «Единая система конструкторской документации.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>Виды и комплектность конструкторских документов»;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 xml:space="preserve">2. </w:t>
            </w:r>
            <w:r>
              <w:rPr>
                <w:rFonts w:eastAsia="Calibri" w:cs="Times New Roman"/>
                <w:kern w:val="0"/>
                <w:szCs w:val="24"/>
                <w:lang w:val="ru-RU" w:bidi="ar-SA"/>
              </w:rPr>
              <w:t>ГОСТ Р 21.101-2026 «Система проектной документации для строительства (СПДС). Основные требования к проектной и рабочей документации»;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Times New Roman"/>
                <w:kern w:val="0"/>
                <w:szCs w:val="24"/>
                <w:lang w:val="ru-RU" w:bidi="ar-SA"/>
              </w:rPr>
              <w:t xml:space="preserve">3. </w:t>
            </w:r>
            <w:r>
              <w:rPr>
                <w:rFonts w:eastAsia="Calibri" w:cs="Times New Roman"/>
                <w:kern w:val="0"/>
                <w:lang w:val="ru-RU" w:bidi="ar-SA"/>
              </w:rPr>
              <w:t>ГОСТ 2.701-2008 «Единая система конструкторской документации. Схемы. Виды и типы. Общие требования к выполнению»;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Times New Roman"/>
                <w:kern w:val="0"/>
                <w:szCs w:val="24"/>
                <w:lang w:val="ru-RU" w:bidi="ar-SA"/>
              </w:rPr>
              <w:t>4. СТО РусГидро  01.01.78-2012  «Гидроэлектростанции. Нормы технологического проектирования»;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Times New Roman"/>
                <w:kern w:val="0"/>
                <w:szCs w:val="24"/>
                <w:lang w:val="ru-RU" w:bidi="ar-SA"/>
              </w:rPr>
              <w:t>5. СТО РусГидро 05.02.126-2020 «Правила организации безопасного обслуживания гидротехнических сооружений, гидросилового и гидромеханического оборудования гидроэлектростанций»;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Times New Roman"/>
                <w:kern w:val="0"/>
                <w:szCs w:val="24"/>
                <w:lang w:val="ru-RU" w:bidi="ar-SA"/>
              </w:rPr>
              <w:t>6. СТО РусГидро 01.02.115-2019 «Приёмка и ввод в эксплуатацию. Правила приёмки и ввода в эксплуатацию полностью законченных строительством объектов и отдельных этапов строительства» с изменениями, утв. Приказом ПАО «РусГидро» от 05.02.2019 № 81;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 ГОСТ Р ИСО 14122-4-2009. Национальный стандарт РФ. «Безопасность машин. Средства доступа к машинам стационарные»;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 Постановление Правительства РФ от 16.02.2008 № 87 «О составе разделов проектной документаций и требованиях к их содержанию»;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 Межгосударственный стандарт ГОСТ Р 21.101-2026 «Система проектной документации для строительства. Основные требования к проектной и рабочей документации»;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 Федеральный закон от 10.01.2002 № 7-ФЗ «Об охране окружающей среды» (действующая редакция);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 Федеральный закон от 21.12.1994 № 69-ФЗ «О пожарной безопасности»;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 Федеральный закон от 21.07.1997 № 116-ФЗ «О промышленной безопасности опасных производственных объектов»;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 Федеральный закон от 22.07.2008 № 123-ФЗ «Технический регламент о требованиях пожарной безопасности»;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 Приказ Министерства труда и социальной защиты Российской Федерации от 16.11.2020 № 782н «Об утверждении Правил по охране труда при работе на высоте»;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 Приказ Министерства энергетики Российской Федерации от 08.07.2002 № 204 «Об утверждении глав Правил устройства электроустановок»;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 Правила противопожарного режима в РФ (утв. Постановлением Правительства РФ от 16.09.2020 №1479);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 Правила технической эксплуатации электрических станций и сетей, утвержденные приказом Минэнерго Российской Федерации от 04.10. 2022 № 1070;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 СНиП 12-03-2001 «Безопасность труда в строительстве Часть 1. Общие требования»;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 СНиП 12-04-2002 «Безопасность труда в строительстве Часть 2. Строительное производство».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ascii="Calibri" w:hAnsi="Calibri"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Calibri" w:hAnsi="Calibri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hanging="0" w:left="-117"/>
              <w:contextualSpacing/>
              <w:jc w:val="center"/>
              <w:rPr>
                <w:rFonts w:eastAsia="Calibri" w:cs="Times New Roman"/>
                <w:b/>
                <w:bCs/>
                <w:i/>
                <w:i/>
                <w:iCs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lang w:val="ru-RU" w:bidi="ar-SA"/>
              </w:rPr>
              <w:t>1.2.</w:t>
            </w:r>
          </w:p>
        </w:tc>
        <w:tc>
          <w:tcPr>
            <w:tcW w:w="7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szCs w:val="24"/>
                <w:lang w:val="ru-RU" w:bidi="ar-SA"/>
              </w:rPr>
              <w:t>Требования к организации работ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false"/>
              <w:bidi w:val="0"/>
              <w:spacing w:before="60" w:after="60"/>
              <w:ind w:hanging="0" w:left="-57" w:right="0"/>
              <w:contextualSpacing/>
              <w:jc w:val="center"/>
              <w:rPr>
                <w:rFonts w:eastAsia="Calibri" w:cs="Times New Roman"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  <w:t>1.2.1.</w:t>
            </w:r>
          </w:p>
        </w:tc>
        <w:tc>
          <w:tcPr>
            <w:tcW w:w="21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lineRule="auto" w:line="240" w:before="0" w:after="0"/>
              <w:rPr>
                <w:b w:val="false"/>
                <w:bCs w:val="false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/>
                <w:iCs/>
                <w:color w:val="000000"/>
                <w:sz w:val="24"/>
                <w:szCs w:val="24"/>
              </w:rPr>
              <w:t>Организационно -технические мероприятия по допуску персонала Подрядчика</w:t>
            </w:r>
          </w:p>
        </w:tc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9"/>
                <w:tab w:val="left" w:pos="426" w:leader="none"/>
              </w:tabs>
              <w:suppressAutoHyphens w:val="false"/>
              <w:bidi w:val="0"/>
              <w:spacing w:before="0" w:after="0"/>
              <w:ind w:hanging="0" w:left="57" w:right="57"/>
              <w:contextualSpacing w:val="false"/>
              <w:jc w:val="both"/>
              <w:rPr/>
            </w:pPr>
            <w:r>
              <w:rPr/>
              <w:t>В соответствии с Регламентом процесса «Допуск персонала подрядных организаций на объекты ПАО «РусГидро» (утв. приказом ПАО «РусГидро» от 28.04.2023 № 300)» с обязательным оформлением необходимых распоряжений и нарядов-допусков (Приложение  №1 к настоящим ТТ).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left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hanging="0" w:left="-117"/>
              <w:contextualSpacing/>
              <w:jc w:val="center"/>
              <w:rPr>
                <w:rFonts w:eastAsia="Calibri" w:cs="Times New Roman"/>
                <w:b/>
                <w:bCs/>
                <w:i/>
                <w:i/>
                <w:iCs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lang w:val="ru-RU" w:bidi="ar-SA"/>
              </w:rPr>
              <w:t>1.3.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szCs w:val="24"/>
                <w:lang w:val="ru-RU" w:bidi="ar-SA"/>
              </w:rPr>
              <w:t>Требования к безопасности работ и охране труда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false"/>
              <w:bidi w:val="0"/>
              <w:spacing w:before="60" w:after="60"/>
              <w:ind w:hanging="0" w:left="-57" w:right="0"/>
              <w:contextualSpacing/>
              <w:jc w:val="center"/>
              <w:rPr>
                <w:rFonts w:eastAsia="Calibri" w:cs="Times New Roman"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  <w:t>1.3.1.</w:t>
            </w:r>
          </w:p>
        </w:tc>
        <w:tc>
          <w:tcPr>
            <w:tcW w:w="21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lineRule="auto" w:line="240" w:before="0" w:after="0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hanging="144" w:left="0"/>
              <w:contextualSpacing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Не требуется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left"/>
              <w:rPr>
                <w:rFonts w:eastAsia="Calibri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lang w:val="ru-RU" w:bidi="ar-SA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ascii="Calibri" w:hAnsi="Calibri" w:eastAsia="Calibri" w:cs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 w:ascii="Calibri" w:hAnsi="Calibri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 w:cs="Times New Roman"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</w:r>
          </w:p>
        </w:tc>
        <w:tc>
          <w:tcPr>
            <w:tcW w:w="7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Cs w:val="24"/>
                <w:lang w:val="ru-RU" w:bidi="ar-SA"/>
              </w:rPr>
              <w:t>Требования к результатам работ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hanging="0" w:left="-117"/>
              <w:contextualSpacing/>
              <w:jc w:val="center"/>
              <w:rPr>
                <w:rFonts w:eastAsia="Calibri" w:cs="Times New Roman"/>
                <w:b/>
                <w:bCs/>
                <w:i/>
                <w:i/>
                <w:iCs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lang w:val="ru-RU" w:bidi="ar-SA"/>
              </w:rPr>
              <w:t>2.1.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Требования к проведению предпроектного обследования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hanging="1199" w:left="1224"/>
              <w:contextualSpacing/>
              <w:jc w:val="center"/>
              <w:rPr>
                <w:rFonts w:eastAsia="Calibri" w:cs="Times New Roman"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 xml:space="preserve">При предпроектном обследовании Объектов на основании полученных от Заказчика сборочных чертежей, в том числе на существующее оборудование комплекса антикоррозийной защиты Затворов, </w:t>
            </w: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bidi="ar-SA"/>
              </w:rPr>
              <w:t>разрабатываются возможные технические решения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>.</w:t>
            </w:r>
          </w:p>
          <w:p>
            <w:pPr>
              <w:pStyle w:val="22"/>
              <w:widowControl w:val="false"/>
              <w:shd w:val="clear" w:color="auto" w:fill="auto"/>
              <w:spacing w:lineRule="auto" w:line="240" w:before="0" w:after="0"/>
              <w:ind w:hanging="0"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Предпроектное обследование должно включать:</w:t>
            </w:r>
          </w:p>
          <w:p>
            <w:pPr>
              <w:pStyle w:val="22"/>
              <w:widowControl w:val="false"/>
              <w:numPr>
                <w:ilvl w:val="0"/>
                <w:numId w:val="7"/>
              </w:numPr>
              <w:shd w:val="clear" w:color="auto" w:fill="auto"/>
              <w:tabs>
                <w:tab w:val="clear" w:pos="709"/>
                <w:tab w:val="left" w:pos="256" w:leader="none"/>
              </w:tabs>
              <w:suppressAutoHyphens w:val="false"/>
              <w:bidi w:val="0"/>
              <w:spacing w:lineRule="auto" w:line="240" w:before="0" w:after="0"/>
              <w:ind w:hanging="170" w:left="283" w:right="113"/>
              <w:jc w:val="both"/>
              <w:rPr>
                <w:color w:val="00000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сбор исходных данных, необходимых и достаточных для разработки рабочей документации;</w:t>
            </w:r>
          </w:p>
          <w:p>
            <w:pPr>
              <w:pStyle w:val="22"/>
              <w:widowControl w:val="false"/>
              <w:numPr>
                <w:ilvl w:val="0"/>
                <w:numId w:val="7"/>
              </w:numPr>
              <w:shd w:val="clear" w:color="auto" w:fill="auto"/>
              <w:tabs>
                <w:tab w:val="clear" w:pos="709"/>
                <w:tab w:val="left" w:pos="256" w:leader="none"/>
              </w:tabs>
              <w:suppressAutoHyphens w:val="false"/>
              <w:bidi w:val="0"/>
              <w:spacing w:lineRule="auto" w:line="240" w:before="0" w:after="0"/>
              <w:ind w:hanging="170" w:left="283" w:right="113"/>
              <w:jc w:val="both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lang w:val="ru-RU" w:eastAsia="ru-RU" w:bidi="ar-SA"/>
              </w:rPr>
              <w:t>изучение переданной Заказчиком технической документации;</w:t>
            </w:r>
          </w:p>
          <w:p>
            <w:pPr>
              <w:pStyle w:val="22"/>
              <w:widowControl w:val="false"/>
              <w:numPr>
                <w:ilvl w:val="0"/>
                <w:numId w:val="7"/>
              </w:numPr>
              <w:shd w:val="clear" w:color="auto" w:fill="auto"/>
              <w:tabs>
                <w:tab w:val="clear" w:pos="709"/>
                <w:tab w:val="left" w:pos="256" w:leader="none"/>
              </w:tabs>
              <w:suppressAutoHyphens w:val="false"/>
              <w:bidi w:val="0"/>
              <w:spacing w:lineRule="auto" w:line="240" w:before="0" w:after="0"/>
              <w:ind w:hanging="17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определение состава устанавливаемых конструкций;</w:t>
            </w:r>
          </w:p>
          <w:p>
            <w:pPr>
              <w:pStyle w:val="22"/>
              <w:widowControl w:val="false"/>
              <w:numPr>
                <w:ilvl w:val="0"/>
                <w:numId w:val="7"/>
              </w:numPr>
              <w:shd w:val="clear" w:color="auto" w:fill="auto"/>
              <w:tabs>
                <w:tab w:val="clear" w:pos="709"/>
                <w:tab w:val="left" w:pos="256" w:leader="none"/>
              </w:tabs>
              <w:suppressAutoHyphens w:val="false"/>
              <w:bidi w:val="0"/>
              <w:spacing w:lineRule="auto" w:line="240" w:before="0" w:after="0"/>
              <w:ind w:hanging="17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определение мест размещения конструкций;</w:t>
            </w:r>
          </w:p>
          <w:p>
            <w:pPr>
              <w:pStyle w:val="22"/>
              <w:widowControl w:val="false"/>
              <w:numPr>
                <w:ilvl w:val="0"/>
                <w:numId w:val="7"/>
              </w:numPr>
              <w:shd w:val="clear" w:color="auto" w:fill="auto"/>
              <w:tabs>
                <w:tab w:val="clear" w:pos="709"/>
                <w:tab w:val="left" w:pos="256" w:leader="none"/>
              </w:tabs>
              <w:suppressAutoHyphens w:val="false"/>
              <w:bidi w:val="0"/>
              <w:spacing w:lineRule="auto" w:line="240" w:before="0" w:after="0"/>
              <w:ind w:hanging="17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 xml:space="preserve">разработка и согласование с заказчиком 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  <w:lang w:val="ru-RU" w:bidi="ar-SA"/>
              </w:rPr>
              <w:t xml:space="preserve">отчета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о результатах обследования, содержащего в том числе:</w:t>
            </w:r>
          </w:p>
          <w:p>
            <w:pPr>
              <w:pStyle w:val="22"/>
              <w:widowControl w:val="false"/>
              <w:numPr>
                <w:ilvl w:val="0"/>
                <w:numId w:val="0"/>
              </w:numPr>
              <w:shd w:val="clear" w:color="auto" w:fill="auto"/>
              <w:tabs>
                <w:tab w:val="clear" w:pos="709"/>
                <w:tab w:val="left" w:pos="256" w:leader="none"/>
              </w:tabs>
              <w:suppressAutoHyphens w:val="false"/>
              <w:bidi w:val="0"/>
              <w:spacing w:lineRule="auto" w:line="240" w:before="0" w:after="0"/>
              <w:ind w:hanging="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- общую информацию об объекте;</w:t>
            </w:r>
          </w:p>
          <w:p>
            <w:pPr>
              <w:pStyle w:val="22"/>
              <w:widowControl w:val="false"/>
              <w:numPr>
                <w:ilvl w:val="0"/>
                <w:numId w:val="0"/>
              </w:numPr>
              <w:shd w:val="clear" w:color="auto" w:fill="auto"/>
              <w:tabs>
                <w:tab w:val="clear" w:pos="709"/>
                <w:tab w:val="left" w:pos="256" w:leader="none"/>
              </w:tabs>
              <w:suppressAutoHyphens w:val="false"/>
              <w:bidi w:val="0"/>
              <w:spacing w:lineRule="auto" w:line="240" w:before="0" w:after="0"/>
              <w:ind w:hanging="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- информацию о составе и состоянии объекта;</w:t>
            </w:r>
          </w:p>
          <w:p>
            <w:pPr>
              <w:pStyle w:val="22"/>
              <w:widowControl w:val="false"/>
              <w:numPr>
                <w:ilvl w:val="0"/>
                <w:numId w:val="0"/>
              </w:numPr>
              <w:shd w:val="clear" w:color="auto" w:fill="auto"/>
              <w:tabs>
                <w:tab w:val="clear" w:pos="709"/>
                <w:tab w:val="left" w:pos="256" w:leader="none"/>
              </w:tabs>
              <w:suppressAutoHyphens w:val="false"/>
              <w:bidi w:val="0"/>
              <w:spacing w:lineRule="auto" w:line="240" w:before="0" w:after="0"/>
              <w:ind w:hanging="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- данные об эксплуатации конструкции;</w:t>
            </w:r>
          </w:p>
          <w:p>
            <w:pPr>
              <w:pStyle w:val="22"/>
              <w:widowControl w:val="false"/>
              <w:numPr>
                <w:ilvl w:val="0"/>
                <w:numId w:val="0"/>
              </w:numPr>
              <w:shd w:val="clear" w:color="auto" w:fill="auto"/>
              <w:tabs>
                <w:tab w:val="clear" w:pos="709"/>
                <w:tab w:val="left" w:pos="256" w:leader="none"/>
              </w:tabs>
              <w:suppressAutoHyphens w:val="false"/>
              <w:bidi w:val="0"/>
              <w:spacing w:lineRule="auto" w:line="240" w:before="0" w:after="0"/>
              <w:ind w:hanging="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- выводы по текущему состоянию оборудования;</w:t>
            </w:r>
          </w:p>
          <w:p>
            <w:pPr>
              <w:pStyle w:val="22"/>
              <w:widowControl w:val="false"/>
              <w:numPr>
                <w:ilvl w:val="0"/>
                <w:numId w:val="0"/>
              </w:numPr>
              <w:shd w:val="clear" w:color="auto" w:fill="auto"/>
              <w:tabs>
                <w:tab w:val="clear" w:pos="709"/>
                <w:tab w:val="left" w:pos="256" w:leader="none"/>
              </w:tabs>
              <w:suppressAutoHyphens w:val="false"/>
              <w:bidi w:val="0"/>
              <w:spacing w:lineRule="auto" w:line="240" w:before="0" w:after="0"/>
              <w:ind w:hanging="0" w:left="283" w:right="113"/>
              <w:jc w:val="both"/>
              <w:rPr/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bidi="ar-SA"/>
              </w:rPr>
              <w:t>- вариантную проработку технических решений, с выбором наиболее оптимального варианта и с обязат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shd w:fill="auto" w:val="clear"/>
                <w:lang w:val="ru-RU" w:bidi="ar-SA"/>
              </w:rPr>
              <w:t xml:space="preserve">ельным его </w:t>
            </w:r>
            <w:r>
              <w:rPr>
                <w:rStyle w:val="Hyperlink"/>
                <w:rFonts w:eastAsia="Times New Roman" w:cs="Times New Roman"/>
                <w:b w:val="false"/>
                <w:bCs/>
                <w:i w:val="false"/>
                <w:iCs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согласованием с Заказчиком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shd w:fill="auto" w:val="clear"/>
                <w:lang w:val="ru-RU" w:bidi="ar-SA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>Состав разделов может быть уточнен или дополнен по согласованию с Заказчиком.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color w:val="000000"/>
              </w:rPr>
            </w:pPr>
            <w:r>
              <w:rPr>
                <w:rFonts w:eastAsia="Calibri" w:cs="Times New Roman" w:ascii="Calibri" w:hAnsi="Calibri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</w:tr>
      <w:tr>
        <w:trPr>
          <w:trHeight w:val="131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false"/>
              <w:bidi w:val="0"/>
              <w:spacing w:before="60" w:after="60"/>
              <w:ind w:hanging="0" w:left="-57" w:right="113"/>
              <w:contextualSpacing/>
              <w:jc w:val="center"/>
              <w:rPr>
                <w:rFonts w:eastAsia="Calibri" w:cs="Times New Roman"/>
                <w:b/>
                <w:bCs/>
                <w:i/>
                <w:i/>
                <w:iCs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lang w:val="ru-RU" w:bidi="ar-SA"/>
              </w:rPr>
              <w:t>2.2.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Требования к разработке рабочей документации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false"/>
              <w:bidi w:val="0"/>
              <w:spacing w:before="60" w:after="60"/>
              <w:ind w:hanging="0" w:left="-57" w:right="0"/>
              <w:contextualSpacing/>
              <w:jc w:val="center"/>
              <w:rPr>
                <w:rFonts w:eastAsia="Calibri" w:cs="Times New Roman"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  <w:t>2.2.1.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Hyperlink"/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 xml:space="preserve">Рабочая документация должна содержать конструктивные и технические решения, с учетом результатов вариантной проработки полученных при предпроектном обследовании, по технологическому оснащению процесса размещения и надежной фиксации с использованием специальной монтажной оснастки (конструкций, приспособлений) Объектов </w:t>
            </w:r>
            <w:r>
              <w:rPr>
                <w:rStyle w:val="Hyperlink"/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u w:val="none"/>
                <w:lang w:val="ru-RU" w:eastAsia="x-none" w:bidi="ar-SA"/>
              </w:rPr>
              <w:t xml:space="preserve">(таблица 1 настоящих ТТ) </w:t>
            </w:r>
            <w:r>
              <w:rPr>
                <w:rStyle w:val="Hyperlink"/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 xml:space="preserve"> на раздельном устое (водораздельной стенке) или ином месте.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bidi="ar-SA"/>
              </w:rPr>
              <w:t xml:space="preserve">Объем и состав разрабатываемой рабочей документации должен </w:t>
            </w: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включать следующие основные разделы, включая разделы конструкторской документации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пояснительная записка с расчетами конструктивных, технологических решений;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общие данные по рабочим чертежам;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чертеж общего вида;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сборочный чертеж;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деталировочные чертежи на сборочные единицы;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спецификация оборудования, изделий и материалов;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ведомости объемов работ;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объем строительно-монтажных работ;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сметная документация.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эксплуатационные документы (руководство по эксплуатации, паспорт или формуляр, инструкция по монтажу, программа и методика испытаний.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Состав разделов может быть уточнен или дополнен по согласованию с Заказчиком.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Материалы рабочей документации должны быть согласованы с Заказчиком, в части технических решений. </w:t>
            </w: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bidi="ar-SA"/>
              </w:rPr>
              <w:t>По всем разделам выполнить необходимые рабочие чертежи, предоставить полный пакет документов, достаточный для закупки материалов и оборудования, выполнения строительно-монтажных работ.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hanging="0" w:left="-117"/>
              <w:contextualSpacing/>
              <w:jc w:val="center"/>
              <w:rPr>
                <w:rFonts w:eastAsia="Calibri" w:cs="Times New Roman"/>
                <w:b/>
                <w:bCs/>
                <w:i/>
                <w:i/>
                <w:iCs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lang w:val="ru-RU" w:bidi="ar-SA"/>
              </w:rPr>
              <w:t>2.3.</w:t>
            </w:r>
          </w:p>
        </w:tc>
        <w:tc>
          <w:tcPr>
            <w:tcW w:w="7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Требования к содержанию сметной документации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hanging="0" w:left="-117"/>
              <w:contextualSpacing/>
              <w:jc w:val="center"/>
              <w:rPr>
                <w:rFonts w:eastAsia="Calibri" w:cs="Times New Roman"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  <w:t>2.3.1.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bidi="ar-SA"/>
              </w:rPr>
              <w:t>Сметная документация разрабатывается в следующем составе: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bidi="ar-SA"/>
              </w:rPr>
              <w:t xml:space="preserve">• </w:t>
            </w: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bidi="ar-SA"/>
              </w:rPr>
              <w:t>стоимость поставки материалов;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bidi="ar-SA"/>
              </w:rPr>
              <w:t xml:space="preserve">• </w:t>
            </w: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bidi="ar-SA"/>
              </w:rPr>
              <w:t>стоимость монтажных / демонтажных работ.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bidi="ar-SA"/>
              </w:rPr>
              <w:t>Сметная документация должна быть выполнена в виде отдельного текстового документа в строгом соответствии с требованиями к оформлению и составлению сметной документации на выполнение работ. Предоставлена в формате ПК «Гранд-смета», «Ехсеl».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hanging="0" w:left="-117"/>
              <w:contextualSpacing/>
              <w:jc w:val="center"/>
              <w:rPr>
                <w:rFonts w:eastAsia="Calibri" w:cs="Times New Roman"/>
                <w:b/>
                <w:bCs/>
                <w:i/>
                <w:i/>
                <w:iCs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lang w:val="ru-RU" w:bidi="ar-SA"/>
              </w:rPr>
              <w:t>2.4.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Требования к оформлению и предоставлению документации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false"/>
              <w:bidi w:val="0"/>
              <w:spacing w:before="60" w:after="60"/>
              <w:ind w:hanging="0" w:left="0" w:right="0"/>
              <w:contextualSpacing/>
              <w:jc w:val="center"/>
              <w:rPr>
                <w:rFonts w:eastAsia="Calibri" w:cs="Times New Roman"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  <w:t>2.4.1.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>Документация предоставляется Заказчику в 3-х экземплярах с подписями на бумажном носителе, в 1 экземпляре с подписями на электронном носителе в сканированном виде (файлы PDF).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 xml:space="preserve">Чертежи, таблицы, и иные документы, выполненные в специализированных продуктах, передаются в формате файлов соответствующих программ (DWG, CDW и т.п.) с обязательным приложением используемых шрифтов, форм и других файлов, необходимых для работы с передаваемой в электронном виде документацией. При этом предпочтительным форматом чертежей является формат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en-US" w:bidi="ar-SA"/>
              </w:rPr>
              <w:t>nanoCAD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 xml:space="preserve"> (*.DWG и т.п.), предоставление в других форматах возможно только по предварительному согласованию с Заказчиком.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 xml:space="preserve">Вся документация, также обязательно передается Заказчику в файлах редактируемых форматов: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>- текстовая документация в формате (.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en-US" w:bidi="ar-SA"/>
              </w:rPr>
              <w:t>odt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 xml:space="preserve">);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>- табличная документация в формате (.ods).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ascii="Calibri" w:hAnsi="Calibri"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 w:ascii="Calibri" w:hAnsi="Calibri"/>
                <w:color w:val="000000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false"/>
              <w:bidi w:val="0"/>
              <w:spacing w:before="60" w:after="60"/>
              <w:ind w:hanging="0" w:left="-57" w:right="0"/>
              <w:contextualSpacing/>
              <w:jc w:val="center"/>
              <w:rPr>
                <w:rFonts w:eastAsia="Calibri" w:cs="Times New Roman"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  <w:t>2.4.2.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>Работы принимаются Заказчиком на основании акта сдачи-приемки выполненных работ, в соответствии с таблицей № 2 настоящих ТТ.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ascii="Calibri" w:hAnsi="Calibri"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 w:ascii="Calibri" w:hAnsi="Calibri"/>
                <w:color w:val="000000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false"/>
              <w:bidi w:val="0"/>
              <w:spacing w:before="60" w:after="60"/>
              <w:ind w:hanging="0" w:left="0" w:right="57"/>
              <w:contextualSpacing/>
              <w:jc w:val="center"/>
              <w:rPr>
                <w:rFonts w:eastAsia="Calibri" w:cs="Times New Roman"/>
                <w:b/>
                <w:bCs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lang w:val="ru-RU" w:bidi="ar-SA"/>
              </w:rPr>
              <w:t>3.</w:t>
            </w:r>
          </w:p>
        </w:tc>
        <w:tc>
          <w:tcPr>
            <w:tcW w:w="7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Требования к Подрядчику и его обязательствам, влияющим на исполнение договора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lang w:val="en-US" w:bidi="ar-SA"/>
              </w:rPr>
              <w:t>3.1.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textAlignment w:val="top"/>
              <w:rPr/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u w:val="none"/>
                <w:lang w:val="ru-RU" w:bidi="ar-SA"/>
              </w:rPr>
              <w:t xml:space="preserve">В соответствии со ст. 48 части 4 Градостроительного кодекса РФ </w:t>
            </w:r>
            <w:hyperlink r:id="rId7">
              <w:r>
                <w:rPr>
                  <w:rStyle w:val="Hyperlink"/>
                  <w:rFonts w:eastAsia="Calibri" w:cs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kern w:val="0"/>
                  <w:u w:val="none"/>
                  <w:effect w:val="none"/>
                  <w:shd w:fill="auto" w:val="clear"/>
                  <w:lang w:val="ru-RU" w:bidi="ar-SA"/>
                </w:rPr>
                <w:t xml:space="preserve"> (ФЗ № 309 от 31.07.2025, с изм. от 01.03.2026)</w:t>
              </w:r>
            </w:hyperlink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u w:val="none"/>
                <w:effect w:val="none"/>
                <w:shd w:fill="auto" w:val="clear"/>
                <w:lang w:val="ru-RU" w:bidi="ar-SA"/>
              </w:rPr>
              <w:t xml:space="preserve">  Участник закупки должен быть членом саморегулируемой организации в области архитектурно-строительного проектирования.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color w:val="000000"/>
              </w:rPr>
            </w:pPr>
            <w:r>
              <w:rPr>
                <w:rFonts w:eastAsia="Calibri" w:cs="Times New Roman"/>
                <w:i w:val="false"/>
                <w:iCs w:val="false"/>
                <w:color w:val="000000"/>
                <w:kern w:val="0"/>
                <w:sz w:val="24"/>
                <w:szCs w:val="24"/>
                <w:lang w:val="ru-RU" w:bidi="ar-SA"/>
              </w:rPr>
              <w:t>В составе заявки Участник должен предоставить копию действующей выписки из реестра членов СРО (выданной не ранее одного месяца до даты подачи заявки), по форме, установленной органом надзора за саморегулируемыми организациями. В выписке должны содержаться: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color w:val="000000"/>
              </w:rPr>
            </w:pPr>
            <w:r>
              <w:rPr>
                <w:rFonts w:eastAsia="Calibri" w:cs="Times New Roman"/>
                <w:i w:val="false"/>
                <w:iCs w:val="false"/>
                <w:color w:val="000000"/>
                <w:kern w:val="0"/>
                <w:sz w:val="24"/>
                <w:szCs w:val="24"/>
                <w:lang w:val="ru-RU" w:bidi="ar-SA"/>
              </w:rPr>
              <w:t>- сведения об уровне ответственности Участника по компенсационному фонду обеспечения договорных обязательств, соответствующем предложенной в заявке стоимости выполнения работ по договору (с учетом НДС).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en-US"/>
              </w:rPr>
              <w:t>3.2.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u w:val="none"/>
                <w:lang w:val="ru-RU" w:bidi="ar-SA"/>
              </w:rPr>
              <w:t>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 в области проектирования и разработки рабочей документации на системы вентиляции промышленных объектов.</w:t>
            </w: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  <w:t xml:space="preserve"> 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color w:val="000000"/>
              </w:rPr>
            </w:pPr>
            <w:r>
              <w:rPr>
                <w:rFonts w:eastAsia="Calibri" w:cs="Times New Roman"/>
                <w:i w:val="false"/>
                <w:iCs w:val="false"/>
                <w:color w:val="000000"/>
                <w:kern w:val="0"/>
                <w:sz w:val="24"/>
                <w:szCs w:val="24"/>
                <w:lang w:val="ru-RU" w:bidi="ar-SA"/>
              </w:rPr>
              <w:t>1.</w:t>
            </w: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 xml:space="preserve"> Копии договоров гражданско-правового характера (договор ГПХ) в случае привлечения стороннего  персонала).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  <w:t>2. Копии завершённых договоров, акты выполненных работ по аналогичным работам за последние 5 лет.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144" w:left="25"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lang w:val="en-US" w:bidi="ar-SA"/>
              </w:rPr>
              <w:t>3.3.</w:t>
            </w:r>
          </w:p>
        </w:tc>
        <w:tc>
          <w:tcPr>
            <w:tcW w:w="7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>Для б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bidi="ar-SA"/>
              </w:rPr>
              <w:t>езусловного выполнения договорных обязательств согласно настоящих ТТ Подрядчик должен обеспечить: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textAlignment w:val="top"/>
              <w:rPr/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bidi="ar-SA"/>
              </w:rPr>
              <w:t xml:space="preserve">- оформление и согласование с Заказчиком отчёта по предпроектным работам с </w:t>
            </w:r>
            <w:r>
              <w:rPr>
                <w:rStyle w:val="Hyperlink"/>
                <w:rFonts w:eastAsia="Times New Roman" w:cs="Times New Roman"/>
                <w:b w:val="false"/>
                <w:bCs/>
                <w:i w:val="false"/>
                <w:iCs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вариантной проработкой технических решений и с выбором наиболее</w:t>
            </w:r>
            <w:r>
              <w:rPr>
                <w:rStyle w:val="Hyperlink"/>
                <w:rFonts w:eastAsia="Times New Roman" w:cs="Times New Roman"/>
                <w:bCs/>
                <w:iCs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Style w:val="Hyperlink"/>
                <w:rFonts w:eastAsia="Times New Roman" w:cs="Times New Roman"/>
                <w:b w:val="false"/>
                <w:bCs/>
                <w:i w:val="false"/>
                <w:iCs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оптимального (согласованного с Заказчиком)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bidi="ar-SA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textAlignment w:val="top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>- разработку рабочей документации (текстовая, графическая часть, спецификации оборудования, изделий и материалов, сметная документация и т.д.);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bidi="ar-SA"/>
              </w:rPr>
              <w:t>- доработку рабочей документации по замечаниям Заказчика (при необходимости).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4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ascii="Calibri" w:hAnsi="Calibri" w:eastAsia="Calibri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 w:ascii="Calibri" w:hAnsi="Calibri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144" w:left="25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4.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Требования к ведению авторского надзора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144" w:left="25"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szCs w:val="24"/>
                <w:lang w:val="en-US" w:bidi="ar-SA"/>
              </w:rPr>
              <w:t>4.1.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en-US" w:bidi="ar-SA"/>
              </w:rPr>
              <w:t>Не требуется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ascii="Calibri" w:hAnsi="Calibri"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 w:ascii="Calibri" w:hAnsi="Calibri"/>
                <w:color w:val="000000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ascii="Calibri" w:hAnsi="Calibri"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 w:ascii="Calibri" w:hAnsi="Calibri"/>
                <w:color w:val="000000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144" w:left="25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5.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Прочие требования к выполняемым работам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144" w:left="25"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szCs w:val="24"/>
                <w:lang w:val="ru-RU" w:bidi="ar-SA"/>
              </w:rPr>
              <w:t>5.1.</w:t>
            </w:r>
          </w:p>
        </w:tc>
        <w:tc>
          <w:tcPr>
            <w:tcW w:w="77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>Если при выполнении работ по предпроектному обследованию Объектов помимо визуального осмотра потребуется выполнить инструментальное обследование, то данный вид работ производится с обязательным оформлением наряда-допуска.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ascii="Calibri" w:hAnsi="Calibri"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 w:ascii="Calibri" w:hAnsi="Calibri"/>
                <w:color w:val="000000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orient="landscape" w:w="16838" w:h="11906"/>
          <w:pgMar w:left="992" w:right="1134" w:gutter="0" w:header="0" w:top="1673" w:footer="709" w:bottom="766"/>
          <w:pgNumType w:fmt="decimal"/>
          <w:formProt w:val="false"/>
          <w:textDirection w:val="lrTb"/>
          <w:docGrid w:type="default" w:linePitch="326" w:charSpace="0"/>
        </w:sectPr>
      </w:pPr>
    </w:p>
    <w:p>
      <w:pPr>
        <w:pStyle w:val="Heading1"/>
        <w:keepLines/>
        <w:widowControl/>
        <w:numPr>
          <w:ilvl w:val="0"/>
          <w:numId w:val="0"/>
        </w:numPr>
        <w:suppressAutoHyphens w:val="false"/>
        <w:bidi w:val="0"/>
        <w:spacing w:before="0" w:after="0"/>
        <w:ind w:hanging="0" w:left="0" w:right="0"/>
        <w:jc w:val="center"/>
        <w:rPr>
          <w:b/>
          <w:bCs/>
          <w:iCs/>
          <w:sz w:val="28"/>
          <w:szCs w:val="28"/>
          <w:lang w:val="ru-RU"/>
        </w:rPr>
      </w:pPr>
      <w:r>
        <w:rPr>
          <w:b/>
          <w:bCs/>
          <w:iCs/>
          <w:sz w:val="28"/>
          <w:szCs w:val="28"/>
          <w:lang w:val="ru-RU"/>
        </w:rPr>
      </w:r>
    </w:p>
    <w:p>
      <w:pPr>
        <w:pStyle w:val="Normal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</w:r>
    </w:p>
    <w:p>
      <w:pPr>
        <w:pStyle w:val="Normal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</w:r>
    </w:p>
    <w:p>
      <w:pPr>
        <w:pStyle w:val="Normal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</w:r>
    </w:p>
    <w:p>
      <w:pPr>
        <w:pStyle w:val="Normal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</w:r>
    </w:p>
    <w:p>
      <w:pPr>
        <w:pStyle w:val="Normal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</w:r>
    </w:p>
    <w:p>
      <w:pPr>
        <w:pStyle w:val="Normal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</w:r>
    </w:p>
    <w:sectPr>
      <w:footerReference w:type="default" r:id="rId10"/>
      <w:footerReference w:type="first" r:id="rId11"/>
      <w:type w:val="nextPage"/>
      <w:pgSz w:w="11906" w:h="16838"/>
      <w:pgMar w:left="1673" w:right="595" w:gutter="0" w:header="0" w:top="1134" w:footer="709" w:bottom="992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Sylfaen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15</w:t>
    </w:r>
    <w:r>
      <w:rPr/>
      <w:fldChar w:fldCharType="end"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16</w:t>
    </w:r>
    <w:r>
      <w:rPr/>
      <w:fldChar w:fldCharType="end"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54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  <w:rPr/>
    </w:lvl>
  </w:abstractNum>
  <w:abstractNum w:abstractNumId="3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/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4">
    <w:lvl w:ilvl="0">
      <w:start w:val="1"/>
      <w:numFmt w:val="bullet"/>
      <w:lvlText w:val="→"/>
      <w:lvlJc w:val="left"/>
      <w:pPr>
        <w:tabs>
          <w:tab w:val="num" w:pos="880"/>
        </w:tabs>
        <w:ind w:left="880" w:hanging="34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11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1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3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7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9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39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pPr>
      <w:numPr>
        <w:ilvl w:val="0"/>
        <w:numId w:val="1"/>
      </w:numPr>
      <w:outlineLvl w:val="0"/>
    </w:pPr>
    <w:rPr>
      <w:rFonts w:eastAsia="Times New Roman"/>
      <w:bCs/>
      <w:szCs w:val="24"/>
      <w:lang w:eastAsia="ru-RU"/>
    </w:rPr>
  </w:style>
  <w:style w:type="paragraph" w:styleId="Heading2">
    <w:name w:val="Heading 2"/>
    <w:basedOn w:val="Normal"/>
    <w:next w:val="Normal"/>
    <w:link w:val="2"/>
    <w:qFormat/>
    <w:pPr>
      <w:numPr>
        <w:ilvl w:val="1"/>
        <w:numId w:val="1"/>
      </w:numPr>
      <w:jc w:val="both"/>
      <w:outlineLvl w:val="1"/>
    </w:pPr>
    <w:rPr>
      <w:rFonts w:eastAsia="Times New Roman"/>
      <w:szCs w:val="24"/>
      <w:lang w:eastAsia="ru-RU"/>
    </w:rPr>
  </w:style>
  <w:style w:type="paragraph" w:styleId="Heading3">
    <w:name w:val="Heading 3"/>
    <w:basedOn w:val="Normal"/>
    <w:next w:val="Normal"/>
    <w:link w:val="31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ru-RU"/>
    </w:rPr>
  </w:style>
  <w:style w:type="paragraph" w:styleId="Heading4">
    <w:name w:val="Heading 4"/>
    <w:basedOn w:val="Normal"/>
    <w:next w:val="Normal"/>
    <w:link w:val="4"/>
    <w:qFormat/>
    <w:pPr>
      <w:keepNext w:val="true"/>
      <w:numPr>
        <w:ilvl w:val="3"/>
        <w:numId w:val="1"/>
      </w:numPr>
      <w:spacing w:before="240" w:after="60"/>
      <w:ind w:hanging="144" w:left="864"/>
      <w:outlineLvl w:val="3"/>
    </w:pPr>
    <w:rPr>
      <w:rFonts w:eastAsia="Times New Roman"/>
      <w:b/>
      <w:bCs/>
      <w:sz w:val="28"/>
      <w:szCs w:val="28"/>
      <w:lang w:eastAsia="ru-RU"/>
    </w:rPr>
  </w:style>
  <w:style w:type="paragraph" w:styleId="Heading5">
    <w:name w:val="Heading 5"/>
    <w:basedOn w:val="Normal"/>
    <w:next w:val="Normal"/>
    <w:link w:val="5"/>
    <w:qFormat/>
    <w:pPr>
      <w:numPr>
        <w:ilvl w:val="4"/>
        <w:numId w:val="1"/>
      </w:numPr>
      <w:spacing w:before="240" w:after="60"/>
      <w:outlineLvl w:val="4"/>
    </w:pPr>
    <w:rPr>
      <w:rFonts w:ascii="Calibri" w:hAnsi="Calibri"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qFormat/>
    <w:pPr>
      <w:widowControl w:val="false"/>
      <w:numPr>
        <w:ilvl w:val="5"/>
        <w:numId w:val="1"/>
      </w:numPr>
      <w:spacing w:lineRule="atLeast" w:line="360" w:before="240" w:after="60"/>
      <w:ind w:hanging="432" w:left="1152"/>
      <w:jc w:val="both"/>
      <w:textAlignment w:val="baseline"/>
      <w:outlineLvl w:val="5"/>
    </w:pPr>
    <w:rPr>
      <w:rFonts w:eastAsia="Times New Roman"/>
      <w:i/>
      <w:sz w:val="22"/>
      <w:szCs w:val="20"/>
      <w:lang w:eastAsia="ru-RU"/>
    </w:rPr>
  </w:style>
  <w:style w:type="paragraph" w:styleId="Heading7">
    <w:name w:val="Heading 7"/>
    <w:basedOn w:val="Normal"/>
    <w:next w:val="Normal"/>
    <w:link w:val="7"/>
    <w:qFormat/>
    <w:pPr>
      <w:widowControl w:val="false"/>
      <w:numPr>
        <w:ilvl w:val="6"/>
        <w:numId w:val="1"/>
      </w:numPr>
      <w:spacing w:lineRule="atLeast" w:line="360" w:before="240" w:after="60"/>
      <w:ind w:hanging="288" w:left="1296"/>
      <w:jc w:val="both"/>
      <w:textAlignment w:val="baseline"/>
      <w:outlineLvl w:val="6"/>
    </w:pPr>
    <w:rPr>
      <w:rFonts w:ascii="Arial" w:hAnsi="Arial" w:eastAsia="Times New Roman"/>
      <w:sz w:val="20"/>
      <w:szCs w:val="20"/>
      <w:lang w:eastAsia="ru-RU"/>
    </w:rPr>
  </w:style>
  <w:style w:type="paragraph" w:styleId="Heading8">
    <w:name w:val="Heading 8"/>
    <w:basedOn w:val="Normal"/>
    <w:next w:val="Normal"/>
    <w:link w:val="8"/>
    <w:qFormat/>
    <w:pPr>
      <w:widowControl w:val="false"/>
      <w:numPr>
        <w:ilvl w:val="7"/>
        <w:numId w:val="1"/>
      </w:numPr>
      <w:spacing w:lineRule="atLeast" w:line="360" w:before="240" w:after="60"/>
      <w:ind w:hanging="432" w:left="1440"/>
      <w:jc w:val="both"/>
      <w:textAlignment w:val="baseline"/>
      <w:outlineLvl w:val="7"/>
    </w:pPr>
    <w:rPr>
      <w:rFonts w:ascii="Arial" w:hAnsi="Arial" w:eastAsia="Times New Roman"/>
      <w:i/>
      <w:sz w:val="20"/>
      <w:szCs w:val="20"/>
      <w:lang w:eastAsia="ru-RU"/>
    </w:rPr>
  </w:style>
  <w:style w:type="paragraph" w:styleId="Heading9">
    <w:name w:val="Heading 9"/>
    <w:basedOn w:val="Normal"/>
    <w:next w:val="Normal"/>
    <w:link w:val="9"/>
    <w:qFormat/>
    <w:pPr>
      <w:numPr>
        <w:ilvl w:val="8"/>
        <w:numId w:val="1"/>
      </w:numPr>
      <w:spacing w:before="240" w:after="60"/>
      <w:ind w:hanging="144" w:left="1584"/>
      <w:outlineLvl w:val="8"/>
    </w:pPr>
    <w:rPr>
      <w:rFonts w:ascii="Arial" w:hAnsi="Arial" w:eastAsia="Times New Roman" w:cs="Arial"/>
      <w:sz w:val="22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Текст выноски Знак"/>
    <w:link w:val="BalloonText"/>
    <w:qFormat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qFormat/>
    <w:rPr>
      <w:rFonts w:ascii="Times New Roman" w:hAnsi="Times New Roman" w:eastAsia="Times New Roman"/>
      <w:bCs/>
      <w:sz w:val="24"/>
      <w:szCs w:val="24"/>
    </w:rPr>
  </w:style>
  <w:style w:type="character" w:styleId="Style1" w:customStyle="1">
    <w:name w:val="Основной текст Знак"/>
    <w:link w:val="Textbody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2" w:customStyle="1">
    <w:name w:val="Основной текст с отступом Знак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3" w:customStyle="1">
    <w:name w:val="Подзаголовок Знак"/>
    <w:qFormat/>
    <w:rPr>
      <w:rFonts w:ascii="Arial" w:hAnsi="Arial" w:eastAsia="Times New Roman" w:cs="Arial"/>
      <w:sz w:val="24"/>
      <w:szCs w:val="24"/>
      <w:lang w:eastAsia="ru-RU"/>
    </w:rPr>
  </w:style>
  <w:style w:type="character" w:styleId="Style4" w:customStyle="1">
    <w:name w:val="Гипертекстовая ссылка"/>
    <w:qFormat/>
    <w:rPr>
      <w:color w:val="008000"/>
    </w:rPr>
  </w:style>
  <w:style w:type="character" w:styleId="FontStyle22" w:customStyle="1">
    <w:name w:val="Font Style22"/>
    <w:qFormat/>
    <w:rPr>
      <w:rFonts w:ascii="Times New Roman" w:hAnsi="Times New Roman" w:cs="Times New Roman"/>
      <w:sz w:val="24"/>
      <w:szCs w:val="24"/>
    </w:rPr>
  </w:style>
  <w:style w:type="character" w:styleId="11" w:customStyle="1">
    <w:name w:val="Стиль1 Знак"/>
    <w:link w:val="13"/>
    <w:qFormat/>
    <w:rPr>
      <w:rFonts w:ascii="Times New Roman" w:hAnsi="Times New Roman"/>
      <w:b/>
      <w:sz w:val="32"/>
      <w:szCs w:val="32"/>
      <w:lang w:eastAsia="en-US"/>
    </w:rPr>
  </w:style>
  <w:style w:type="character" w:styleId="3" w:customStyle="1">
    <w:name w:val="Основной текст с отступом 3 Знак"/>
    <w:link w:val="BodyTextIndent3"/>
    <w:qFormat/>
    <w:rPr>
      <w:rFonts w:ascii="Times New Roman" w:hAnsi="Times New Roman" w:eastAsia="Times New Roman"/>
      <w:sz w:val="16"/>
      <w:szCs w:val="16"/>
    </w:rPr>
  </w:style>
  <w:style w:type="character" w:styleId="Blk" w:customStyle="1">
    <w:name w:val="blk"/>
    <w:qFormat/>
    <w:rPr/>
  </w:style>
  <w:style w:type="character" w:styleId="Ep" w:customStyle="1">
    <w:name w:val="ep"/>
    <w:qFormat/>
    <w:rPr/>
  </w:style>
  <w:style w:type="character" w:styleId="Hyperlink">
    <w:name w:val="Hyperlink"/>
    <w:rPr>
      <w:color w:val="0000FF"/>
      <w:u w:val="single"/>
    </w:rPr>
  </w:style>
  <w:style w:type="character" w:styleId="Style5" w:customStyle="1">
    <w:name w:val="Текст сноски Знак"/>
    <w:qFormat/>
    <w:rPr>
      <w:rFonts w:ascii="Times New Roman" w:hAnsi="Times New Roman"/>
    </w:rPr>
  </w:style>
  <w:style w:type="character" w:styleId="Style6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7" w:customStyle="1">
    <w:name w:val="Текст примечания Знак"/>
    <w:link w:val="Annotationtext"/>
    <w:qFormat/>
    <w:rPr>
      <w:lang w:eastAsia="en-US"/>
    </w:rPr>
  </w:style>
  <w:style w:type="character" w:styleId="Style8" w:customStyle="1">
    <w:name w:val="Тема примечания Знак"/>
    <w:link w:val="Annotationsubject"/>
    <w:qFormat/>
    <w:rPr>
      <w:b/>
      <w:bCs/>
      <w:lang w:eastAsia="en-US"/>
    </w:rPr>
  </w:style>
  <w:style w:type="character" w:styleId="Style9" w:customStyle="1">
    <w:name w:val="Верхний колонтитул Знак"/>
    <w:qFormat/>
    <w:rPr>
      <w:sz w:val="22"/>
      <w:szCs w:val="22"/>
      <w:lang w:eastAsia="en-US"/>
    </w:rPr>
  </w:style>
  <w:style w:type="character" w:styleId="Style10" w:customStyle="1">
    <w:name w:val="Нижний колонтитул Знак"/>
    <w:qFormat/>
    <w:rPr>
      <w:sz w:val="22"/>
      <w:szCs w:val="22"/>
      <w:lang w:eastAsia="en-US"/>
    </w:rPr>
  </w:style>
  <w:style w:type="character" w:styleId="Style11" w:customStyle="1">
    <w:name w:val="Основной текст_"/>
    <w:link w:val="22"/>
    <w:qFormat/>
    <w:rPr>
      <w:rFonts w:ascii="Times New Roman" w:hAnsi="Times New Roman" w:eastAsia="Times New Roman"/>
      <w:spacing w:val="-10"/>
      <w:sz w:val="25"/>
      <w:szCs w:val="25"/>
      <w:shd w:fill="FFFFFF" w:val="clear"/>
    </w:rPr>
  </w:style>
  <w:style w:type="character" w:styleId="5" w:customStyle="1">
    <w:name w:val="Заголовок 5 Знак"/>
    <w:qFormat/>
    <w:rPr>
      <w:rFonts w:eastAsia="Times New Roman"/>
      <w:b/>
      <w:bCs/>
      <w:i/>
      <w:iCs/>
      <w:sz w:val="26"/>
      <w:szCs w:val="26"/>
      <w:lang w:eastAsia="en-US"/>
    </w:rPr>
  </w:style>
  <w:style w:type="character" w:styleId="31" w:customStyle="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Style12" w:customStyle="1">
    <w:name w:val="Список маркированный Знак Знак"/>
    <w:link w:val="Style25"/>
    <w:qFormat/>
    <w:rPr>
      <w:rFonts w:ascii="Sylfaen" w:hAnsi="Sylfaen" w:eastAsia="Times New Roman"/>
      <w:sz w:val="28"/>
      <w:szCs w:val="24"/>
    </w:rPr>
  </w:style>
  <w:style w:type="character" w:styleId="2" w:customStyle="1">
    <w:name w:val="Заголовок 2 Знак"/>
    <w:qFormat/>
    <w:rPr>
      <w:rFonts w:ascii="Times New Roman" w:hAnsi="Times New Roman" w:eastAsia="Times New Roman"/>
      <w:sz w:val="24"/>
      <w:szCs w:val="24"/>
    </w:rPr>
  </w:style>
  <w:style w:type="character" w:styleId="Style13" w:customStyle="1">
    <w:name w:val="Текст концевой сноски Знак"/>
    <w:qFormat/>
    <w:rPr>
      <w:lang w:eastAsia="en-US"/>
    </w:rPr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4" w:customStyle="1">
    <w:name w:val="Заголовок 4 Знак"/>
    <w:qFormat/>
    <w:rPr>
      <w:rFonts w:ascii="Times New Roman" w:hAnsi="Times New Roman" w:eastAsia="Times New Roman"/>
      <w:b/>
      <w:bCs/>
      <w:sz w:val="28"/>
      <w:szCs w:val="28"/>
    </w:rPr>
  </w:style>
  <w:style w:type="character" w:styleId="6" w:customStyle="1">
    <w:name w:val="Заголовок 6 Знак"/>
    <w:qFormat/>
    <w:rPr>
      <w:rFonts w:ascii="Times New Roman" w:hAnsi="Times New Roman" w:eastAsia="Times New Roman"/>
      <w:i/>
      <w:sz w:val="22"/>
    </w:rPr>
  </w:style>
  <w:style w:type="character" w:styleId="7" w:customStyle="1">
    <w:name w:val="Заголовок 7 Знак"/>
    <w:qFormat/>
    <w:rPr>
      <w:rFonts w:ascii="Arial" w:hAnsi="Arial" w:eastAsia="Times New Roman"/>
    </w:rPr>
  </w:style>
  <w:style w:type="character" w:styleId="8" w:customStyle="1">
    <w:name w:val="Заголовок 8 Знак"/>
    <w:qFormat/>
    <w:rPr>
      <w:rFonts w:ascii="Arial" w:hAnsi="Arial" w:eastAsia="Times New Roman"/>
      <w:i/>
    </w:rPr>
  </w:style>
  <w:style w:type="character" w:styleId="9" w:customStyle="1">
    <w:name w:val="Заголовок 9 Знак"/>
    <w:qFormat/>
    <w:rPr>
      <w:rFonts w:ascii="Arial" w:hAnsi="Arial" w:eastAsia="Times New Roman" w:cs="Arial"/>
      <w:sz w:val="22"/>
      <w:szCs w:val="22"/>
    </w:rPr>
  </w:style>
  <w:style w:type="character" w:styleId="Style15" w:customStyle="1">
    <w:name w:val="Абзац списка Знак"/>
    <w:link w:val="ListParagraph"/>
    <w:qFormat/>
    <w:rPr>
      <w:rFonts w:ascii="Times New Roman" w:hAnsi="Times New Roman"/>
      <w:sz w:val="24"/>
      <w:szCs w:val="22"/>
      <w:lang w:eastAsia="en-US"/>
    </w:rPr>
  </w:style>
  <w:style w:type="character" w:styleId="12" w:customStyle="1">
    <w:name w:val="Основной текст1"/>
    <w:basedOn w:val="Style11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5"/>
      <w:w w:val="100"/>
      <w:sz w:val="21"/>
      <w:szCs w:val="21"/>
      <w:u w:val="none"/>
      <w:shd w:fill="FFFFFF" w:val="clear"/>
      <w:lang w:val="ru-RU"/>
    </w:rPr>
  </w:style>
  <w:style w:type="character" w:styleId="9pt" w:customStyle="1">
    <w:name w:val="Основной текст + 9 pt;Полужирный"/>
    <w:basedOn w:val="Style1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shd w:fill="FFFFFF" w:val="clear"/>
      <w:lang w:val="ru-RU"/>
    </w:rPr>
  </w:style>
  <w:style w:type="character" w:styleId="Style16" w:customStyle="1">
    <w:name w:val="комментарий"/>
    <w:qFormat/>
    <w:rPr>
      <w:b/>
      <w:i/>
      <w:shd w:fill="FFFF99" w:val="clear"/>
    </w:rPr>
  </w:style>
  <w:style w:type="character" w:styleId="Font6" w:customStyle="1">
    <w:name w:val="font6"/>
    <w:basedOn w:val="DefaultParagraphFont"/>
    <w:qFormat/>
    <w:rPr/>
  </w:style>
  <w:style w:type="character" w:styleId="Style17" w:customStyle="1">
    <w:name w:val="Ссылка указателя"/>
    <w:qFormat/>
    <w:rPr/>
  </w:style>
  <w:style w:type="character" w:styleId="WW8Num5z0" w:customStyle="1">
    <w:name w:val="WW8Num5z0"/>
    <w:qFormat/>
    <w:rPr>
      <w:rFonts w:ascii="Wingdings" w:hAnsi="Wingdings" w:cs="Wingdings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29z0" w:customStyle="1">
    <w:name w:val="WW8Num29z0"/>
    <w:qFormat/>
    <w:rPr>
      <w:rFonts w:ascii="Times New Roman" w:hAnsi="Times New Roman" w:cs="Times New Roman"/>
    </w:rPr>
  </w:style>
  <w:style w:type="character" w:styleId="WW8Num29z1" w:customStyle="1">
    <w:name w:val="WW8Num29z1"/>
    <w:qFormat/>
    <w:rPr>
      <w:rFonts w:ascii="Times New Roman" w:hAnsi="Times New Roman" w:cs="Times New Roman"/>
      <w:sz w:val="24"/>
      <w:szCs w:val="24"/>
    </w:rPr>
  </w:style>
  <w:style w:type="character" w:styleId="WW8Num29z2" w:customStyle="1">
    <w:name w:val="WW8Num29z2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29z3" w:customStyle="1">
    <w:name w:val="WW8Num29z3"/>
    <w:qFormat/>
    <w:rPr/>
  </w:style>
  <w:style w:type="character" w:styleId="Linenumber1">
    <w:name w:val="line number1"/>
    <w:qFormat/>
    <w:rPr/>
  </w:style>
  <w:style w:type="character" w:styleId="LineNumber">
    <w:name w:val="Line Number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1"/>
    <w:pPr>
      <w:spacing w:before="0" w:after="120"/>
    </w:pPr>
    <w:rPr>
      <w:rFonts w:eastAsia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BalloonText">
    <w:name w:val="Balloon Text"/>
    <w:basedOn w:val="Normal"/>
    <w:link w:val="Style"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15"/>
    <w:qFormat/>
    <w:pPr>
      <w:spacing w:before="0" w:after="200"/>
      <w:ind w:hanging="0" w:left="720"/>
      <w:contextualSpacing/>
    </w:pPr>
    <w:rPr/>
  </w:style>
  <w:style w:type="paragraph" w:styleId="BodyTextIndent">
    <w:name w:val="Body Text Indent"/>
    <w:basedOn w:val="Normal"/>
    <w:link w:val="Style2"/>
    <w:pPr>
      <w:spacing w:before="0" w:after="120"/>
      <w:ind w:hanging="0" w:left="283"/>
    </w:pPr>
    <w:rPr>
      <w:rFonts w:eastAsia="Times New Roman"/>
      <w:sz w:val="28"/>
      <w:szCs w:val="28"/>
      <w:lang w:eastAsia="ru-RU"/>
    </w:rPr>
  </w:style>
  <w:style w:type="paragraph" w:styleId="21" w:customStyle="1">
    <w:name w:val="Пункт2"/>
    <w:basedOn w:val="Normal"/>
    <w:qFormat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rFonts w:eastAsia="Times New Roman"/>
      <w:b/>
      <w:sz w:val="28"/>
      <w:szCs w:val="20"/>
      <w:lang w:eastAsia="ru-RU"/>
    </w:rPr>
  </w:style>
  <w:style w:type="paragraph" w:styleId="Subtitle">
    <w:name w:val="Subtitle"/>
    <w:basedOn w:val="Normal"/>
    <w:link w:val="Style3"/>
    <w:qFormat/>
    <w:pPr>
      <w:widowControl w:val="false"/>
      <w:spacing w:before="0" w:after="60"/>
      <w:jc w:val="center"/>
      <w:outlineLvl w:val="1"/>
    </w:pPr>
    <w:rPr>
      <w:rFonts w:ascii="Arial" w:hAnsi="Arial" w:eastAsia="Times New Roman" w:cs="Arial"/>
      <w:szCs w:val="24"/>
      <w:lang w:eastAsia="ru-RU"/>
    </w:rPr>
  </w:style>
  <w:style w:type="paragraph" w:styleId="13" w:customStyle="1">
    <w:name w:val="Стиль1"/>
    <w:basedOn w:val="Normal"/>
    <w:link w:val="11"/>
    <w:qFormat/>
    <w:pPr>
      <w:numPr>
        <w:ilvl w:val="0"/>
        <w:numId w:val="2"/>
      </w:numPr>
      <w:jc w:val="both"/>
    </w:pPr>
    <w:rPr>
      <w:b/>
      <w:sz w:val="32"/>
      <w:szCs w:val="32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0" w:customStyle="1">
    <w:name w:val="Пункт Знак"/>
    <w:basedOn w:val="Normal"/>
    <w:qFormat/>
    <w:pPr>
      <w:numPr>
        <w:ilvl w:val="1"/>
        <w:numId w:val="3"/>
      </w:numPr>
      <w:tabs>
        <w:tab w:val="clear" w:pos="709"/>
        <w:tab w:val="left" w:pos="851" w:leader="none"/>
        <w:tab w:val="left" w:pos="1134" w:leader="none"/>
      </w:tabs>
      <w:spacing w:lineRule="auto" w:line="360"/>
      <w:jc w:val="both"/>
    </w:pPr>
    <w:rPr>
      <w:rFonts w:eastAsia="Times New Roman"/>
      <w:b/>
      <w:sz w:val="28"/>
      <w:szCs w:val="20"/>
      <w:lang w:eastAsia="ru-RU"/>
    </w:rPr>
  </w:style>
  <w:style w:type="paragraph" w:styleId="Style21" w:customStyle="1">
    <w:name w:val="Подпункт"/>
    <w:basedOn w:val="Style20"/>
    <w:qFormat/>
    <w:pPr>
      <w:tabs>
        <w:tab w:val="clear" w:pos="1134"/>
        <w:tab w:val="left" w:pos="851" w:leader="none"/>
      </w:tabs>
    </w:pPr>
    <w:rPr/>
  </w:style>
  <w:style w:type="paragraph" w:styleId="Style22" w:customStyle="1">
    <w:name w:val="Подподпункт"/>
    <w:basedOn w:val="Style21"/>
    <w:qFormat/>
    <w:pPr>
      <w:tabs>
        <w:tab w:val="left" w:pos="851" w:leader="none"/>
        <w:tab w:val="left" w:pos="1134" w:leader="none"/>
        <w:tab w:val="left" w:pos="1418" w:leader="none"/>
      </w:tabs>
    </w:pPr>
    <w:rPr/>
  </w:style>
  <w:style w:type="paragraph" w:styleId="Style23" w:customStyle="1">
    <w:name w:val="Подподподпункт"/>
    <w:basedOn w:val="Normal"/>
    <w:qFormat/>
    <w:pPr>
      <w:numPr>
        <w:ilvl w:val="4"/>
        <w:numId w:val="3"/>
      </w:numPr>
      <w:tabs>
        <w:tab w:val="clear" w:pos="709"/>
        <w:tab w:val="left" w:pos="1134" w:leader="none"/>
        <w:tab w:val="left" w:pos="1701" w:leader="none"/>
      </w:tabs>
      <w:spacing w:lineRule="auto" w:line="360"/>
      <w:jc w:val="both"/>
    </w:pPr>
    <w:rPr>
      <w:rFonts w:eastAsia="Times New Roman"/>
      <w:sz w:val="28"/>
      <w:szCs w:val="20"/>
      <w:lang w:eastAsia="ru-RU"/>
    </w:rPr>
  </w:style>
  <w:style w:type="paragraph" w:styleId="14" w:customStyle="1">
    <w:name w:val="Пункт1"/>
    <w:basedOn w:val="Normal"/>
    <w:qFormat/>
    <w:pPr>
      <w:numPr>
        <w:ilvl w:val="0"/>
        <w:numId w:val="3"/>
      </w:numPr>
      <w:spacing w:lineRule="auto" w:line="360" w:before="240" w:after="0"/>
      <w:jc w:val="center"/>
    </w:pPr>
    <w:rPr>
      <w:rFonts w:ascii="Arial" w:hAnsi="Arial" w:eastAsia="Times New Roman"/>
      <w:b/>
      <w:sz w:val="28"/>
      <w:szCs w:val="28"/>
      <w:lang w:eastAsia="ru-RU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BodyTextIndent3">
    <w:name w:val="Body Text Indent 3"/>
    <w:basedOn w:val="Normal"/>
    <w:link w:val="3"/>
    <w:qFormat/>
    <w:pPr>
      <w:spacing w:before="0" w:after="120"/>
      <w:ind w:hanging="0" w:left="283"/>
    </w:pPr>
    <w:rPr>
      <w:rFonts w:eastAsia="Times New Roman"/>
      <w:sz w:val="16"/>
      <w:szCs w:val="1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ascii="Verdana" w:hAnsi="Verdana" w:eastAsia="Arial Unicode MS" w:cs="Arial Unicode MS"/>
      <w:sz w:val="16"/>
      <w:szCs w:val="16"/>
      <w:lang w:eastAsia="ru-RU"/>
    </w:rPr>
  </w:style>
  <w:style w:type="paragraph" w:styleId="FootnoteText">
    <w:name w:val="Footnote Text"/>
    <w:basedOn w:val="Normal"/>
    <w:link w:val="Style5"/>
    <w:pPr/>
    <w:rPr>
      <w:sz w:val="20"/>
      <w:szCs w:val="20"/>
      <w:lang w:eastAsia="ru-RU"/>
    </w:rPr>
  </w:style>
  <w:style w:type="paragraph" w:styleId="Annotationtext">
    <w:name w:val="annotation text"/>
    <w:basedOn w:val="Normal"/>
    <w:link w:val="Style7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8"/>
    <w:qFormat/>
    <w:pPr/>
    <w:rPr>
      <w:b/>
      <w:bCs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22" w:customStyle="1">
    <w:name w:val="Основной текст2"/>
    <w:basedOn w:val="Normal"/>
    <w:link w:val="Style11"/>
    <w:qFormat/>
    <w:pPr>
      <w:widowControl w:val="false"/>
      <w:shd w:val="clear" w:color="auto" w:fill="FFFFFF"/>
      <w:spacing w:lineRule="exact" w:line="259" w:before="720" w:after="0"/>
      <w:ind w:hanging="440"/>
      <w:jc w:val="center"/>
    </w:pPr>
    <w:rPr>
      <w:rFonts w:eastAsia="Times New Roman"/>
      <w:spacing w:val="-10"/>
      <w:sz w:val="25"/>
      <w:szCs w:val="25"/>
      <w:lang w:eastAsia="ru-RU"/>
    </w:rPr>
  </w:style>
  <w:style w:type="paragraph" w:styleId="Style25" w:customStyle="1">
    <w:name w:val="Список маркированный"/>
    <w:basedOn w:val="Normal"/>
    <w:next w:val="Normal"/>
    <w:link w:val="Style12"/>
    <w:autoRedefine/>
    <w:qFormat/>
    <w:pPr>
      <w:numPr>
        <w:ilvl w:val="0"/>
        <w:numId w:val="4"/>
      </w:numPr>
      <w:jc w:val="both"/>
    </w:pPr>
    <w:rPr>
      <w:rFonts w:ascii="Sylfaen" w:hAnsi="Sylfaen" w:eastAsia="Times New Roman"/>
      <w:sz w:val="28"/>
      <w:szCs w:val="24"/>
      <w:lang w:eastAsia="ru-RU"/>
    </w:rPr>
  </w:style>
  <w:style w:type="paragraph" w:styleId="Style26" w:customStyle="1">
    <w:name w:val="Маркер"/>
    <w:basedOn w:val="Normal"/>
    <w:qFormat/>
    <w:pPr>
      <w:numPr>
        <w:ilvl w:val="0"/>
        <w:numId w:val="5"/>
      </w:numPr>
      <w:shd w:val="clear" w:color="auto" w:fill="FFFFFF"/>
      <w:spacing w:before="0" w:after="60"/>
      <w:jc w:val="both"/>
    </w:pPr>
    <w:rPr>
      <w:rFonts w:ascii="Arial" w:hAnsi="Arial" w:eastAsia="Times New Roman"/>
      <w:color w:val="000000"/>
      <w:sz w:val="20"/>
      <w:lang w:eastAsia="ru-RU"/>
    </w:rPr>
  </w:style>
  <w:style w:type="paragraph" w:styleId="TOC1">
    <w:name w:val="TOC 1"/>
    <w:basedOn w:val="Normal"/>
    <w:next w:val="Normal"/>
    <w:autoRedefine/>
    <w:pPr>
      <w:tabs>
        <w:tab w:val="clear" w:pos="709"/>
        <w:tab w:val="left" w:pos="426" w:leader="none"/>
        <w:tab w:val="right" w:pos="9344" w:leader="none"/>
      </w:tabs>
      <w:spacing w:before="0" w:after="57"/>
    </w:pPr>
    <w:rPr/>
  </w:style>
  <w:style w:type="paragraph" w:styleId="TOC2">
    <w:name w:val="TOC 2"/>
    <w:basedOn w:val="Normal"/>
    <w:next w:val="Normal"/>
    <w:autoRedefine/>
    <w:pPr>
      <w:tabs>
        <w:tab w:val="left" w:pos="709" w:leader="none"/>
        <w:tab w:val="left" w:pos="880" w:leader="none"/>
        <w:tab w:val="right" w:pos="9344" w:leader="none"/>
      </w:tabs>
      <w:ind w:hanging="0" w:left="426"/>
    </w:pPr>
    <w:rPr/>
  </w:style>
  <w:style w:type="paragraph" w:styleId="S1" w:customStyle="1">
    <w:name w:val="s_1"/>
    <w:basedOn w:val="Normal"/>
    <w:qFormat/>
    <w:pPr>
      <w:spacing w:before="280" w:after="280"/>
    </w:pPr>
    <w:rPr>
      <w:rFonts w:eastAsia="Times New Roman"/>
      <w:szCs w:val="24"/>
      <w:lang w:eastAsia="ru-RU"/>
    </w:rPr>
  </w:style>
  <w:style w:type="paragraph" w:styleId="Style27" w:customStyle="1">
    <w:name w:val="Таблица"/>
    <w:basedOn w:val="Normal"/>
    <w:qFormat/>
    <w:pPr/>
    <w:rPr>
      <w:rFonts w:eastAsia="Times New Roman"/>
      <w:sz w:val="20"/>
      <w:szCs w:val="20"/>
      <w:lang w:eastAsia="ru-RU"/>
    </w:rPr>
  </w:style>
  <w:style w:type="paragraph" w:styleId="EndnoteText">
    <w:name w:val="Endnote Text"/>
    <w:basedOn w:val="Normal"/>
    <w:link w:val="Style13"/>
    <w:pPr>
      <w:spacing w:lineRule="auto" w:line="276" w:before="0" w:after="200"/>
    </w:pPr>
    <w:rPr>
      <w:rFonts w:ascii="Calibri" w:hAnsi="Calibri"/>
      <w:sz w:val="20"/>
      <w:szCs w:val="20"/>
    </w:rPr>
  </w:style>
  <w:style w:type="paragraph" w:styleId="32" w:customStyle="1">
    <w:name w:val="Основной текст3"/>
    <w:basedOn w:val="Normal"/>
    <w:qFormat/>
    <w:pPr>
      <w:widowControl w:val="false"/>
      <w:shd w:val="clear" w:color="auto" w:fill="FFFFFF"/>
      <w:spacing w:lineRule="atLeast" w:line="0"/>
    </w:pPr>
    <w:rPr>
      <w:rFonts w:eastAsia="Times New Roman"/>
      <w:color w:val="000000"/>
      <w:sz w:val="26"/>
      <w:szCs w:val="26"/>
      <w:lang w:eastAsia="ru-RU"/>
    </w:rPr>
  </w:style>
  <w:style w:type="paragraph" w:styleId="ListBullet">
    <w:name w:val="List Bullet"/>
    <w:basedOn w:val="Normal"/>
    <w:qFormat/>
    <w:pPr>
      <w:widowControl w:val="false"/>
      <w:numPr>
        <w:ilvl w:val="0"/>
        <w:numId w:val="6"/>
      </w:numPr>
      <w:spacing w:lineRule="atLeast" w:line="360"/>
      <w:jc w:val="both"/>
      <w:textAlignment w:val="baseline"/>
    </w:pPr>
    <w:rPr>
      <w:rFonts w:eastAsia="Times New Roman"/>
      <w:szCs w:val="24"/>
      <w:lang w:eastAsia="ru-RU"/>
    </w:rPr>
  </w:style>
  <w:style w:type="paragraph" w:styleId="TOC4">
    <w:name w:val="TOC 4"/>
    <w:basedOn w:val="Normal"/>
    <w:next w:val="Normal"/>
    <w:autoRedefine/>
    <w:pPr>
      <w:tabs>
        <w:tab w:val="clear" w:pos="709"/>
        <w:tab w:val="right" w:pos="9344" w:leader="none"/>
      </w:tabs>
      <w:spacing w:before="0" w:after="100"/>
    </w:pPr>
    <w:rPr/>
  </w:style>
  <w:style w:type="paragraph" w:styleId="Style28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rFonts w:eastAsia="Times New Roman"/>
      <w:sz w:val="22"/>
      <w:szCs w:val="26"/>
      <w:lang w:eastAsia="ru-RU"/>
    </w:rPr>
  </w:style>
  <w:style w:type="paragraph" w:styleId="TOC3">
    <w:name w:val="TOC 3"/>
    <w:basedOn w:val="Normal"/>
    <w:next w:val="Normal"/>
    <w:autoRedefine/>
    <w:pPr>
      <w:tabs>
        <w:tab w:val="clear" w:pos="709"/>
        <w:tab w:val="left" w:pos="1240" w:leader="none"/>
        <w:tab w:val="right" w:pos="9344" w:leader="none"/>
      </w:tabs>
      <w:spacing w:before="0" w:after="100"/>
      <w:ind w:firstLine="142" w:left="-142"/>
    </w:pPr>
    <w:rPr/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/>
      <w:b/>
      <w:sz w:val="22"/>
      <w:lang w:eastAsia="ru-RU"/>
    </w:rPr>
  </w:style>
  <w:style w:type="paragraph" w:styleId="TOC5">
    <w:name w:val="TOC 5"/>
    <w:basedOn w:val="Indexheading"/>
    <w:pPr/>
    <w:rPr/>
  </w:style>
  <w:style w:type="paragraph" w:styleId="TOC6">
    <w:name w:val="TOC 6"/>
    <w:basedOn w:val="Indexheading"/>
    <w:pPr/>
    <w:rPr/>
  </w:style>
  <w:style w:type="paragraph" w:styleId="TOC7">
    <w:name w:val="TOC 7"/>
    <w:basedOn w:val="Indexheading"/>
    <w:pPr/>
    <w:rPr/>
  </w:style>
  <w:style w:type="paragraph" w:styleId="TOC8">
    <w:name w:val="TOC 8"/>
    <w:basedOn w:val="Indexheading"/>
    <w:pPr/>
    <w:rPr/>
  </w:style>
  <w:style w:type="paragraph" w:styleId="TOC9">
    <w:name w:val="TOC 9"/>
    <w:basedOn w:val="Indexheading"/>
    <w:pPr/>
    <w:rPr/>
  </w:style>
  <w:style w:type="paragraph" w:styleId="Style2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0" w:customStyle="1">
    <w:name w:val="Заголовок таблицы"/>
    <w:basedOn w:val="Style29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F"/>
      <w:color w:val="auto"/>
      <w:kern w:val="2"/>
      <w:sz w:val="22"/>
      <w:szCs w:val="22"/>
      <w:lang w:val="ru-RU" w:eastAsia="en-US" w:bidi="ar-SA"/>
    </w:rPr>
  </w:style>
  <w:style w:type="paragraph" w:styleId="Textbody" w:customStyle="1">
    <w:name w:val="Text body"/>
    <w:basedOn w:val="Standard"/>
    <w:qFormat/>
    <w:pPr>
      <w:spacing w:lineRule="auto" w:line="240" w:before="0" w:after="120"/>
    </w:pPr>
    <w:rPr>
      <w:rFonts w:ascii="Times New Roman" w:hAnsi="Times New Roman" w:cs="Times New Roman"/>
      <w:sz w:val="24"/>
      <w:szCs w:val="24"/>
    </w:rPr>
  </w:style>
  <w:style w:type="paragraph" w:styleId="Style31">
    <w:name w:val="Абзац списка"/>
    <w:basedOn w:val="Normal"/>
    <w:qFormat/>
    <w:pPr>
      <w:spacing w:before="0" w:after="0"/>
      <w:ind w:hanging="0" w:left="720" w:right="0"/>
      <w:contextualSpacing/>
    </w:pPr>
    <w:rPr>
      <w:rFonts w:eastAsia="Calibri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5" w:customStyle="1">
    <w:name w:val="Нет списка1"/>
    <w:qFormat/>
  </w:style>
  <w:style w:type="numbering" w:styleId="OutlineList2">
    <w:name w:val="Outline List 2"/>
    <w:qFormat/>
  </w:style>
  <w:style w:type="numbering" w:styleId="OutlineList3">
    <w:name w:val="Outline List 3"/>
    <w:qFormat/>
  </w:style>
  <w:style w:type="numbering" w:styleId="WW8Num5" w:customStyle="1">
    <w:name w:val="WW8Num5"/>
    <w:qFormat/>
  </w:style>
  <w:style w:type="numbering" w:styleId="WW8Num29" w:customStyle="1">
    <w:name w:val="WW8Num29"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hyperlink" Target="https://docs.cntd.ru/document/901919338?marker=DJI0RC" TargetMode="Externa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Application>AlterOffice/2026.2.1.0$Linux_X86_64 LibreOffice_project/f008988ffacaa0b2bf57911c2759d08ca79831df</Application>
  <AppVersion>15.0000</AppVersion>
  <Pages>16</Pages>
  <Words>2425</Words>
  <Characters>16585</Characters>
  <CharactersWithSpaces>20427</CharactersWithSpaces>
  <Paragraphs>377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2024-03-25T06:51:00Z</dcterms:created>
  <dc:creator>DimirovAD@burges.rushydro.ru</dc:creator>
  <dc:description/>
  <dc:language>ru-RU</dc:language>
  <cp:lastModifiedBy>karlovvv@corp.gidroogk.com</cp:lastModifiedBy>
  <cp:lastPrinted>2026-10-02T13:06:38Z</cp:lastPrinted>
  <dcterms:modified xsi:type="dcterms:W3CDTF">2026-10-05T08:27:20Z</dcterms:modified>
  <cp:revision>319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0</vt:r8>
  </property>
</Properties>
</file>