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40" w:after="40"/>
        <w:jc w:val="right"/>
        <w:rPr/>
      </w:pPr>
      <w:r>
        <w:rPr/>
      </w:r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поставку МТР</w:t>
      </w:r>
      <w:r>
        <w:rPr/>
        <w:t xml:space="preserve"> 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center"/>
        <w:rPr>
          <w:b/>
          <w:i/>
          <w:i/>
        </w:rPr>
      </w:pPr>
      <w:r>
        <w:rPr>
          <w:b/>
          <w:color w:val="000000"/>
          <w:sz w:val="24"/>
          <w:szCs w:val="24"/>
        </w:rPr>
        <w:t xml:space="preserve">ОКПД 2: 28.15.24.130 Поставка автоматической коробки передач </w:t>
      </w:r>
      <w:r>
        <w:rPr>
          <w:b/>
          <w:color w:val="000000"/>
          <w:sz w:val="24"/>
          <w:szCs w:val="24"/>
          <w:lang w:val="en-US"/>
        </w:rPr>
        <w:t>XCMG</w:t>
      </w:r>
      <w:r>
        <w:rPr>
          <w:b/>
          <w:color w:val="000000"/>
          <w:sz w:val="24"/>
          <w:szCs w:val="24"/>
        </w:rPr>
        <w:t xml:space="preserve"> 2</w:t>
      </w:r>
      <w:r>
        <w:rPr>
          <w:b/>
          <w:color w:val="000000"/>
          <w:sz w:val="24"/>
          <w:szCs w:val="24"/>
          <w:lang w:val="en-US"/>
        </w:rPr>
        <w:t>BS</w:t>
      </w:r>
      <w:r>
        <w:rPr>
          <w:b/>
          <w:color w:val="000000"/>
          <w:sz w:val="24"/>
          <w:szCs w:val="24"/>
        </w:rPr>
        <w:t>315</w:t>
      </w:r>
      <w:r>
        <w:rPr>
          <w:b/>
          <w:color w:val="000000"/>
          <w:sz w:val="24"/>
          <w:szCs w:val="24"/>
          <w:lang w:val="en-US"/>
        </w:rPr>
        <w:t>A</w:t>
      </w:r>
      <w:r>
        <w:rPr>
          <w:b/>
          <w:color w:val="000000"/>
          <w:sz w:val="24"/>
          <w:szCs w:val="24"/>
        </w:rPr>
        <w:t>(</w:t>
      </w:r>
      <w:r>
        <w:rPr>
          <w:b/>
          <w:color w:val="000000"/>
          <w:sz w:val="24"/>
          <w:szCs w:val="24"/>
          <w:lang w:val="en-US"/>
        </w:rPr>
        <w:t>III</w:t>
      </w:r>
      <w:r>
        <w:rPr>
          <w:b/>
          <w:color w:val="000000"/>
          <w:sz w:val="24"/>
          <w:szCs w:val="24"/>
        </w:rPr>
        <w:t>) для нужд Камчатского филиала АО «ТК РусГидро»</w:t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sz w:val="26"/>
          <w:szCs w:val="26"/>
        </w:rPr>
        <w:t>Лот №</w:t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tbl>
      <w:tblPr>
        <w:tblStyle w:val="af"/>
        <w:tblW w:w="991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10"/>
        <w:gridCol w:w="8653"/>
        <w:gridCol w:w="548"/>
      </w:tblGrid>
      <w:tr>
        <w:trPr/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sz w:val="22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0"/>
                <w:lang w:val="ru-RU" w:eastAsia="ru-RU" w:bidi="ar-SA"/>
              </w:rPr>
              <w:t>1.</w:t>
            </w:r>
          </w:p>
        </w:tc>
        <w:tc>
          <w:tcPr>
            <w:tcW w:w="86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sz w:val="22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0"/>
                <w:lang w:val="ru-RU" w:eastAsia="ru-RU" w:bidi="ar-SA"/>
              </w:rPr>
              <w:t>Общие сведения ………………………………………………………………………………..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sz w:val="22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0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1.1.</w:t>
            </w:r>
          </w:p>
        </w:tc>
        <w:tc>
          <w:tcPr>
            <w:tcW w:w="86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Обозначения и сокращения …………………………………………………………………….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1.2.</w:t>
            </w:r>
          </w:p>
        </w:tc>
        <w:tc>
          <w:tcPr>
            <w:tcW w:w="86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Наименование закупаемой продукции ………………………………………………………...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1.3.</w:t>
            </w:r>
          </w:p>
        </w:tc>
        <w:tc>
          <w:tcPr>
            <w:tcW w:w="86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Цель использования закупаемой продукции ………………………………………………….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1.4.</w:t>
            </w:r>
          </w:p>
        </w:tc>
        <w:tc>
          <w:tcPr>
            <w:tcW w:w="86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 этапе исполнения договора) ………….…………………..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1.5.</w:t>
            </w:r>
          </w:p>
        </w:tc>
        <w:tc>
          <w:tcPr>
            <w:tcW w:w="86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Иные требования и сведения общего характера ……………………………………………...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3</w:t>
            </w:r>
          </w:p>
        </w:tc>
      </w:tr>
      <w:tr>
        <w:trPr/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sz w:val="22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0"/>
                <w:lang w:val="ru-RU" w:eastAsia="ru-RU" w:bidi="ar-SA"/>
              </w:rPr>
              <w:t>2.</w:t>
            </w:r>
          </w:p>
        </w:tc>
        <w:tc>
          <w:tcPr>
            <w:tcW w:w="86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sz w:val="22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0"/>
                <w:lang w:val="ru-RU" w:eastAsia="ru-RU" w:bidi="ar-SA"/>
              </w:rPr>
              <w:t>Требования к продукции ……………………………………………………………………..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sz w:val="22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0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2.1.</w:t>
            </w:r>
          </w:p>
        </w:tc>
        <w:tc>
          <w:tcPr>
            <w:tcW w:w="86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Требования к объемам и срокам поставки ……………………………………………………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2.1.1.</w:t>
            </w:r>
          </w:p>
        </w:tc>
        <w:tc>
          <w:tcPr>
            <w:tcW w:w="86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Перечень и объем закупаемой продукции ……………………………………………………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sz w:val="22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0"/>
                <w:lang w:val="ru-RU" w:eastAsia="ru-RU" w:bidi="ar-SA"/>
              </w:rPr>
            </w:r>
          </w:p>
        </w:tc>
        <w:tc>
          <w:tcPr>
            <w:tcW w:w="86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sz w:val="22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0"/>
                <w:lang w:val="ru-RU" w:eastAsia="ru-RU" w:bidi="ar-SA"/>
              </w:rPr>
              <w:t>Таблица 1.1 Перечень и объем закупаемой продукции ………………………………….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sz w:val="22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0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2.1.2.</w:t>
            </w:r>
          </w:p>
        </w:tc>
        <w:tc>
          <w:tcPr>
            <w:tcW w:w="86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Требования к срокам поставки продукции и оказания сопутствующих услуг …………….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sz w:val="22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0"/>
                <w:lang w:val="ru-RU" w:eastAsia="ru-RU" w:bidi="ar-SA"/>
              </w:rPr>
            </w:r>
          </w:p>
        </w:tc>
        <w:tc>
          <w:tcPr>
            <w:tcW w:w="86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sz w:val="22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0"/>
                <w:lang w:val="ru-RU" w:eastAsia="ru-RU" w:bidi="ar-SA"/>
              </w:rPr>
              <w:t>Таблица 2.1 Требования по срокам поставки продукции ……………………………….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sz w:val="22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0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2.2.</w:t>
            </w:r>
          </w:p>
        </w:tc>
        <w:tc>
          <w:tcPr>
            <w:tcW w:w="86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Требования к качеству продукции …………………………………………………………….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sz w:val="22"/>
                <w:szCs w:val="20"/>
              </w:rPr>
            </w:pPr>
            <w:r>
              <w:rPr>
                <w:rFonts w:eastAsia="Times New Roman" w:cs="Times New Roman"/>
                <w:kern w:val="0"/>
                <w:sz w:val="22"/>
                <w:szCs w:val="20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sz w:val="22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0"/>
                <w:lang w:val="ru-RU" w:eastAsia="ru-RU" w:bidi="ar-SA"/>
              </w:rPr>
            </w:r>
          </w:p>
        </w:tc>
        <w:tc>
          <w:tcPr>
            <w:tcW w:w="86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sz w:val="22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0"/>
                <w:lang w:val="ru-RU" w:eastAsia="ru-RU" w:bidi="ar-SA"/>
              </w:rPr>
              <w:t>Таблица 3. Требования к продукции ……………………………………………………….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sz w:val="22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0"/>
                <w:lang w:val="ru-RU" w:eastAsia="ru-RU" w:bidi="ar-SA"/>
              </w:rPr>
              <w:t>4</w:t>
            </w:r>
          </w:p>
        </w:tc>
      </w:tr>
      <w:tr>
        <w:trPr/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sz w:val="22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0"/>
                <w:lang w:val="ru-RU" w:eastAsia="ru-RU" w:bidi="ar-SA"/>
              </w:rPr>
              <w:t>3.</w:t>
            </w:r>
          </w:p>
        </w:tc>
        <w:tc>
          <w:tcPr>
            <w:tcW w:w="865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sz w:val="22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0"/>
                <w:lang w:val="ru-RU" w:eastAsia="ru-RU" w:bidi="ar-SA"/>
              </w:rPr>
              <w:t>Требования к документации по ценообразованию на этапе закупки ………………….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sz w:val="22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0"/>
                <w:lang w:val="ru-RU" w:eastAsia="ru-RU" w:bidi="ar-SA"/>
              </w:rPr>
              <w:t>6</w:t>
            </w:r>
          </w:p>
        </w:tc>
      </w:tr>
    </w:tbl>
    <w:p>
      <w:pPr>
        <w:pStyle w:val="Normal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caps/>
          <w:lang w:val="ru-RU"/>
        </w:rPr>
      </w:pPr>
      <w:bookmarkStart w:id="0" w:name="_Toc150854474"/>
      <w:bookmarkStart w:id="1" w:name="_Toc51339692"/>
      <w:bookmarkStart w:id="2" w:name="_Toc75446566"/>
      <w:r>
        <w:rPr>
          <w:lang w:val="ru-RU"/>
        </w:rPr>
        <w:t>Общие сведения</w:t>
      </w:r>
      <w:bookmarkEnd w:id="0"/>
      <w:bookmarkEnd w:id="1"/>
      <w:bookmarkEnd w:id="2"/>
    </w:p>
    <w:p>
      <w:pPr>
        <w:pStyle w:val="Heading4"/>
        <w:numPr>
          <w:ilvl w:val="1"/>
          <w:numId w:val="3"/>
        </w:numPr>
        <w:rPr>
          <w:rStyle w:val="Style8"/>
          <w:b/>
          <w:i w:val="false"/>
          <w:i w:val="false"/>
          <w:shd w:fill="auto" w:val="clear"/>
        </w:rPr>
      </w:pPr>
      <w:bookmarkStart w:id="3" w:name="_Toc150854475"/>
      <w:bookmarkStart w:id="4" w:name="_Toc46743505"/>
      <w:bookmarkStart w:id="5" w:name="_Toc75446567"/>
      <w:r>
        <w:rPr/>
        <w:t>Обозначения и сокращения</w:t>
      </w:r>
      <w:bookmarkEnd w:id="3"/>
      <w:bookmarkEnd w:id="4"/>
      <w:bookmarkEnd w:id="5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Универсальный передаточный документ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3"/>
        </w:numPr>
        <w:rPr/>
      </w:pPr>
      <w:bookmarkStart w:id="6" w:name="_Toc150854476"/>
      <w:bookmarkStart w:id="7" w:name="_Toc46743506"/>
      <w:bookmarkStart w:id="8" w:name="_Toc75446568"/>
      <w:r>
        <w:rPr/>
        <w:t>Наименование закупаемой продукции</w:t>
      </w:r>
      <w:bookmarkEnd w:id="6"/>
      <w:bookmarkEnd w:id="7"/>
      <w:bookmarkEnd w:id="8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>ОКПД 2: 28.15.24.130 Поставка автоматической коробки передач XCMG 2BS315A(III) для нужд Камчатского филиала АО «ТК РусГидро».</w:t>
      </w:r>
    </w:p>
    <w:p>
      <w:pPr>
        <w:pStyle w:val="Heading4"/>
        <w:numPr>
          <w:ilvl w:val="1"/>
          <w:numId w:val="3"/>
        </w:numPr>
        <w:spacing w:before="240" w:after="60"/>
        <w:ind w:hanging="431" w:left="431"/>
        <w:rPr>
          <w:lang w:val="ru-RU"/>
        </w:rPr>
      </w:pPr>
      <w:bookmarkStart w:id="9" w:name="_Toc150854477"/>
      <w:bookmarkStart w:id="10" w:name="_Toc75446569"/>
      <w:bookmarkStart w:id="11" w:name="_Toc46743507"/>
      <w:r>
        <w:rPr/>
        <w:t xml:space="preserve">Цель </w:t>
      </w:r>
      <w:bookmarkEnd w:id="11"/>
      <w:r>
        <w:rPr>
          <w:lang w:val="ru-RU"/>
        </w:rPr>
        <w:t>использования закупаемой продукции</w:t>
      </w:r>
      <w:bookmarkEnd w:id="9"/>
      <w:bookmarkEnd w:id="10"/>
    </w:p>
    <w:p>
      <w:pPr>
        <w:pStyle w:val="Normal"/>
        <w:jc w:val="both"/>
        <w:rPr>
          <w:sz w:val="24"/>
          <w:szCs w:val="24"/>
          <w:lang w:eastAsia="x-none"/>
        </w:rPr>
      </w:pPr>
      <w:r>
        <w:rPr>
          <w:sz w:val="24"/>
          <w:szCs w:val="24"/>
        </w:rPr>
        <w:t xml:space="preserve">Восстановление технической готовности фронтального погрузчика </w:t>
      </w:r>
      <w:r>
        <w:rPr>
          <w:sz w:val="24"/>
          <w:szCs w:val="24"/>
          <w:lang w:val="en-US"/>
        </w:rPr>
        <w:t>XCMG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LW</w:t>
      </w:r>
      <w:r>
        <w:rPr>
          <w:sz w:val="24"/>
          <w:szCs w:val="24"/>
        </w:rPr>
        <w:t>300</w:t>
      </w:r>
      <w:r>
        <w:rPr>
          <w:sz w:val="24"/>
          <w:szCs w:val="24"/>
          <w:lang w:val="en-US"/>
        </w:rPr>
        <w:t>KN</w:t>
      </w:r>
      <w:r>
        <w:rPr>
          <w:sz w:val="24"/>
          <w:szCs w:val="24"/>
        </w:rPr>
        <w:t>, гос. номер 41 КХ 1620 транспортного участка «Елизовский».</w:t>
      </w:r>
    </w:p>
    <w:p>
      <w:pPr>
        <w:pStyle w:val="Heading4"/>
        <w:numPr>
          <w:ilvl w:val="1"/>
          <w:numId w:val="9"/>
        </w:numPr>
        <w:ind w:hanging="0"/>
        <w:jc w:val="both"/>
        <w:rPr>
          <w:lang w:val="ru-RU"/>
        </w:rPr>
      </w:pPr>
      <w:bookmarkStart w:id="12" w:name="_Toc46743510"/>
      <w:bookmarkStart w:id="13" w:name="_Toc50125126"/>
      <w:bookmarkStart w:id="14" w:name="_Toc133497144"/>
      <w:bookmarkStart w:id="15" w:name="_Toc150854478"/>
      <w:bookmarkStart w:id="16" w:name="_Toc143693871"/>
      <w:bookmarkEnd w:id="12"/>
      <w:bookmarkEnd w:id="13"/>
      <w:r>
        <w:rPr/>
        <w:t xml:space="preserve">Информация в отношении исполнения договора, </w:t>
      </w:r>
      <w:bookmarkStart w:id="17" w:name="_Hlk46492347"/>
      <w:r>
        <w:rPr/>
        <w:t xml:space="preserve">которая должна быть учтена при подготовке заявки </w:t>
      </w:r>
      <w:bookmarkEnd w:id="17"/>
      <w:r>
        <w:rPr/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rPr/>
        <w:t xml:space="preserve"> на этапе исполнения договора</w:t>
      </w:r>
      <w:r>
        <w:rPr>
          <w:lang w:val="ru-RU"/>
        </w:rPr>
        <w:t>)</w:t>
      </w:r>
      <w:bookmarkEnd w:id="15"/>
      <w:bookmarkEnd w:id="16"/>
    </w:p>
    <w:p>
      <w:pPr>
        <w:pStyle w:val="Heading4"/>
        <w:numPr>
          <w:ilvl w:val="2"/>
          <w:numId w:val="7"/>
        </w:numPr>
        <w:jc w:val="both"/>
        <w:rPr>
          <w:rFonts w:eastAsia="Times New Roman"/>
          <w:b w:val="false"/>
          <w:bCs w:val="false"/>
          <w:lang w:val="ru-RU" w:eastAsia="ru-RU"/>
        </w:rPr>
      </w:pPr>
      <w:bookmarkStart w:id="18" w:name="_Toc133497144"/>
      <w:bookmarkStart w:id="19" w:name="_Toc150854479"/>
      <w:r>
        <w:rPr>
          <w:rFonts w:eastAsia="Times New Roman"/>
          <w:b w:val="false"/>
          <w:bCs w:val="false"/>
          <w:lang w:val="ru-RU" w:eastAsia="ru-RU"/>
        </w:rPr>
        <w:t>Продукция должна быть новой, не ранее 2026 года выпуска, оригинальной (от производителя) или эквивалент продукции, ранее не находившаяся в использовании у Поставщика и (или) третьих лиц, не допускается поставка выставочных образцов.</w:t>
      </w:r>
      <w:bookmarkEnd w:id="18"/>
      <w:bookmarkEnd w:id="19"/>
    </w:p>
    <w:p>
      <w:pPr>
        <w:pStyle w:val="Heading4"/>
        <w:numPr>
          <w:ilvl w:val="2"/>
          <w:numId w:val="7"/>
        </w:numPr>
        <w:jc w:val="both"/>
        <w:rPr>
          <w:rFonts w:eastAsia="Times New Roman"/>
          <w:b w:val="false"/>
          <w:bCs w:val="false"/>
          <w:lang w:val="ru-RU" w:eastAsia="ru-RU"/>
        </w:rPr>
      </w:pPr>
      <w:bookmarkStart w:id="20" w:name="_Toc150854480"/>
      <w:bookmarkStart w:id="21" w:name="_Toc133497145"/>
      <w:r>
        <w:rPr>
          <w:rFonts w:eastAsia="Times New Roman"/>
          <w:b w:val="false"/>
          <w:bCs w:val="false"/>
          <w:lang w:val="ru-RU" w:eastAsia="ru-RU"/>
        </w:rPr>
        <w:t>На продукцию устанавливается гарантийный срок не менее 6 месяцев со дня продажи.</w:t>
      </w:r>
      <w:bookmarkEnd w:id="20"/>
      <w:bookmarkEnd w:id="21"/>
    </w:p>
    <w:p>
      <w:pPr>
        <w:pStyle w:val="Heading4"/>
        <w:numPr>
          <w:ilvl w:val="2"/>
          <w:numId w:val="7"/>
        </w:numPr>
        <w:jc w:val="both"/>
        <w:rPr>
          <w:rFonts w:eastAsia="Times New Roman"/>
          <w:b w:val="false"/>
          <w:bCs w:val="false"/>
          <w:lang w:val="ru-RU" w:eastAsia="ru-RU"/>
        </w:rPr>
      </w:pPr>
      <w:bookmarkStart w:id="22" w:name="_Toc150854481"/>
      <w:bookmarkStart w:id="23" w:name="_Toc133497146"/>
      <w:r>
        <w:rPr>
          <w:rFonts w:eastAsia="Times New Roman"/>
          <w:b w:val="false"/>
          <w:bCs w:val="false"/>
          <w:lang w:val="ru-RU" w:eastAsia="ru-RU"/>
        </w:rPr>
        <w:t>Поставщик вправе предложить эквивалент к заявленной в настоящем Техническом требовании продукции по позиционно, с указанием марки, модели и технических показателей предлагаемого эквивалента.</w:t>
      </w:r>
      <w:bookmarkEnd w:id="22"/>
      <w:bookmarkEnd w:id="23"/>
      <w:r>
        <w:rPr>
          <w:rFonts w:eastAsia="Times New Roman"/>
          <w:b w:val="false"/>
          <w:bCs w:val="false"/>
          <w:lang w:val="ru-RU" w:eastAsia="ru-RU"/>
        </w:rPr>
        <w:t xml:space="preserve"> </w:t>
      </w:r>
    </w:p>
    <w:p>
      <w:pPr>
        <w:pStyle w:val="Heading4"/>
        <w:numPr>
          <w:ilvl w:val="2"/>
          <w:numId w:val="7"/>
        </w:numPr>
        <w:jc w:val="both"/>
        <w:rPr>
          <w:rFonts w:eastAsia="Times New Roman"/>
          <w:b w:val="false"/>
          <w:bCs w:val="false"/>
          <w:lang w:val="ru-RU" w:eastAsia="ru-RU"/>
        </w:rPr>
      </w:pPr>
      <w:bookmarkStart w:id="24" w:name="_Toc150854482"/>
      <w:bookmarkStart w:id="25" w:name="_Toc133497147"/>
      <w:r>
        <w:rPr>
          <w:rFonts w:eastAsia="Times New Roman"/>
          <w:b w:val="false"/>
          <w:bCs w:val="false"/>
          <w:lang w:val="ru-RU" w:eastAsia="ru-RU"/>
        </w:rPr>
        <w:t>Технические характеристики предлагаемых эквивалентов не должны быть ниже, чем у указанных Покупателем в настоящих Технических требованиях.</w:t>
      </w:r>
      <w:bookmarkEnd w:id="24"/>
      <w:bookmarkEnd w:id="25"/>
    </w:p>
    <w:p>
      <w:pPr>
        <w:pStyle w:val="ListParagraph"/>
        <w:numPr>
          <w:ilvl w:val="2"/>
          <w:numId w:val="7"/>
        </w:numPr>
        <w:jc w:val="both"/>
        <w:rPr/>
      </w:pPr>
      <w:r>
        <w:rPr/>
        <w:t>Комплектность поставки должна обеспечить возможность использования продукции по прямому назначению.</w:t>
      </w:r>
    </w:p>
    <w:p>
      <w:pPr>
        <w:pStyle w:val="ListParagraph"/>
        <w:numPr>
          <w:ilvl w:val="2"/>
          <w:numId w:val="7"/>
        </w:numPr>
        <w:jc w:val="both"/>
        <w:rPr/>
      </w:pPr>
      <w:r>
        <w:rPr/>
        <w:t>Качество и безопасность поставляемой продукции должно соответствовать действующим стандартам и условиям, утвержденными на данный вид продукции, оформленным в соответствии с законодательством Российской Федерации.</w:t>
      </w:r>
    </w:p>
    <w:p>
      <w:pPr>
        <w:pStyle w:val="Heading4"/>
        <w:numPr>
          <w:ilvl w:val="1"/>
          <w:numId w:val="8"/>
        </w:numPr>
        <w:ind w:hanging="426" w:left="426"/>
        <w:rPr/>
      </w:pPr>
      <w:bookmarkStart w:id="26" w:name="_Toc143693876"/>
      <w:bookmarkStart w:id="27" w:name="_Toc150854483"/>
      <w:r>
        <w:rPr/>
        <w:t>Иные требования и сведения общего характера</w:t>
      </w:r>
      <w:bookmarkEnd w:id="26"/>
      <w:bookmarkEnd w:id="27"/>
    </w:p>
    <w:p>
      <w:pPr>
        <w:pStyle w:val="ListParagraph"/>
        <w:numPr>
          <w:ilvl w:val="2"/>
          <w:numId w:val="8"/>
        </w:numPr>
        <w:jc w:val="both"/>
        <w:rPr/>
      </w:pPr>
      <w:r>
        <w:rPr/>
        <w:t>Перед поставкой, Поставщик предоставляет копии документов, подтверждающие качество поставляемой продукции (сертификаты соответствия).</w:t>
      </w:r>
    </w:p>
    <w:p>
      <w:pPr>
        <w:pStyle w:val="ListParagraph"/>
        <w:numPr>
          <w:ilvl w:val="2"/>
          <w:numId w:val="8"/>
        </w:numPr>
        <w:jc w:val="both"/>
        <w:rPr/>
      </w:pPr>
      <w:r>
        <w:rPr/>
        <w:t>Приемка продукции осуществляется на основании отгрузочных документов Поставщика. Покупатель обязан принять продукцию путем её проверки на соответствие сопроводительным документам, в момент передачи продукции. При обнаружении несоответствия продукции сопроводительным документам, а также в случае несоблюдения Поставщиком условия о количестве/качестве продукции, сторонами составляется Акт рекламации.</w:t>
      </w:r>
    </w:p>
    <w:p>
      <w:pPr>
        <w:pStyle w:val="ListParagraph"/>
        <w:numPr>
          <w:ilvl w:val="2"/>
          <w:numId w:val="8"/>
        </w:numPr>
        <w:jc w:val="both"/>
        <w:rPr/>
      </w:pPr>
      <w:r>
        <w:rPr/>
        <w:t>В случае получения продукции в дефектной упаковке Покупатель имеет право не принимать такую продукцию.</w:t>
      </w:r>
    </w:p>
    <w:p>
      <w:pPr>
        <w:pStyle w:val="ListParagraph"/>
        <w:numPr>
          <w:ilvl w:val="2"/>
          <w:numId w:val="8"/>
        </w:numPr>
        <w:jc w:val="both"/>
        <w:rPr/>
      </w:pPr>
      <w:r>
        <w:rPr/>
        <w:t>В случае получения продукции с недостатками, которые выявлены в процессе установки на транспортное средство (скрытые недостатки) Покупатель имеет право направить Продавцу претензию и требовать возврат денежных средств за некачественную продукцию.</w:t>
      </w:r>
    </w:p>
    <w:p>
      <w:pPr>
        <w:pStyle w:val="Normal"/>
        <w:ind w:firstLine="567" w:left="1"/>
        <w:jc w:val="both"/>
        <w:rPr/>
      </w:pPr>
      <w:r>
        <w:rPr/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iCs/>
          <w:caps/>
          <w:lang w:val="ru-RU"/>
        </w:rPr>
      </w:pPr>
      <w:bookmarkStart w:id="28" w:name="_Toc150854484"/>
      <w:bookmarkStart w:id="29" w:name="_Toc75446573"/>
      <w:bookmarkStart w:id="30" w:name="_Toc51339693"/>
      <w:r>
        <w:rPr>
          <w:iCs/>
        </w:rPr>
        <w:t>Требования к продукции</w:t>
      </w:r>
      <w:bookmarkEnd w:id="28"/>
      <w:bookmarkEnd w:id="29"/>
      <w:bookmarkEnd w:id="30"/>
    </w:p>
    <w:p>
      <w:pPr>
        <w:pStyle w:val="Heading4"/>
        <w:numPr>
          <w:ilvl w:val="1"/>
          <w:numId w:val="3"/>
        </w:numPr>
        <w:spacing w:before="0" w:after="0"/>
        <w:rPr/>
      </w:pPr>
      <w:bookmarkStart w:id="31" w:name="_Toc150854485"/>
      <w:bookmarkStart w:id="32" w:name="_Toc75446574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31"/>
      <w:bookmarkEnd w:id="32"/>
    </w:p>
    <w:p>
      <w:pPr>
        <w:pStyle w:val="Heading3"/>
        <w:numPr>
          <w:ilvl w:val="2"/>
          <w:numId w:val="3"/>
        </w:numPr>
        <w:spacing w:before="0" w:after="0"/>
        <w:rPr>
          <w:lang w:val="ru-RU"/>
        </w:rPr>
      </w:pPr>
      <w:bookmarkStart w:id="33" w:name="_Toc150854486"/>
      <w:bookmarkStart w:id="34" w:name="_Toc75446575"/>
      <w:r>
        <w:rPr>
          <w:lang w:val="ru-RU"/>
        </w:rPr>
        <w:t>Перечень и объем закупаемой продукции</w:t>
      </w:r>
      <w:bookmarkEnd w:id="33"/>
      <w:bookmarkEnd w:id="34"/>
    </w:p>
    <w:p>
      <w:pPr>
        <w:pStyle w:val="Heading1"/>
        <w:keepLines/>
        <w:numPr>
          <w:ilvl w:val="0"/>
          <w:numId w:val="0"/>
        </w:numPr>
        <w:spacing w:before="0" w:after="0"/>
        <w:ind w:hanging="0" w:left="0"/>
        <w:rPr>
          <w:sz w:val="24"/>
          <w:szCs w:val="24"/>
          <w:lang w:val="ru-RU"/>
        </w:rPr>
      </w:pPr>
      <w:bookmarkStart w:id="35" w:name="_Toc150854487"/>
      <w:bookmarkStart w:id="36" w:name="_Toc75446576"/>
      <w:bookmarkStart w:id="37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37"/>
      <w:r>
        <w:rPr>
          <w:sz w:val="24"/>
          <w:szCs w:val="24"/>
          <w:lang w:val="ru-RU"/>
        </w:rPr>
        <w:t>и объем закупаемой продукции</w:t>
      </w:r>
      <w:bookmarkEnd w:id="35"/>
      <w:bookmarkEnd w:id="36"/>
    </w:p>
    <w:p>
      <w:pPr>
        <w:pStyle w:val="Normal"/>
        <w:rPr>
          <w:lang w:eastAsia="x-none"/>
        </w:rPr>
      </w:pPr>
      <w:r>
        <w:rPr>
          <w:lang w:eastAsia="x-none"/>
        </w:rPr>
      </w:r>
    </w:p>
    <w:tbl>
      <w:tblPr>
        <w:tblW w:w="1005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0"/>
        <w:gridCol w:w="6522"/>
        <w:gridCol w:w="1418"/>
        <w:gridCol w:w="1554"/>
      </w:tblGrid>
      <w:tr>
        <w:trPr>
          <w:trHeight w:val="284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themeFill="background1" w:val="clear"/>
            <w:vAlign w:val="center"/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themeFill="background1" w:val="clear"/>
            <w:vAlign w:val="center"/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поставляемой продукции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themeFill="background1" w:val="clear"/>
            <w:vAlign w:val="center"/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themeFill="background1" w:val="clear"/>
            <w:vAlign w:val="center"/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Количество</w:t>
            </w:r>
          </w:p>
        </w:tc>
      </w:tr>
      <w:tr>
        <w:trPr>
          <w:trHeight w:val="284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0"/>
              </w:num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</w:r>
          </w:p>
        </w:tc>
        <w:tc>
          <w:tcPr>
            <w:tcW w:w="6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Автоматическая коробка передач XCMG 2BS315A(III)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</w:tr>
    </w:tbl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Heading3"/>
        <w:numPr>
          <w:ilvl w:val="2"/>
          <w:numId w:val="3"/>
        </w:numPr>
        <w:spacing w:before="0" w:after="0"/>
        <w:rPr>
          <w:lang w:val="ru-RU"/>
        </w:rPr>
      </w:pPr>
      <w:bookmarkStart w:id="38" w:name="_Toc150854488"/>
      <w:bookmarkStart w:id="39" w:name="_Toc51339696"/>
      <w:bookmarkStart w:id="40" w:name="_Toc75446578"/>
      <w:r>
        <w:rPr>
          <w:lang w:val="ru-RU"/>
        </w:rPr>
        <w:t xml:space="preserve">Требования </w:t>
      </w:r>
      <w:bookmarkEnd w:id="39"/>
      <w:r>
        <w:rPr>
          <w:lang w:val="ru-RU"/>
        </w:rPr>
        <w:t>к срокам поставки продукции и оказания сопутствующих услуг</w:t>
      </w:r>
      <w:bookmarkEnd w:id="38"/>
      <w:bookmarkEnd w:id="40"/>
    </w:p>
    <w:p>
      <w:pPr>
        <w:pStyle w:val="Heading1"/>
        <w:keepLines/>
        <w:numPr>
          <w:ilvl w:val="0"/>
          <w:numId w:val="0"/>
        </w:numPr>
        <w:spacing w:before="0" w:after="0"/>
        <w:ind w:hanging="0" w:left="0"/>
        <w:rPr>
          <w:sz w:val="24"/>
          <w:szCs w:val="24"/>
          <w:lang w:val="ru-RU"/>
        </w:rPr>
      </w:pPr>
      <w:bookmarkStart w:id="41" w:name="_Toc50125126"/>
      <w:bookmarkStart w:id="42" w:name="_Toc150854489"/>
      <w:bookmarkStart w:id="43" w:name="_Toc75446579"/>
      <w:bookmarkStart w:id="44" w:name="_Toc51339697"/>
      <w:bookmarkStart w:id="45" w:name="_Toc50125127"/>
      <w:bookmarkEnd w:id="41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46" w:name="_Hlk50465284"/>
      <w:r>
        <w:rPr>
          <w:sz w:val="24"/>
          <w:szCs w:val="24"/>
        </w:rPr>
        <w:t xml:space="preserve">Требования по срокам </w:t>
      </w:r>
      <w:bookmarkEnd w:id="44"/>
      <w:bookmarkEnd w:id="45"/>
      <w:bookmarkEnd w:id="46"/>
      <w:r>
        <w:rPr>
          <w:sz w:val="24"/>
          <w:szCs w:val="24"/>
          <w:lang w:val="ru-RU"/>
        </w:rPr>
        <w:t>поставки продукции</w:t>
      </w:r>
      <w:bookmarkEnd w:id="42"/>
      <w:bookmarkEnd w:id="43"/>
      <w:r>
        <w:rPr>
          <w:sz w:val="24"/>
          <w:szCs w:val="24"/>
          <w:lang w:val="ru-RU"/>
        </w:rPr>
        <w:t xml:space="preserve"> </w:t>
      </w:r>
    </w:p>
    <w:tbl>
      <w:tblPr>
        <w:tblW w:w="977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29"/>
        <w:gridCol w:w="2551"/>
        <w:gridCol w:w="2978"/>
        <w:gridCol w:w="3117"/>
      </w:tblGrid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keepNext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7"/>
              <w:keepNext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numPr>
                <w:ilvl w:val="0"/>
                <w:numId w:val="6"/>
              </w:numPr>
              <w:suppressAutoHyphens w:val="true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Автоматическая коробка передач XCMG 2BS315A(III)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45 календарных дней</w:t>
            </w:r>
          </w:p>
        </w:tc>
      </w:tr>
    </w:tbl>
    <w:p>
      <w:pPr>
        <w:pStyle w:val="Heading4"/>
        <w:numPr>
          <w:ilvl w:val="1"/>
          <w:numId w:val="3"/>
        </w:numPr>
        <w:rPr/>
      </w:pPr>
      <w:bookmarkStart w:id="47" w:name="_Toc46743510"/>
      <w:bookmarkStart w:id="48" w:name="_Toc46743511"/>
      <w:bookmarkStart w:id="49" w:name="_Toc150854490"/>
      <w:bookmarkStart w:id="50" w:name="_Toc75446581"/>
      <w:bookmarkEnd w:id="47"/>
      <w:r>
        <w:rPr/>
        <w:t xml:space="preserve">Требования к </w:t>
      </w:r>
      <w:bookmarkEnd w:id="48"/>
      <w:r>
        <w:rPr>
          <w:lang w:val="ru-RU"/>
        </w:rPr>
        <w:t>качеству продукции</w:t>
      </w:r>
      <w:bookmarkEnd w:id="49"/>
      <w:bookmarkEnd w:id="50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rStyle w:val="Style8"/>
          <w:b/>
          <w:i w:val="false"/>
          <w:i w:val="false"/>
          <w:sz w:val="24"/>
          <w:szCs w:val="24"/>
          <w:shd w:fill="auto" w:val="clear"/>
        </w:rPr>
      </w:pPr>
      <w:r>
        <w:rPr>
          <w:sz w:val="24"/>
          <w:szCs w:val="24"/>
        </w:rPr>
        <w:t xml:space="preserve"> </w:t>
      </w:r>
      <w:bookmarkStart w:id="51" w:name="_Toc75446582"/>
      <w:bookmarkStart w:id="52" w:name="_Toc150854491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51"/>
      <w:bookmarkEnd w:id="52"/>
      <w:r>
        <w:rPr>
          <w:sz w:val="24"/>
          <w:szCs w:val="24"/>
        </w:rPr>
        <w:t xml:space="preserve"> </w:t>
      </w:r>
    </w:p>
    <w:p>
      <w:pPr>
        <w:pStyle w:val="Normal"/>
        <w:jc w:val="both"/>
        <w:rPr>
          <w:rStyle w:val="Style8"/>
          <w:b w:val="false"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>Наименование продукции:</w:t>
      </w:r>
      <w:r>
        <w:rPr>
          <w:i/>
        </w:rPr>
        <w:t xml:space="preserve"> </w:t>
      </w:r>
      <w:r>
        <w:rPr>
          <w:color w:val="000000"/>
          <w:sz w:val="24"/>
          <w:szCs w:val="24"/>
        </w:rPr>
        <w:t xml:space="preserve">ОКПД 2: 28.15.24.130 Поставка автоматической коробки передач </w:t>
      </w:r>
      <w:r>
        <w:rPr>
          <w:color w:val="000000"/>
          <w:sz w:val="24"/>
          <w:szCs w:val="24"/>
          <w:lang w:val="en-US"/>
        </w:rPr>
        <w:t>XCMG</w:t>
      </w:r>
      <w:r>
        <w:rPr>
          <w:color w:val="000000"/>
          <w:sz w:val="24"/>
          <w:szCs w:val="24"/>
        </w:rPr>
        <w:t xml:space="preserve"> 2</w:t>
      </w:r>
      <w:r>
        <w:rPr>
          <w:color w:val="000000"/>
          <w:sz w:val="24"/>
          <w:szCs w:val="24"/>
          <w:lang w:val="en-US"/>
        </w:rPr>
        <w:t>BS</w:t>
      </w:r>
      <w:r>
        <w:rPr>
          <w:color w:val="000000"/>
          <w:sz w:val="24"/>
          <w:szCs w:val="24"/>
        </w:rPr>
        <w:t>315</w:t>
      </w:r>
      <w:r>
        <w:rPr>
          <w:color w:val="000000"/>
          <w:sz w:val="24"/>
          <w:szCs w:val="24"/>
          <w:lang w:val="en-US"/>
        </w:rPr>
        <w:t>A</w:t>
      </w:r>
      <w:r>
        <w:rPr>
          <w:color w:val="000000"/>
          <w:sz w:val="24"/>
          <w:szCs w:val="24"/>
        </w:rPr>
        <w:t>(</w:t>
      </w:r>
      <w:r>
        <w:rPr>
          <w:color w:val="000000"/>
          <w:sz w:val="24"/>
          <w:szCs w:val="24"/>
          <w:lang w:val="en-US"/>
        </w:rPr>
        <w:t>III</w:t>
      </w:r>
      <w:r>
        <w:rPr>
          <w:color w:val="000000"/>
          <w:sz w:val="24"/>
          <w:szCs w:val="24"/>
        </w:rPr>
        <w:t>) для нужд Камчатского филиала АО «ТК РусГидро»</w:t>
      </w:r>
    </w:p>
    <w:tbl>
      <w:tblPr>
        <w:tblStyle w:val="af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47"/>
        <w:gridCol w:w="1702"/>
        <w:gridCol w:w="1726"/>
        <w:gridCol w:w="1562"/>
        <w:gridCol w:w="2069"/>
        <w:gridCol w:w="2014"/>
      </w:tblGrid>
      <w:tr>
        <w:trPr>
          <w:trHeight w:val="601" w:hRule="atLeast"/>
        </w:trPr>
        <w:tc>
          <w:tcPr>
            <w:tcW w:w="847" w:type="dxa"/>
            <w:vMerge w:val="restart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1702" w:type="dxa"/>
            <w:vMerge w:val="restart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1726" w:type="dxa"/>
            <w:vMerge w:val="restart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3631" w:type="dxa"/>
            <w:gridSpan w:val="2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014" w:type="dxa"/>
            <w:vMerge w:val="restart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>
          <w:trHeight w:val="601" w:hRule="atLeast"/>
        </w:trPr>
        <w:tc>
          <w:tcPr>
            <w:tcW w:w="847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702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726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014" w:type="dxa"/>
            <w:vMerge w:val="continue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>
          <w:trHeight w:val="281" w:hRule="atLeast"/>
        </w:trPr>
        <w:tc>
          <w:tcPr>
            <w:tcW w:w="847" w:type="dxa"/>
            <w:tcBorders/>
            <w:vAlign w:val="center"/>
          </w:tcPr>
          <w:p>
            <w:pPr>
              <w:pStyle w:val="Normal"/>
              <w:widowControl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1702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1726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069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2014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>
          <w:trHeight w:val="1296" w:hRule="atLeast"/>
        </w:trPr>
        <w:tc>
          <w:tcPr>
            <w:tcW w:w="847" w:type="dxa"/>
            <w:tcBorders/>
            <w:vAlign w:val="center"/>
          </w:tcPr>
          <w:p>
            <w:pPr>
              <w:pStyle w:val="Normal"/>
              <w:widowControl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1.</w:t>
            </w:r>
          </w:p>
        </w:tc>
        <w:tc>
          <w:tcPr>
            <w:tcW w:w="3428" w:type="dxa"/>
            <w:gridSpan w:val="2"/>
            <w:tcBorders/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56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/>
              <w:spacing w:before="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  <w:tc>
          <w:tcPr>
            <w:tcW w:w="2014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pacing w:before="60" w:after="6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428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Наименование продукции (позиция №1 Таблицы 1):       Автоматическая коробка передач</w:t>
            </w:r>
          </w:p>
        </w:tc>
        <w:tc>
          <w:tcPr>
            <w:tcW w:w="1562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  <w:tc>
          <w:tcPr>
            <w:tcW w:w="2014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pacing w:before="60" w:after="6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702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Артикул</w:t>
            </w:r>
          </w:p>
        </w:tc>
        <w:tc>
          <w:tcPr>
            <w:tcW w:w="1726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XCMG 2BS315A(III)</w:t>
            </w:r>
          </w:p>
        </w:tc>
        <w:tc>
          <w:tcPr>
            <w:tcW w:w="1562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014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pacing w:before="60" w:after="6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702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Применяемость</w:t>
            </w:r>
          </w:p>
        </w:tc>
        <w:tc>
          <w:tcPr>
            <w:tcW w:w="1726" w:type="dxa"/>
            <w:tcBorders/>
            <w:shd w:color="auto" w:fill="auto" w:val="clea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Применима к эксплуатации на фронтальном погрузчике XCMG LW300KN</w:t>
            </w:r>
          </w:p>
        </w:tc>
        <w:tc>
          <w:tcPr>
            <w:tcW w:w="1562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014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Normal"/>
              <w:widowControl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2.</w:t>
            </w:r>
          </w:p>
        </w:tc>
        <w:tc>
          <w:tcPr>
            <w:tcW w:w="3428" w:type="dxa"/>
            <w:gridSpan w:val="2"/>
            <w:tcBorders/>
            <w:vAlign w:val="center"/>
          </w:tcPr>
          <w:p>
            <w:pPr>
              <w:pStyle w:val="Normal"/>
              <w:widowControl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1562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  <w:tc>
          <w:tcPr>
            <w:tcW w:w="2069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  <w:tc>
          <w:tcPr>
            <w:tcW w:w="2014" w:type="dxa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b/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Normal"/>
              <w:widowControl/>
              <w:spacing w:before="60" w:after="60"/>
              <w:ind w:left="25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2.1.</w:t>
            </w:r>
          </w:p>
        </w:tc>
        <w:tc>
          <w:tcPr>
            <w:tcW w:w="3428" w:type="dxa"/>
            <w:gridSpan w:val="2"/>
            <w:tcBorders/>
            <w:vAlign w:val="center"/>
          </w:tcPr>
          <w:p>
            <w:pPr>
              <w:pStyle w:val="Normal"/>
              <w:widowControl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Доставка продукции осуществляется до места поставки силами, средствами и за счет Поставщика. Место поставки: Россия, Камчатский край, город Петропавловск-Камчатский, Солнечная 16 </w:t>
            </w:r>
          </w:p>
        </w:tc>
        <w:tc>
          <w:tcPr>
            <w:tcW w:w="156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i/>
                <w:i/>
              </w:rPr>
            </w:pPr>
            <w:r>
              <w:rPr>
                <w:rFonts w:eastAsia="Times New Roman" w:cs="Times New Roman"/>
                <w:i/>
                <w:kern w:val="0"/>
                <w:lang w:val="ru-RU" w:eastAsia="ru-RU" w:bidi="ar-SA"/>
              </w:rPr>
            </w:r>
          </w:p>
        </w:tc>
        <w:tc>
          <w:tcPr>
            <w:tcW w:w="201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i/>
                <w:i/>
              </w:rPr>
            </w:pPr>
            <w:r>
              <w:rPr>
                <w:rFonts w:eastAsia="Times New Roman" w:cs="Times New Roman"/>
                <w:i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Normal"/>
              <w:widowControl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3.</w:t>
            </w:r>
          </w:p>
        </w:tc>
        <w:tc>
          <w:tcPr>
            <w:tcW w:w="3428" w:type="dxa"/>
            <w:gridSpan w:val="2"/>
            <w:tcBorders/>
            <w:vAlign w:val="center"/>
          </w:tcPr>
          <w:p>
            <w:pPr>
              <w:pStyle w:val="Normal"/>
              <w:widowControl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1562" w:type="dxa"/>
            <w:tcBorders/>
          </w:tcPr>
          <w:p>
            <w:pPr>
              <w:pStyle w:val="Normal"/>
              <w:widowControl/>
              <w:spacing w:before="2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/>
              <w:spacing w:before="2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/>
              <w:spacing w:before="2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pacing w:before="2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/>
              <w:spacing w:before="2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/>
              <w:spacing w:before="2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  <w:tc>
          <w:tcPr>
            <w:tcW w:w="2014" w:type="dxa"/>
            <w:tcBorders/>
            <w:vAlign w:val="center"/>
          </w:tcPr>
          <w:p>
            <w:pPr>
              <w:pStyle w:val="Normal"/>
              <w:widowControl/>
              <w:spacing w:before="2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Normal"/>
              <w:widowControl/>
              <w:spacing w:before="60" w:after="60"/>
              <w:ind w:left="25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3.1.</w:t>
            </w:r>
          </w:p>
        </w:tc>
        <w:tc>
          <w:tcPr>
            <w:tcW w:w="3428" w:type="dxa"/>
            <w:gridSpan w:val="2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 продукцию устанавливается гарантийный срок не менее 6 месяцев со дня продажи</w:t>
            </w:r>
          </w:p>
        </w:tc>
        <w:tc>
          <w:tcPr>
            <w:tcW w:w="156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069" w:type="dxa"/>
            <w:tcBorders/>
          </w:tcPr>
          <w:p>
            <w:pPr>
              <w:pStyle w:val="Style26"/>
              <w:keepNext w:val="false"/>
              <w:widowControl/>
              <w:numPr>
                <w:ilvl w:val="0"/>
                <w:numId w:val="0"/>
              </w:numPr>
              <w:spacing w:before="0" w:after="60"/>
              <w:jc w:val="left"/>
              <w:outlineLvl w:val="2"/>
              <w:rPr>
                <w:rFonts w:eastAsia="Times New Roman"/>
                <w:b w:val="false"/>
                <w:i/>
                <w:i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i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014" w:type="dxa"/>
            <w:tcBorders/>
          </w:tcPr>
          <w:p>
            <w:pPr>
              <w:pStyle w:val="Style26"/>
              <w:keepNext w:val="false"/>
              <w:widowControl/>
              <w:numPr>
                <w:ilvl w:val="0"/>
                <w:numId w:val="0"/>
              </w:numPr>
              <w:spacing w:before="0" w:after="60"/>
              <w:jc w:val="left"/>
              <w:outlineLvl w:val="2"/>
              <w:rPr>
                <w:rFonts w:eastAsia="Times New Roman"/>
                <w:b w:val="false"/>
                <w:i/>
                <w:i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i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Normal"/>
              <w:widowControl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4.</w:t>
            </w:r>
          </w:p>
        </w:tc>
        <w:tc>
          <w:tcPr>
            <w:tcW w:w="3428" w:type="dxa"/>
            <w:gridSpan w:val="2"/>
            <w:tcBorders/>
            <w:vAlign w:val="center"/>
          </w:tcPr>
          <w:p>
            <w:pPr>
              <w:pStyle w:val="Normal"/>
              <w:widowControl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562" w:type="dxa"/>
            <w:tcBorders/>
          </w:tcPr>
          <w:p>
            <w:pPr>
              <w:pStyle w:val="Normal"/>
              <w:widowControl/>
              <w:spacing w:before="60" w:after="6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/>
              <w:spacing w:before="60" w:after="6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pacing w:before="60" w:after="6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/>
              <w:spacing w:before="60" w:after="6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  <w:tc>
          <w:tcPr>
            <w:tcW w:w="2014" w:type="dxa"/>
            <w:tcBorders/>
            <w:vAlign w:val="center"/>
          </w:tcPr>
          <w:p>
            <w:pPr>
              <w:pStyle w:val="Normal"/>
              <w:widowControl/>
              <w:spacing w:before="60" w:after="6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</w:tr>
      <w:tr>
        <w:trPr/>
        <w:tc>
          <w:tcPr>
            <w:tcW w:w="847" w:type="dxa"/>
            <w:tcBorders/>
            <w:vAlign w:val="center"/>
          </w:tcPr>
          <w:p>
            <w:pPr>
              <w:pStyle w:val="Normal"/>
              <w:widowControl/>
              <w:spacing w:before="60" w:after="60"/>
              <w:ind w:left="25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4.1.</w:t>
            </w:r>
          </w:p>
        </w:tc>
        <w:tc>
          <w:tcPr>
            <w:tcW w:w="3428" w:type="dxa"/>
            <w:gridSpan w:val="2"/>
            <w:tcBorders/>
            <w:vAlign w:val="center"/>
          </w:tcPr>
          <w:p>
            <w:pPr>
              <w:pStyle w:val="Normal"/>
              <w:widowControl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Вместе с продукцией поставщик обязан предоставить оригиналы следующих документов: Счёт, Счёт-фактура + Товарная накладная или УПД.</w:t>
            </w:r>
          </w:p>
        </w:tc>
        <w:tc>
          <w:tcPr>
            <w:tcW w:w="156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201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</w:r>
          </w:p>
        </w:tc>
      </w:tr>
    </w:tbl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Heading1"/>
        <w:numPr>
          <w:ilvl w:val="0"/>
          <w:numId w:val="3"/>
        </w:numPr>
        <w:ind w:firstLine="851" w:left="0"/>
        <w:jc w:val="both"/>
        <w:rPr/>
      </w:pPr>
      <w:bookmarkStart w:id="53" w:name="_Toc150854492"/>
      <w:r>
        <w:rPr/>
        <w:t>Требования к документации по ценообразованию на этапе закупки</w:t>
      </w:r>
      <w:bookmarkEnd w:id="53"/>
    </w:p>
    <w:p>
      <w:pPr>
        <w:pStyle w:val="Heading4"/>
        <w:numPr>
          <w:ilvl w:val="1"/>
          <w:numId w:val="3"/>
        </w:numPr>
        <w:rPr>
          <w:b w:val="false"/>
        </w:rPr>
      </w:pPr>
      <w:r>
        <w:rPr>
          <w:b w:val="false"/>
        </w:rPr>
        <w:t>В обоснование стоимости своей заявки Участник предоставляет Коммерческое предложение.</w:t>
      </w:r>
    </w:p>
    <w:p>
      <w:pPr>
        <w:pStyle w:val="Heading4"/>
        <w:numPr>
          <w:ilvl w:val="1"/>
          <w:numId w:val="3"/>
        </w:numPr>
        <w:rPr>
          <w:b w:val="false"/>
        </w:rPr>
      </w:pPr>
      <w:r>
        <w:rPr>
          <w:b w:val="false"/>
          <w:szCs w:val="26"/>
        </w:rPr>
        <w:t>Дополнительные документы по ценообразованию в состав заявки не включаются.</w:t>
      </w:r>
    </w:p>
    <w:p>
      <w:pPr>
        <w:pStyle w:val="Normal"/>
        <w:ind w:firstLine="567"/>
        <w:rPr>
          <w:lang w:eastAsia="x-none"/>
        </w:rPr>
      </w:pPr>
      <w:r>
        <w:rPr>
          <w:lang w:eastAsia="x-none"/>
        </w:rPr>
      </w:r>
    </w:p>
    <w:p>
      <w:pPr>
        <w:pStyle w:val="Normal"/>
        <w:rPr>
          <w:sz w:val="26"/>
          <w:szCs w:val="26"/>
          <w:lang w:eastAsia="x-none"/>
        </w:rPr>
      </w:pPr>
      <w:r>
        <w:rPr>
          <w:sz w:val="26"/>
          <w:szCs w:val="26"/>
          <w:lang w:eastAsia="x-none"/>
        </w:rPr>
      </w:r>
      <w:bookmarkStart w:id="54" w:name="_GoBack"/>
      <w:bookmarkStart w:id="55" w:name="_Toc54643711"/>
      <w:bookmarkStart w:id="56" w:name="_Toc54281228"/>
      <w:bookmarkStart w:id="57" w:name="_GoBack"/>
      <w:bookmarkStart w:id="58" w:name="_Toc54643711"/>
      <w:bookmarkStart w:id="59" w:name="_Toc54281228"/>
      <w:bookmarkEnd w:id="57"/>
      <w:bookmarkEnd w:id="58"/>
      <w:bookmarkEnd w:id="59"/>
    </w:p>
    <w:p>
      <w:pPr>
        <w:pStyle w:val="Normal"/>
        <w:rPr>
          <w:sz w:val="24"/>
          <w:szCs w:val="26"/>
          <w:lang w:eastAsia="x-none"/>
        </w:rPr>
      </w:pPr>
      <w:r>
        <w:rPr/>
      </w:r>
    </w:p>
    <w:p>
      <w:pPr>
        <w:pStyle w:val="Normal"/>
        <w:rPr>
          <w:sz w:val="24"/>
          <w:szCs w:val="26"/>
          <w:lang w:eastAsia="x-none"/>
        </w:rPr>
      </w:pPr>
      <w:r>
        <w:rPr>
          <w:sz w:val="24"/>
          <w:szCs w:val="26"/>
          <w:lang w:eastAsia="x-none"/>
        </w:rPr>
      </w:r>
    </w:p>
    <w:p>
      <w:pPr>
        <w:pStyle w:val="Normal"/>
        <w:rPr>
          <w:lang w:eastAsia="x-none"/>
        </w:rPr>
      </w:pPr>
      <w:r>
        <w:rPr>
          <w:lang w:eastAsia="x-none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PT Sans">
    <w:charset w:val="01"/>
    <w:family w:val="swiss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Header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Header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 w:val="false"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792" w:hanging="79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122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"/>
      <w:lvlJc w:val="left"/>
      <w:pPr>
        <w:tabs>
          <w:tab w:val="num" w:pos="0"/>
        </w:tabs>
        <w:ind w:left="555" w:hanging="555"/>
      </w:pPr>
      <w:rPr/>
    </w:lvl>
    <w:lvl w:ilvl="1">
      <w:start w:val="4"/>
      <w:numFmt w:val="decimal"/>
      <w:lvlText w:val="%1.%2"/>
      <w:lvlJc w:val="left"/>
      <w:pPr>
        <w:tabs>
          <w:tab w:val="num" w:pos="0"/>
        </w:tabs>
        <w:ind w:left="555" w:hanging="555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color w:val="000000"/>
      </w:rPr>
    </w:lvl>
    <w:lvl w:ilvl="1">
      <w:start w:val="5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1" w:firstLine="567"/>
      </w:pPr>
      <w:rPr>
        <w:sz w:val="24"/>
        <w:b w:val="false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4"/>
      <w:numFmt w:val="decimal"/>
      <w:suff w:val="space"/>
      <w:lvlText w:val="%1.%2."/>
      <w:lvlJc w:val="left"/>
      <w:pPr>
        <w:tabs>
          <w:tab w:val="num" w:pos="0"/>
        </w:tabs>
        <w:ind w:left="0" w:firstLine="360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0" w:firstLine="567"/>
      </w:pPr>
      <w:rPr>
        <w:sz w:val="24"/>
        <w:b w:val="false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 w:val="false"/>
        <w:kern w:val="0"/>
        <w:effect w:val="none"/>
        <w:szCs w:val="24"/>
        <w:iCs w:val="false"/>
        <w:bCs w:val="false"/>
        <w:em w:val="none"/>
        <w:vanish w:val="false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792"/>
      </w:pPr>
      <w:rPr>
        <w:sz w:val="24"/>
        <w:i w:val="false"/>
        <w:b w:val="false"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b w:val="false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c7411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1"/>
      </w:num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0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8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basedOn w:val="DefaultParagraphFont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 Unicode MS"/>
    </w:rPr>
  </w:style>
  <w:style w:type="paragraph" w:styleId="Style16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7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8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19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styleId="Style20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/>
    </w:pPr>
    <w:rPr>
      <w:rFonts w:cs="Calibri" w:cstheme="minorHAnsi"/>
      <w:sz w:val="20"/>
      <w:szCs w:val="20"/>
    </w:rPr>
  </w:style>
  <w:style w:type="paragraph" w:styleId="Style21" w:customStyle="1">
    <w:name w:val="Раздел регламента"/>
    <w:basedOn w:val="Normal"/>
    <w:qFormat/>
    <w:rsid w:val="00e228fa"/>
    <w:pPr/>
    <w:rPr/>
  </w:style>
  <w:style w:type="paragraph" w:styleId="Style22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3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4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4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3" w:customStyle="1">
    <w:name w:val="List 3"/>
    <w:basedOn w:val="Normal"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bidi w:val="0"/>
      <w:spacing w:before="0" w:after="0"/>
      <w:jc w:val="left"/>
    </w:pPr>
    <w:rPr>
      <w:rFonts w:eastAsia="Calibri" w:ascii="Times New Roman" w:hAnsi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bidi w:val="0"/>
      <w:spacing w:before="0" w:after="0"/>
      <w:ind w:firstLine="720"/>
      <w:jc w:val="left"/>
    </w:pPr>
    <w:rPr>
      <w:rFonts w:ascii="Arial" w:hAnsi="Arial" w:cs="Arial" w:eastAsia="Times New Roman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5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6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7" w:customStyle="1">
    <w:name w:val="Таблица шапка"/>
    <w:basedOn w:val="Normal"/>
    <w:qFormat/>
    <w:rsid w:val="00f64089"/>
    <w:pPr>
      <w:keepNext w:val="true"/>
      <w:spacing w:before="40" w:after="40"/>
      <w:ind w:left="57" w:right="57"/>
    </w:pPr>
    <w:rPr>
      <w:sz w:val="22"/>
      <w:szCs w:val="26"/>
    </w:rPr>
  </w:style>
  <w:style w:type="paragraph" w:styleId="Style28" w:customStyle="1">
    <w:name w:val="Подподпункт"/>
    <w:basedOn w:val="Style20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29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0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1" w:customStyle="1">
    <w:name w:val="Таблица текст"/>
    <w:basedOn w:val="Normal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2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9F7E77-A932-4C34-9C46-8E2B01BE0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Application>AlterOffice/2026.2.0.0$Linux_X86_64 LibreOffice_project/bc4ef1adf80b36c7a6365f8ed6cbf29021361edd</Application>
  <AppVersion>15.0000</AppVersion>
  <Pages>5</Pages>
  <Words>808</Words>
  <Characters>5697</Characters>
  <CharactersWithSpaces>6339</CharactersWithSpaces>
  <Paragraphs>155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2026-10-02T04:52:00Z</dcterms:created>
  <dc:creator>Быстров Олег Геннадьевич</dc:creator>
  <dc:description/>
  <dc:language>ru-RU</dc:language>
  <cp:lastModifiedBy>oleinikovadv@corp.gidroogk.com</cp:lastModifiedBy>
  <cp:lastPrinted>2026-02-06T03:03:00Z</cp:lastPrinted>
  <dcterms:modified xsi:type="dcterms:W3CDTF">2026-10-05T13:04:32Z</dcterms:modified>
  <cp:revision>7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