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 №_______</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10200" w:leader="none"/>
        </w:tabs>
        <w:rPr>
          <w:bCs/>
          <w:sz w:val="24"/>
          <w:szCs w:val="24"/>
        </w:rPr>
      </w:pPr>
      <w:r>
        <w:rPr>
          <w:bCs/>
          <w:sz w:val="24"/>
          <w:szCs w:val="24"/>
        </w:rPr>
        <w:t>г. Хабаровск</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w:t>
      </w:r>
      <w:r>
        <w:rPr>
          <w:rFonts w:ascii="Times New Roman" w:hAnsi="Times New Roman"/>
          <w:b w:val="false"/>
          <w:color w:val="auto"/>
          <w:sz w:val="24"/>
          <w:szCs w:val="24"/>
          <w:lang w:val="ru-RU" w:eastAsia="en-US"/>
        </w:rPr>
        <w:t>определяются</w:t>
      </w:r>
      <w:r>
        <w:rPr>
          <w:rFonts w:ascii="Times New Roman" w:hAnsi="Times New Roman"/>
          <w:b w:val="false"/>
          <w:color w:val="auto"/>
          <w:sz w:val="24"/>
          <w:szCs w:val="24"/>
          <w:lang w:eastAsia="en-US"/>
        </w:rPr>
        <w:t xml:space="preserve">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ListParagraph"/>
        <w:numPr>
          <w:ilvl w:val="1"/>
          <w:numId w:val="2"/>
        </w:numPr>
        <w:shd w:val="clear" w:color="auto" w:fill="FFFFFF"/>
        <w:ind w:firstLine="709" w:left="0"/>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sz w:val="24"/>
          <w:szCs w:val="24"/>
          <w:lang w:eastAsia="x-none"/>
        </w:rPr>
        <w:t xml:space="preserve">расходные материалы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АО «СК РусГидро».</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осуществляется по адресу: 660049, г. Красноярск, ул. Перенсона, зд. 2а.</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Начало – «15» февраля 2027 г.;</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Окончание – «31» декабря 2027 г.</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Производство и/или приобретение Товара;</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рабочих дней </w:t>
      </w:r>
      <w:r>
        <w:rPr>
          <w:i/>
          <w:iCs/>
          <w:sz w:val="24"/>
          <w:szCs w:val="24"/>
          <w:highlight w:val="lightGray"/>
        </w:rPr>
        <w:t>(для не МСП)</w:t>
      </w:r>
      <w:r>
        <w:rPr>
          <w:sz w:val="24"/>
          <w:szCs w:val="24"/>
        </w:rPr>
        <w:t xml:space="preserve"> с даты подписания Сторонами 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highlight w:val="lightGray"/>
        </w:rPr>
      </w:pPr>
      <w:r>
        <w:rPr>
          <w:sz w:val="24"/>
          <w:szCs w:val="24"/>
          <w:highlight w:val="lightGray"/>
        </w:rPr>
        <w:t xml:space="preserve">Поставщик обязан представить Покупателю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УПД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pPr>
        <w:pStyle w:val="Normal"/>
        <w:shd w:val="clear" w:color="auto" w:fill="FFFFFF"/>
        <w:tabs>
          <w:tab w:val="clear" w:pos="708"/>
          <w:tab w:val="left" w:pos="567" w:leader="none"/>
          <w:tab w:val="left" w:pos="716" w:leader="none"/>
          <w:tab w:val="left" w:pos="1134" w:leader="none"/>
          <w:tab w:val="left" w:pos="1708" w:leader="none"/>
        </w:tabs>
        <w:ind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Покупатель в срок не позднее 15 (пятнадцати)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 xml:space="preserve">Поставщик в течение 1 (одного) календарного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ShubinVYu</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3">
        <w:r>
          <w:rPr>
            <w:rStyle w:val="Hyperlink"/>
            <w:sz w:val="24"/>
            <w:szCs w:val="24"/>
            <w:lang w:val="en-US"/>
          </w:rPr>
          <w:t>AntonovPE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4">
        <w:r>
          <w:rPr>
            <w:rStyle w:val="Hyperlink"/>
            <w:sz w:val="24"/>
            <w:szCs w:val="24"/>
            <w:lang w:val="en-US"/>
          </w:rPr>
          <w:t>BaevaVV</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5">
        <w:r>
          <w:rPr>
            <w:rStyle w:val="Hyperlink"/>
            <w:sz w:val="24"/>
            <w:szCs w:val="24"/>
            <w:lang w:val="en-US"/>
          </w:rPr>
          <w:t>BagryantsevEE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Покупатель не позднее 12 (двенадцати) календарных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технический паспорт на русском языке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инструкция по эксплуатации на русском языке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УПД в 1 (одном)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8"/>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и перемещение Товара (в том числе </w:t>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УПД.</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УПД.</w:t>
      </w:r>
    </w:p>
    <w:p>
      <w:pPr>
        <w:pStyle w:val="ListParagraph"/>
        <w:numPr>
          <w:ilvl w:val="1"/>
          <w:numId w:val="2"/>
        </w:numPr>
        <w:tabs>
          <w:tab w:val="clear" w:pos="708"/>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8"/>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rPr>
      </w:pPr>
      <w:r>
        <w:rPr>
          <w:b/>
          <w:sz w:val="24"/>
          <w:szCs w:val="24"/>
        </w:rPr>
        <w:t>Гарантийный срок</w:t>
      </w:r>
    </w:p>
    <w:p>
      <w:pPr>
        <w:pStyle w:val="ListParagraph"/>
        <w:numPr>
          <w:ilvl w:val="1"/>
          <w:numId w:val="2"/>
        </w:numPr>
        <w:tabs>
          <w:tab w:val="clear" w:pos="708"/>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Товара. </w:t>
      </w:r>
    </w:p>
    <w:p>
      <w:pPr>
        <w:pStyle w:val="Normal"/>
        <w:widowControl/>
        <w:shd w:val="clear" w:color="auto" w:fill="FFFFFF"/>
        <w:tabs>
          <w:tab w:val="clear" w:pos="708"/>
          <w:tab w:val="left" w:pos="1134" w:leader="none"/>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нарушения Контрагентом обязательств по поставке товара (нарушение срока поставки, недопоставки), в том числе, установленном в Заявке, Общество вправе потребовать уплаты Контрагентом неустойки в размере 0,1 (ноль целых и одна десятая) процента от цены Договора за каждый день просрочки.</w:t>
      </w:r>
    </w:p>
    <w:p>
      <w:pPr>
        <w:pStyle w:val="Normal"/>
        <w:numPr>
          <w:ilvl w:val="1"/>
          <w:numId w:val="2"/>
        </w:numPr>
        <w:tabs>
          <w:tab w:val="clear" w:pos="708"/>
          <w:tab w:val="left" w:pos="1276" w:leader="none"/>
        </w:tabs>
        <w:ind w:firstLine="709" w:left="0"/>
        <w:jc w:val="both"/>
        <w:rPr>
          <w:bCs/>
          <w:sz w:val="24"/>
          <w:szCs w:val="24"/>
        </w:rPr>
      </w:pPr>
      <w:r>
        <w:rPr>
          <w:bCs/>
          <w:sz w:val="24"/>
          <w:szCs w:val="24"/>
        </w:rPr>
        <w:t>В случае несвоевременного устранения Контрагентом выявленных недостатков товара, Общество вправе потребовать уплаты Контрагентом:</w:t>
      </w:r>
    </w:p>
    <w:p>
      <w:pPr>
        <w:pStyle w:val="Normal"/>
        <w:tabs>
          <w:tab w:val="clear" w:pos="708"/>
          <w:tab w:val="left" w:pos="1276" w:leader="none"/>
          <w:tab w:val="left" w:pos="1701" w:leader="none"/>
        </w:tabs>
        <w:ind w:firstLine="709"/>
        <w:jc w:val="both"/>
        <w:rPr>
          <w:bCs/>
          <w:sz w:val="24"/>
          <w:szCs w:val="24"/>
        </w:rPr>
      </w:pPr>
      <w:r>
        <w:rPr>
          <w:bCs/>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tabs>
          <w:tab w:val="clear" w:pos="708"/>
          <w:tab w:val="left" w:pos="1276" w:leader="none"/>
          <w:tab w:val="left" w:pos="1701" w:leader="none"/>
        </w:tabs>
        <w:ind w:firstLine="709"/>
        <w:jc w:val="both"/>
        <w:rPr>
          <w:bCs/>
          <w:sz w:val="24"/>
          <w:szCs w:val="24"/>
        </w:rPr>
      </w:pPr>
      <w:r>
        <w:rPr>
          <w:bCs/>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(если предусмотрен НДС)</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276" w:leader="none"/>
        </w:tabs>
        <w:ind w:firstLine="709" w:left="0"/>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Каналы связи Линия доверия Группы РусГидро:</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Электронная почта: </w:t>
      </w:r>
      <w:hyperlink r:id="rId6">
        <w:r>
          <w:rPr>
            <w:rStyle w:val="Hyperlink"/>
            <w:bCs/>
            <w:color w:val="auto"/>
            <w:sz w:val="24"/>
            <w:szCs w:val="24"/>
          </w:rPr>
          <w:t>ld@rushydro.ru</w:t>
        </w:r>
      </w:hyperlink>
      <w:r>
        <w:rPr>
          <w:bCs/>
          <w:sz w:val="24"/>
          <w:szCs w:val="24"/>
        </w:rPr>
        <w:t>.</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8"/>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Pr>
            <w:bCs/>
            <w:sz w:val="24"/>
            <w:szCs w:val="24"/>
          </w:rPr>
          <w:t>№ 18162/09</w:t>
        </w:r>
      </w:hyperlink>
      <w:r>
        <w:rPr>
          <w:bCs/>
          <w:sz w:val="24"/>
          <w:szCs w:val="24"/>
        </w:rPr>
        <w:t xml:space="preserve"> </w:t>
        <w:br/>
        <w:t xml:space="preserve">и от 25.05.2010 </w:t>
      </w:r>
      <w:hyperlink r:id="rId8">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и/или </w:t>
      </w:r>
    </w:p>
    <w:p>
      <w:pPr>
        <w:pStyle w:val="ListParagraph"/>
        <w:widowControl/>
        <w:numPr>
          <w:ilvl w:val="1"/>
          <w:numId w:val="12"/>
        </w:numPr>
        <w:shd w:val="clear" w:color="auto" w:fill="FFFFFF"/>
        <w:tabs>
          <w:tab w:val="clear" w:pos="708"/>
          <w:tab w:val="left" w:pos="1134" w:leader="none"/>
        </w:tabs>
        <w:ind w:firstLine="709" w:left="0"/>
        <w:jc w:val="both"/>
        <w:rPr>
          <w:bCs/>
          <w:sz w:val="24"/>
          <w:szCs w:val="24"/>
        </w:rPr>
      </w:pPr>
      <w:r>
        <w:rPr>
          <w:bCs/>
          <w:sz w:val="24"/>
          <w:szCs w:val="24"/>
        </w:rPr>
        <w:t xml:space="preserve">соответствующие </w:t>
      </w:r>
      <w:hyperlink r:id="rId9">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и/или нарушившим свои обязательства по Договору.</w:t>
      </w:r>
      <w:bookmarkEnd w:id="13"/>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firstLine="709" w:left="0"/>
        <w:jc w:val="both"/>
        <w:rPr>
          <w:sz w:val="24"/>
          <w:szCs w:val="24"/>
        </w:rPr>
      </w:pPr>
      <w:r>
        <w:rPr>
          <w:sz w:val="24"/>
          <w:szCs w:val="24"/>
        </w:rPr>
      </w:r>
    </w:p>
    <w:p>
      <w:pPr>
        <w:pStyle w:val="ListParagraph"/>
        <w:widowControl/>
        <w:shd w:val="clear" w:color="auto" w:fill="FFFFFF"/>
        <w:tabs>
          <w:tab w:val="clear" w:pos="708"/>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15 (пятнадцать)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15 (пятнадцать)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highlight w:val="lightGray"/>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 xml:space="preserve">Письма, счета-фактуры, акты об оказанных услугах, накладные, УПД, уведомления и/или сообщения направляются Стороне-получателю следующими способами: </w:t>
      </w:r>
    </w:p>
    <w:p>
      <w:pPr>
        <w:pStyle w:val="ListParagraph"/>
        <w:numPr>
          <w:ilvl w:val="2"/>
          <w:numId w:val="2"/>
        </w:numPr>
        <w:ind w:firstLine="709" w:left="0"/>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pPr>
        <w:pStyle w:val="ListParagraph"/>
        <w:numPr>
          <w:ilvl w:val="0"/>
          <w:numId w:val="14"/>
        </w:numPr>
        <w:tabs>
          <w:tab w:val="clear" w:pos="708"/>
          <w:tab w:val="left" w:pos="993" w:leader="none"/>
        </w:tabs>
        <w:ind w:firstLine="709" w:left="0"/>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4"/>
        </w:numPr>
        <w:tabs>
          <w:tab w:val="clear" w:pos="708"/>
          <w:tab w:val="left" w:pos="993" w:leader="none"/>
        </w:tabs>
        <w:ind w:firstLine="709" w:left="0"/>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pPr>
        <w:pStyle w:val="ListParagraph"/>
        <w:numPr>
          <w:ilvl w:val="2"/>
          <w:numId w:val="2"/>
        </w:numPr>
        <w:ind w:firstLine="709" w:left="0"/>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pPr>
        <w:pStyle w:val="ListParagraph"/>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highlight w:val="lightGray"/>
        </w:rPr>
      </w:pPr>
      <w:bookmarkStart w:id="19" w:name="_Hlk154477404"/>
      <w:bookmarkStart w:id="20"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путем его подписания УКЭП уполномоченных представителей Сторон</w:t>
      </w:r>
      <w:bookmarkEnd w:id="20"/>
      <w:r>
        <w:rPr>
          <w:sz w:val="24"/>
          <w:szCs w:val="24"/>
          <w:highlight w:val="lightGray"/>
        </w:rPr>
        <w:t>.</w:t>
      </w:r>
    </w:p>
    <w:p>
      <w:pPr>
        <w:pStyle w:val="ListParagraph"/>
        <w:widowControl/>
        <w:shd w:val="clear" w:color="auto" w:fill="FFFFFF"/>
        <w:tabs>
          <w:tab w:val="clear" w:pos="708"/>
          <w:tab w:val="left" w:pos="0" w:leader="none"/>
          <w:tab w:val="left" w:pos="1418" w:leader="none"/>
        </w:tabs>
        <w:ind w:firstLine="709" w:left="0"/>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19"/>
      <w:r>
        <w:rPr>
          <w:i/>
          <w:iCs/>
          <w:sz w:val="24"/>
          <w:szCs w:val="24"/>
          <w:highlight w:val="lightGray"/>
        </w:rPr>
        <w:t>)</w:t>
      </w:r>
    </w:p>
    <w:p>
      <w:pPr>
        <w:pStyle w:val="ListParagraph"/>
        <w:widowControl/>
        <w:shd w:val="clear" w:color="auto" w:fill="FFFFFF"/>
        <w:tabs>
          <w:tab w:val="clear" w:pos="708"/>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pPr>
        <w:pStyle w:val="Normal"/>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Normal"/>
        <w:rPr>
          <w:sz w:val="24"/>
          <w:szCs w:val="24"/>
        </w:rPr>
      </w:pPr>
      <w:r>
        <w:rPr>
          <w:sz w:val="24"/>
          <w:szCs w:val="24"/>
        </w:rPr>
      </w:r>
    </w:p>
    <w:tbl>
      <w:tblPr>
        <w:tblStyle w:val="affc"/>
        <w:tblW w:w="1019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7"/>
        <w:gridCol w:w="5097"/>
      </w:tblGrid>
      <w:tr>
        <w:trPr/>
        <w:tc>
          <w:tcPr>
            <w:tcW w:w="5097" w:type="dxa"/>
            <w:tcBorders>
              <w:top w:val="nil"/>
              <w:left w:val="nil"/>
              <w:bottom w:val="nil"/>
              <w:right w:val="nil"/>
            </w:tcBorders>
          </w:tcPr>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ПОКУПАТЕЛЬ:</w:t>
            </w:r>
          </w:p>
        </w:tc>
        <w:tc>
          <w:tcPr>
            <w:tcW w:w="5097" w:type="dxa"/>
            <w:tcBorders>
              <w:top w:val="nil"/>
              <w:left w:val="nil"/>
              <w:bottom w:val="nil"/>
              <w:right w:val="nil"/>
            </w:tcBorders>
          </w:tcPr>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ПОСТАВЩИК:</w:t>
            </w:r>
          </w:p>
        </w:tc>
      </w:tr>
      <w:tr>
        <w:trPr/>
        <w:tc>
          <w:tcPr>
            <w:tcW w:w="5097" w:type="dxa"/>
            <w:tcBorders>
              <w:top w:val="nil"/>
              <w:left w:val="nil"/>
              <w:bottom w:val="nil"/>
              <w:right w:val="nil"/>
            </w:tcBorders>
          </w:tcPr>
          <w:p>
            <w:pPr>
              <w:pStyle w:val="Normal"/>
              <w:tabs>
                <w:tab w:val="clear" w:pos="708"/>
                <w:tab w:val="left" w:pos="851" w:leader="none"/>
              </w:tabs>
              <w:suppressAutoHyphens w:val="true"/>
              <w:spacing w:before="0" w:after="0"/>
              <w:contextualSpacing/>
              <w:jc w:val="left"/>
              <w:rPr>
                <w:b/>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 xml:space="preserve">» </w:t>
            </w:r>
          </w:p>
          <w:p>
            <w:pPr>
              <w:pStyle w:val="Normal"/>
              <w:tabs>
                <w:tab w:val="clear" w:pos="708"/>
                <w:tab w:val="left" w:pos="851" w:leader="none"/>
              </w:tabs>
              <w:suppressAutoHyphens w:val="true"/>
              <w:spacing w:before="0" w:after="0"/>
              <w:contextualSpacing/>
              <w:jc w:val="both"/>
              <w:rPr>
                <w:b/>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Адрес (юридический/почтовый):  </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680000, Хабаровский край, г. Хабаровск, </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Филиал Банка ВТБ (ПАО) в г. Хабаровске </w:t>
            </w:r>
          </w:p>
          <w:p>
            <w:pPr>
              <w:pStyle w:val="Normal"/>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val="en-GB"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w:t>
            </w:r>
            <w:r>
              <w:rPr>
                <w:rFonts w:eastAsia="Times New Roman" w:cs="Times New Roman"/>
                <w:color w:val="000000"/>
                <w:kern w:val="0"/>
                <w:sz w:val="24"/>
                <w:szCs w:val="24"/>
                <w:lang w:val="en-US" w:eastAsia="ru-RU" w:bidi="ar-SA"/>
              </w:rPr>
              <w:t>u</w:t>
            </w:r>
          </w:p>
        </w:tc>
        <w:tc>
          <w:tcPr>
            <w:tcW w:w="5097" w:type="dxa"/>
            <w:tcBorders>
              <w:top w:val="nil"/>
              <w:left w:val="nil"/>
              <w:bottom w:val="nil"/>
              <w:right w:val="nil"/>
            </w:tcBorders>
          </w:tcPr>
          <w:p>
            <w:pPr>
              <w:pStyle w:val="Normal"/>
              <w:tabs>
                <w:tab w:val="clear" w:pos="708"/>
                <w:tab w:val="left" w:pos="5638" w:leader="none"/>
              </w:tabs>
              <w:suppressAutoHyphens w:val="true"/>
              <w:spacing w:before="0" w:after="0"/>
              <w:ind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tabs>
                <w:tab w:val="clear" w:pos="708"/>
                <w:tab w:val="left" w:pos="5638" w:leader="none"/>
              </w:tabs>
              <w:suppressAutoHyphens w:val="true"/>
              <w:spacing w:lineRule="auto" w:line="192" w:before="0" w:after="0"/>
              <w:ind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tabs>
                <w:tab w:val="clear" w:pos="708"/>
                <w:tab w:val="left" w:pos="5638" w:leader="none"/>
              </w:tabs>
              <w:suppressAutoHyphens w:val="true"/>
              <w:spacing w:before="0" w:after="0"/>
              <w:ind w:right="-22"/>
              <w:jc w:val="left"/>
              <w:rPr>
                <w:color w:val="000000"/>
                <w:spacing w:val="-2"/>
                <w:sz w:val="24"/>
                <w:szCs w:val="24"/>
              </w:rPr>
            </w:pPr>
            <w:r>
              <w:rPr>
                <w:rFonts w:eastAsia="Times New Roman" w:cs="Times New Roman"/>
                <w:color w:val="000000"/>
                <w:spacing w:val="-2"/>
                <w:kern w:val="0"/>
                <w:sz w:val="24"/>
                <w:szCs w:val="24"/>
                <w:lang w:val="ru-RU" w:eastAsia="ru-RU" w:bidi="ar-SA"/>
              </w:rPr>
              <w:t>Адрес (место нахождения):</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Почтовый адрес:</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р/с ___________________________</w:t>
            </w:r>
          </w:p>
          <w:p>
            <w:pPr>
              <w:pStyle w:val="Normal"/>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tabs>
                <w:tab w:val="clear" w:pos="708"/>
                <w:tab w:val="left" w:pos="5638" w:leader="none"/>
              </w:tabs>
              <w:suppressAutoHyphens w:val="true"/>
              <w:spacing w:lineRule="auto" w:line="192" w:before="0" w:after="0"/>
              <w:ind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К/с ___________________________</w:t>
            </w:r>
          </w:p>
          <w:p>
            <w:pPr>
              <w:pStyle w:val="Normal"/>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kern w:val="0"/>
                <w:sz w:val="20"/>
                <w:szCs w:val="20"/>
                <w:lang w:val="ru-RU" w:eastAsia="ru-RU" w:bidi="ar-SA"/>
              </w:rPr>
              <w:t>(номер телефона, адрес электронной почты)</w:t>
            </w:r>
          </w:p>
        </w:tc>
      </w:tr>
      <w:tr>
        <w:trPr/>
        <w:tc>
          <w:tcPr>
            <w:tcW w:w="5097" w:type="dxa"/>
            <w:tcBorders>
              <w:top w:val="nil"/>
              <w:left w:val="nil"/>
              <w:bottom w:val="nil"/>
              <w:right w:val="nil"/>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Заместитель генерального директора</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По управление ресурсами</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xml:space="preserve">__________________ / Н.Н. Клочков </w:t>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r>
          </w:p>
        </w:tc>
        <w:tc>
          <w:tcPr>
            <w:tcW w:w="5097" w:type="dxa"/>
            <w:tcBorders>
              <w:top w:val="nil"/>
              <w:left w:val="nil"/>
              <w:bottom w:val="nil"/>
              <w:right w:val="nil"/>
            </w:tcBorders>
          </w:tcPr>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_______________________________</w:t>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r>
          </w:p>
          <w:p>
            <w:pPr>
              <w:pStyle w:val="Normal"/>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 / _____________</w:t>
            </w:r>
          </w:p>
        </w:tc>
      </w:tr>
    </w:tbl>
    <w:p>
      <w:pPr>
        <w:pStyle w:val="Normal"/>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jc w:val="right"/>
        <w:rPr>
          <w:sz w:val="22"/>
          <w:szCs w:val="22"/>
        </w:rPr>
      </w:pPr>
      <w:r>
        <w:rPr>
          <w:sz w:val="22"/>
          <w:szCs w:val="22"/>
        </w:rPr>
        <w:t>Приложение № 1</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p>
      <w:pPr>
        <w:pStyle w:val="ListParagraph"/>
        <w:numPr>
          <w:ilvl w:val="0"/>
          <w:numId w:val="16"/>
        </w:numPr>
        <w:jc w:val="both"/>
        <w:rPr>
          <w:b/>
          <w:i/>
          <w:i/>
          <w:color w:val="FF0000"/>
          <w:sz w:val="24"/>
          <w:szCs w:val="24"/>
        </w:rPr>
      </w:pPr>
      <w:r>
        <w:rPr>
          <w:b/>
          <w:sz w:val="24"/>
          <w:szCs w:val="24"/>
        </w:rPr>
        <w:t xml:space="preserve">Перечень и объем закупаемой продукции: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p>
      <w:pPr>
        <w:pStyle w:val="Normal"/>
        <w:ind w:firstLine="709"/>
        <w:jc w:val="center"/>
        <w:rPr>
          <w:b/>
          <w:sz w:val="24"/>
          <w:szCs w:val="24"/>
        </w:rPr>
      </w:pPr>
      <w:r>
        <w:rPr>
          <w:b/>
          <w:sz w:val="24"/>
          <w:szCs w:val="24"/>
        </w:rPr>
      </w:r>
    </w:p>
    <w:tbl>
      <w:tblPr>
        <w:tblW w:w="5000" w:type="pct"/>
        <w:jc w:val="left"/>
        <w:tblInd w:w="-572" w:type="dxa"/>
        <w:tblLayout w:type="fixed"/>
        <w:tblCellMar>
          <w:top w:w="0" w:type="dxa"/>
          <w:left w:w="108" w:type="dxa"/>
          <w:bottom w:w="0" w:type="dxa"/>
          <w:right w:w="108" w:type="dxa"/>
        </w:tblCellMar>
        <w:tblLook w:val="04a0" w:noHBand="0" w:noVBand="1" w:firstColumn="1" w:lastRow="0" w:lastColumn="0" w:firstRow="1"/>
      </w:tblPr>
      <w:tblGrid>
        <w:gridCol w:w="633"/>
        <w:gridCol w:w="1515"/>
        <w:gridCol w:w="3760"/>
        <w:gridCol w:w="537"/>
        <w:gridCol w:w="806"/>
        <w:gridCol w:w="940"/>
        <w:gridCol w:w="940"/>
        <w:gridCol w:w="1072"/>
      </w:tblGrid>
      <w:tr>
        <w:trPr>
          <w:trHeight w:val="1703"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 xml:space="preserve">№ </w:t>
            </w:r>
            <w:r>
              <w:rPr>
                <w:sz w:val="24"/>
                <w:szCs w:val="24"/>
              </w:rPr>
              <w:t>п/п</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Наименование продукции</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Технические характеристики</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Страна происхождения товара</w:t>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Ед. изм.</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Кол-во</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НМЦ единицы продукции (руб. без НДС)</w:t>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Итоговая стоимость позиции (руб. без НДС)</w:t>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lang w:val="en-US"/>
              </w:rPr>
              <w:t>1</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highlight w:val="yellow"/>
              </w:rPr>
            </w:pPr>
            <w:r>
              <w:rPr>
                <w:sz w:val="24"/>
                <w:szCs w:val="24"/>
              </w:rPr>
              <w:t>Активная пена «Active Foam Gel +»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6 л</w:t>
            </w:r>
          </w:p>
          <w:p>
            <w:pPr>
              <w:pStyle w:val="Normal"/>
              <w:rPr>
                <w:sz w:val="24"/>
                <w:szCs w:val="24"/>
              </w:rPr>
            </w:pPr>
            <w:r>
              <w:rPr>
                <w:sz w:val="24"/>
                <w:szCs w:val="24"/>
              </w:rPr>
              <w:t>рН: не менее 12</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 пенокомплект, пеногенератор</w:t>
            </w:r>
          </w:p>
          <w:p>
            <w:pPr>
              <w:pStyle w:val="Normal"/>
              <w:rPr>
                <w:sz w:val="24"/>
                <w:szCs w:val="24"/>
                <w:highlight w:val="yellow"/>
              </w:rPr>
            </w:pPr>
            <w:r>
              <w:rPr>
                <w:sz w:val="24"/>
                <w:szCs w:val="24"/>
              </w:rPr>
              <w:t>Тип продукта: концентрат</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30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highlight w:val="yellow"/>
              </w:rPr>
            </w:pPr>
            <w:r>
              <w:rPr>
                <w:sz w:val="24"/>
                <w:szCs w:val="24"/>
              </w:rPr>
              <w:t>Автошампунь, активная пена «Active Foam Effect»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6 л</w:t>
            </w:r>
          </w:p>
          <w:p>
            <w:pPr>
              <w:pStyle w:val="Normal"/>
              <w:rPr>
                <w:sz w:val="24"/>
                <w:szCs w:val="24"/>
              </w:rPr>
            </w:pPr>
            <w:r>
              <w:rPr>
                <w:sz w:val="24"/>
                <w:szCs w:val="24"/>
              </w:rPr>
              <w:t>рН: не менее 11.8</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 пенокомплект, пеногенератор</w:t>
            </w:r>
          </w:p>
          <w:p>
            <w:pPr>
              <w:pStyle w:val="Normal"/>
              <w:rPr>
                <w:sz w:val="24"/>
                <w:szCs w:val="24"/>
              </w:rPr>
            </w:pPr>
            <w:r>
              <w:rPr>
                <w:sz w:val="24"/>
                <w:szCs w:val="24"/>
              </w:rPr>
              <w:t>Тип продукта: концентрат</w:t>
            </w:r>
          </w:p>
          <w:p>
            <w:pPr>
              <w:pStyle w:val="Normal"/>
              <w:rPr>
                <w:sz w:val="24"/>
                <w:szCs w:val="24"/>
                <w:highlight w:val="yellow"/>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30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Полироль чернитель шин «Black rubber» или эквивалент </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600 мл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Полироль чернитель шин «Black rubber»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5</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Полироль чернитель шин «Black rubber»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Объем: не менее 5 л </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p>
            <w:pPr>
              <w:pStyle w:val="Normal"/>
              <w:rPr>
                <w:sz w:val="24"/>
                <w:szCs w:val="24"/>
              </w:rPr>
            </w:pPr>
            <w:r>
              <w:rPr>
                <w:sz w:val="24"/>
                <w:szCs w:val="24"/>
              </w:rPr>
              <w:t>Состав: вода, силиконовые добавки, полирующий воск, эмульгаторы, ароматизатор.</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6</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Средство для очистки колесных дисков «Disk»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600 мл</w:t>
            </w:r>
          </w:p>
          <w:p>
            <w:pPr>
              <w:pStyle w:val="Normal"/>
              <w:rPr>
                <w:sz w:val="24"/>
                <w:szCs w:val="24"/>
              </w:rPr>
            </w:pPr>
            <w:r>
              <w:rPr>
                <w:sz w:val="24"/>
                <w:szCs w:val="24"/>
              </w:rPr>
              <w:t>рН: не менее 3</w:t>
            </w:r>
          </w:p>
          <w:p>
            <w:pPr>
              <w:pStyle w:val="Normal"/>
              <w:rPr>
                <w:sz w:val="24"/>
                <w:szCs w:val="24"/>
              </w:rPr>
            </w:pPr>
            <w:r>
              <w:rPr>
                <w:sz w:val="24"/>
                <w:szCs w:val="24"/>
              </w:rPr>
              <w:t>Водородный показатель: Кислотный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7</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Полироль-очиститель пластика матовый «Polyrole Matte» виноград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600 мл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8</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Средство для очистки колесных дисков «Disk»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5,9 л</w:t>
            </w:r>
          </w:p>
          <w:p>
            <w:pPr>
              <w:pStyle w:val="Normal"/>
              <w:rPr>
                <w:sz w:val="24"/>
                <w:szCs w:val="24"/>
              </w:rPr>
            </w:pPr>
            <w:r>
              <w:rPr>
                <w:sz w:val="24"/>
                <w:szCs w:val="24"/>
              </w:rPr>
              <w:t>рН: не менее 3</w:t>
            </w:r>
          </w:p>
          <w:p>
            <w:pPr>
              <w:pStyle w:val="Normal"/>
              <w:rPr>
                <w:sz w:val="24"/>
                <w:szCs w:val="24"/>
              </w:rPr>
            </w:pPr>
            <w:r>
              <w:rPr>
                <w:sz w:val="24"/>
                <w:szCs w:val="24"/>
              </w:rPr>
              <w:t>Водородный показатель: Кислотный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9</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Холодный воск «Cherry Wax»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10</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Холодный воск «Cherry Wax»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11</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Средство для удаления следов насекомых «Mosquitos Cleaner»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11</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12</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Холодный воск «Fast Wax»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13</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натуральной кожи «Leather Cleaner»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600 мл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14</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Очиститель-кондиционер кожи «Leather Cleaner»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15</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салона «Universal cleaner»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5,4 л</w:t>
            </w:r>
          </w:p>
          <w:p>
            <w:pPr>
              <w:pStyle w:val="Normal"/>
              <w:rPr>
                <w:sz w:val="24"/>
                <w:szCs w:val="24"/>
              </w:rPr>
            </w:pPr>
            <w:r>
              <w:rPr>
                <w:sz w:val="24"/>
                <w:szCs w:val="24"/>
              </w:rPr>
              <w:t>рН: не менее 11</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16</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двигателя «Motor Cleaner»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12</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17</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Кварцевое покрытие HW «Hydro Wet Coat»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4</w:t>
            </w:r>
          </w:p>
          <w:p>
            <w:pPr>
              <w:pStyle w:val="Normal"/>
              <w:rPr>
                <w:sz w:val="24"/>
                <w:szCs w:val="24"/>
              </w:rPr>
            </w:pPr>
            <w:r>
              <w:rPr>
                <w:sz w:val="24"/>
                <w:szCs w:val="24"/>
              </w:rPr>
              <w:t>Водородный показатель: Кислотный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Стойкость покрытия: не менее 10 моек</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p>
            <w:pPr>
              <w:pStyle w:val="Normal"/>
              <w:rPr>
                <w:sz w:val="24"/>
                <w:szCs w:val="24"/>
              </w:rPr>
            </w:pPr>
            <w:r>
              <w:rPr>
                <w:sz w:val="24"/>
                <w:szCs w:val="24"/>
              </w:rPr>
              <w:t>Эффект: глянцевый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18</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Универсальный очиститель TX «Textile»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19</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дисков IR «Iron»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20</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Универсальный очиститель UC «Ultra Clean» или эквивалент </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21</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Шампунь первая фаза US «Ultra Safe»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рН: не менее 11.5</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 пенокомплект, пеногенератор</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22</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Шампунь вторая фаза SP «Second Phase»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23</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Жидкий воск SW «Super Wax»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6</w:t>
            </w:r>
          </w:p>
          <w:p>
            <w:pPr>
              <w:pStyle w:val="Normal"/>
              <w:rPr>
                <w:sz w:val="24"/>
                <w:szCs w:val="24"/>
              </w:rPr>
            </w:pPr>
            <w:r>
              <w:rPr>
                <w:sz w:val="24"/>
                <w:szCs w:val="24"/>
              </w:rPr>
              <w:t>Водородный показатель: Кислотный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 пенокомплект</w:t>
            </w:r>
          </w:p>
          <w:p>
            <w:pPr>
              <w:pStyle w:val="Normal"/>
              <w:rPr>
                <w:sz w:val="24"/>
                <w:szCs w:val="24"/>
              </w:rPr>
            </w:pPr>
            <w:r>
              <w:rPr>
                <w:sz w:val="24"/>
                <w:szCs w:val="24"/>
              </w:rPr>
              <w:t>Стойкость покрытия: не менее 5 моек</w:t>
            </w:r>
          </w:p>
          <w:p>
            <w:pPr>
              <w:pStyle w:val="Normal"/>
              <w:rPr>
                <w:sz w:val="24"/>
                <w:szCs w:val="24"/>
              </w:rPr>
            </w:pPr>
            <w:r>
              <w:rPr>
                <w:sz w:val="24"/>
                <w:szCs w:val="24"/>
              </w:rPr>
              <w:t>Тип продукта: суперконцентрат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24</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Антибитум BT «Bitum»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Водородный показатель: растворитель</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Сфера применения: Кузов</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25</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Чернитель резины TR «Tire»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Сфера применения: Шины</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26</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Чернитель резины TR «Tire»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Водородный показатель: растворитель</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Сфера применения: Шины</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27</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lang w:val="en-US"/>
              </w:rPr>
            </w:pPr>
            <w:r>
              <w:rPr>
                <w:sz w:val="24"/>
                <w:szCs w:val="24"/>
              </w:rPr>
              <w:t>Очиститель</w:t>
            </w:r>
            <w:r>
              <w:rPr>
                <w:sz w:val="24"/>
                <w:szCs w:val="24"/>
                <w:lang w:val="en-US"/>
              </w:rPr>
              <w:t xml:space="preserve"> </w:t>
            </w:r>
            <w:r>
              <w:rPr>
                <w:sz w:val="24"/>
                <w:szCs w:val="24"/>
              </w:rPr>
              <w:t>резины</w:t>
            </w:r>
            <w:r>
              <w:rPr>
                <w:sz w:val="24"/>
                <w:szCs w:val="24"/>
                <w:lang w:val="en-US"/>
              </w:rPr>
              <w:t xml:space="preserve"> «Soft Cleaner» Adapted Series Detail </w:t>
            </w:r>
            <w:r>
              <w:rPr>
                <w:sz w:val="24"/>
                <w:szCs w:val="24"/>
              </w:rPr>
              <w:t>или</w:t>
            </w:r>
            <w:r>
              <w:rPr>
                <w:sz w:val="24"/>
                <w:szCs w:val="24"/>
                <w:lang w:val="en-US"/>
              </w:rPr>
              <w:t xml:space="preserve"> </w:t>
            </w:r>
            <w:r>
              <w:rPr>
                <w:sz w:val="24"/>
                <w:szCs w:val="24"/>
              </w:rPr>
              <w:t>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12</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Сфера применения: Шины</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28</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lang w:val="en-US"/>
              </w:rPr>
            </w:pPr>
            <w:r>
              <w:rPr>
                <w:sz w:val="24"/>
                <w:szCs w:val="24"/>
              </w:rPr>
              <w:t>Очиститель</w:t>
            </w:r>
            <w:r>
              <w:rPr>
                <w:sz w:val="24"/>
                <w:szCs w:val="24"/>
                <w:lang w:val="en-US"/>
              </w:rPr>
              <w:t xml:space="preserve"> </w:t>
            </w:r>
            <w:r>
              <w:rPr>
                <w:sz w:val="24"/>
                <w:szCs w:val="24"/>
              </w:rPr>
              <w:t>кожи</w:t>
            </w:r>
            <w:r>
              <w:rPr>
                <w:sz w:val="24"/>
                <w:szCs w:val="24"/>
                <w:lang w:val="en-US"/>
              </w:rPr>
              <w:t xml:space="preserve"> «Leather Clean» Adapted Series Detail </w:t>
            </w:r>
            <w:r>
              <w:rPr>
                <w:sz w:val="24"/>
                <w:szCs w:val="24"/>
              </w:rPr>
              <w:t>или</w:t>
            </w:r>
            <w:r>
              <w:rPr>
                <w:sz w:val="24"/>
                <w:szCs w:val="24"/>
                <w:lang w:val="en-US"/>
              </w:rPr>
              <w:t xml:space="preserve"> </w:t>
            </w:r>
            <w:r>
              <w:rPr>
                <w:sz w:val="24"/>
                <w:szCs w:val="24"/>
              </w:rPr>
              <w:t>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8</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29</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водных пятен KS «Ksilen»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3</w:t>
            </w:r>
          </w:p>
          <w:p>
            <w:pPr>
              <w:pStyle w:val="Normal"/>
              <w:rPr>
                <w:sz w:val="24"/>
                <w:szCs w:val="24"/>
              </w:rPr>
            </w:pPr>
            <w:r>
              <w:rPr>
                <w:sz w:val="24"/>
                <w:szCs w:val="24"/>
              </w:rPr>
              <w:t>Водородный показатель: Кислотный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30</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Автошампунь, активная пена «Active Foam Pink»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6 л</w:t>
            </w:r>
          </w:p>
          <w:p>
            <w:pPr>
              <w:pStyle w:val="Normal"/>
              <w:rPr>
                <w:sz w:val="24"/>
                <w:szCs w:val="24"/>
              </w:rPr>
            </w:pPr>
            <w:r>
              <w:rPr>
                <w:sz w:val="24"/>
                <w:szCs w:val="24"/>
              </w:rPr>
              <w:t>рН: не менее 12</w:t>
            </w:r>
          </w:p>
          <w:p>
            <w:pPr>
              <w:pStyle w:val="Normal"/>
              <w:rPr>
                <w:sz w:val="24"/>
                <w:szCs w:val="24"/>
              </w:rPr>
            </w:pPr>
            <w:r>
              <w:rPr>
                <w:sz w:val="24"/>
                <w:szCs w:val="24"/>
              </w:rPr>
              <w:t>Водородный показатель: Щелочной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 пенокомплект, пеногенератор</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31</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Восстановитель пластика «Restorer»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32</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Очиститель битумных пятен «Antibitum»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Отдушка: нет</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p>
            <w:pPr>
              <w:pStyle w:val="Normal"/>
              <w:rPr>
                <w:sz w:val="24"/>
                <w:szCs w:val="24"/>
              </w:rPr>
            </w:pPr>
            <w:r>
              <w:rPr>
                <w:sz w:val="24"/>
                <w:szCs w:val="24"/>
              </w:rPr>
              <w:t>Требует смывания: да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33</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Спрей для быстрого ухода за всеми типами поверхностей QD «Quick Detailer»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500 мл</w:t>
            </w:r>
          </w:p>
          <w:p>
            <w:pPr>
              <w:pStyle w:val="Normal"/>
              <w:rPr>
                <w:sz w:val="24"/>
                <w:szCs w:val="24"/>
              </w:rPr>
            </w:pPr>
            <w:r>
              <w:rPr>
                <w:sz w:val="24"/>
                <w:szCs w:val="24"/>
              </w:rPr>
              <w:t>рН: не менее 7</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 экстерьер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готов к применению</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34</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Полироль чернитель шин «Tire Polish»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более 1 л</w:t>
            </w:r>
          </w:p>
          <w:p>
            <w:pPr>
              <w:pStyle w:val="Normal"/>
              <w:rPr>
                <w:sz w:val="24"/>
                <w:szCs w:val="24"/>
              </w:rPr>
            </w:pPr>
            <w:r>
              <w:rPr>
                <w:sz w:val="24"/>
                <w:szCs w:val="24"/>
              </w:rPr>
              <w:t>рН: не менее 8</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Эффект: глянцевый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35</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Полироль-очиститель пластика матовый «Polyrole Matte» ваниль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Объем: не менее 5 л</w:t>
            </w:r>
          </w:p>
          <w:p>
            <w:pPr>
              <w:pStyle w:val="Normal"/>
              <w:rPr>
                <w:sz w:val="24"/>
                <w:szCs w:val="24"/>
              </w:rPr>
            </w:pPr>
            <w:r>
              <w:rPr>
                <w:sz w:val="24"/>
                <w:szCs w:val="24"/>
              </w:rPr>
              <w:t>рН: не менее 8</w:t>
            </w:r>
          </w:p>
          <w:p>
            <w:pPr>
              <w:pStyle w:val="Normal"/>
              <w:rPr>
                <w:sz w:val="24"/>
                <w:szCs w:val="24"/>
              </w:rPr>
            </w:pPr>
            <w:r>
              <w:rPr>
                <w:sz w:val="24"/>
                <w:szCs w:val="24"/>
              </w:rPr>
              <w:t>Водородный показатель: Нейтральный</w:t>
            </w:r>
          </w:p>
          <w:p>
            <w:pPr>
              <w:pStyle w:val="Normal"/>
              <w:rPr>
                <w:sz w:val="24"/>
                <w:szCs w:val="24"/>
              </w:rPr>
            </w:pPr>
            <w:r>
              <w:rPr>
                <w:sz w:val="24"/>
                <w:szCs w:val="24"/>
              </w:rPr>
              <w:t>Область применения: Интерьер</w:t>
            </w:r>
          </w:p>
          <w:p>
            <w:pPr>
              <w:pStyle w:val="Normal"/>
              <w:rPr>
                <w:sz w:val="24"/>
                <w:szCs w:val="24"/>
              </w:rPr>
            </w:pPr>
            <w:r>
              <w:rPr>
                <w:sz w:val="24"/>
                <w:szCs w:val="24"/>
              </w:rPr>
              <w:t>Отдушка: да</w:t>
            </w:r>
          </w:p>
          <w:p>
            <w:pPr>
              <w:pStyle w:val="Normal"/>
              <w:rPr>
                <w:sz w:val="24"/>
                <w:szCs w:val="24"/>
              </w:rPr>
            </w:pPr>
            <w:r>
              <w:rPr>
                <w:sz w:val="24"/>
                <w:szCs w:val="24"/>
              </w:rPr>
              <w:t>Способ нанесения: ручной</w:t>
            </w:r>
          </w:p>
          <w:p>
            <w:pPr>
              <w:pStyle w:val="Normal"/>
              <w:rPr>
                <w:sz w:val="24"/>
                <w:szCs w:val="24"/>
              </w:rPr>
            </w:pPr>
            <w:r>
              <w:rPr>
                <w:sz w:val="24"/>
                <w:szCs w:val="24"/>
              </w:rPr>
              <w:t>Тип продукта: концентрат</w:t>
            </w:r>
          </w:p>
          <w:p>
            <w:pPr>
              <w:pStyle w:val="Normal"/>
              <w:rPr>
                <w:sz w:val="24"/>
                <w:szCs w:val="24"/>
              </w:rPr>
            </w:pPr>
            <w:r>
              <w:rPr>
                <w:sz w:val="24"/>
                <w:szCs w:val="24"/>
              </w:rPr>
              <w:t>Требует смывания: нет</w:t>
            </w:r>
          </w:p>
          <w:p>
            <w:pPr>
              <w:pStyle w:val="Normal"/>
              <w:rPr>
                <w:sz w:val="24"/>
                <w:szCs w:val="24"/>
              </w:rPr>
            </w:pPr>
            <w:r>
              <w:rPr>
                <w:sz w:val="24"/>
                <w:szCs w:val="24"/>
              </w:rPr>
              <w:t>Эффект: матовый</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36</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Протирочный материал</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Область применения: интерьер, экстерьер</w:t>
            </w:r>
          </w:p>
          <w:p>
            <w:pPr>
              <w:pStyle w:val="Normal"/>
              <w:rPr>
                <w:sz w:val="24"/>
                <w:szCs w:val="24"/>
              </w:rPr>
            </w:pPr>
            <w:r>
              <w:rPr>
                <w:sz w:val="24"/>
                <w:szCs w:val="24"/>
              </w:rPr>
              <w:t>Плотность: не менее 20 г/м2</w:t>
            </w:r>
          </w:p>
          <w:p>
            <w:pPr>
              <w:pStyle w:val="Normal"/>
              <w:rPr>
                <w:sz w:val="24"/>
                <w:szCs w:val="24"/>
              </w:rPr>
            </w:pPr>
            <w:r>
              <w:rPr>
                <w:sz w:val="24"/>
                <w:szCs w:val="24"/>
              </w:rPr>
              <w:t>Кол-во слоёв: не менее 2</w:t>
            </w:r>
          </w:p>
          <w:p>
            <w:pPr>
              <w:pStyle w:val="Normal"/>
              <w:rPr>
                <w:sz w:val="24"/>
                <w:szCs w:val="24"/>
              </w:rPr>
            </w:pPr>
            <w:r>
              <w:rPr>
                <w:sz w:val="24"/>
                <w:szCs w:val="24"/>
              </w:rPr>
              <w:t>Кол-во отрывов: не менее 900</w:t>
            </w:r>
          </w:p>
          <w:p>
            <w:pPr>
              <w:pStyle w:val="Normal"/>
              <w:rPr>
                <w:sz w:val="24"/>
                <w:szCs w:val="24"/>
              </w:rPr>
            </w:pPr>
            <w:r>
              <w:rPr>
                <w:sz w:val="24"/>
                <w:szCs w:val="24"/>
              </w:rPr>
              <w:t>Размер: не менее 24х35 см</w:t>
            </w:r>
          </w:p>
          <w:p>
            <w:pPr>
              <w:pStyle w:val="Normal"/>
              <w:rPr>
                <w:sz w:val="24"/>
                <w:szCs w:val="24"/>
              </w:rPr>
            </w:pPr>
            <w:r>
              <w:rPr>
                <w:sz w:val="24"/>
                <w:szCs w:val="24"/>
              </w:rPr>
              <w:t>Вес: не более 3 кг</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30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37</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Салфетка замша Алькантара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Размер, см: не менее 45х54см</w:t>
            </w:r>
          </w:p>
          <w:p>
            <w:pPr>
              <w:pStyle w:val="Normal"/>
              <w:rPr>
                <w:sz w:val="24"/>
                <w:szCs w:val="24"/>
              </w:rPr>
            </w:pPr>
            <w:r>
              <w:rPr>
                <w:sz w:val="24"/>
                <w:szCs w:val="24"/>
              </w:rPr>
              <w:t>Область применения: Экстерьер</w:t>
            </w:r>
          </w:p>
          <w:p>
            <w:pPr>
              <w:pStyle w:val="Normal"/>
              <w:rPr>
                <w:sz w:val="24"/>
                <w:szCs w:val="24"/>
              </w:rPr>
            </w:pPr>
            <w:r>
              <w:rPr>
                <w:sz w:val="24"/>
                <w:szCs w:val="24"/>
              </w:rPr>
              <w:t>Плотность: не менее 300 г/м2</w:t>
            </w:r>
          </w:p>
          <w:p>
            <w:pPr>
              <w:pStyle w:val="Normal"/>
              <w:rPr>
                <w:sz w:val="24"/>
                <w:szCs w:val="24"/>
              </w:rPr>
            </w:pPr>
            <w:r>
              <w:rPr>
                <w:sz w:val="24"/>
                <w:szCs w:val="24"/>
              </w:rPr>
              <w:t>Состав: не менее 100% Полиамид</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30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38</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Салфетка в тубе </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Область применения: Экстерьер</w:t>
            </w:r>
          </w:p>
          <w:p>
            <w:pPr>
              <w:pStyle w:val="Normal"/>
              <w:rPr>
                <w:sz w:val="24"/>
                <w:szCs w:val="24"/>
              </w:rPr>
            </w:pPr>
            <w:r>
              <w:rPr>
                <w:sz w:val="24"/>
                <w:szCs w:val="24"/>
              </w:rPr>
              <w:t>Размер, см: не менее 43*32</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30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39</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Губка пенополиуретан </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Плотность: не менее 30 кг/ м3</w:t>
            </w:r>
          </w:p>
          <w:p>
            <w:pPr>
              <w:pStyle w:val="Normal"/>
              <w:rPr>
                <w:sz w:val="24"/>
                <w:szCs w:val="24"/>
              </w:rPr>
            </w:pPr>
            <w:r>
              <w:rPr>
                <w:sz w:val="24"/>
                <w:szCs w:val="24"/>
              </w:rPr>
              <w:t>Сфера применения: Кузов</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100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40</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Губка черная химостойкая </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Плотность: не менее 22 кг/м3</w:t>
            </w:r>
          </w:p>
          <w:p>
            <w:pPr>
              <w:pStyle w:val="Normal"/>
              <w:rPr>
                <w:sz w:val="24"/>
                <w:szCs w:val="24"/>
              </w:rPr>
            </w:pPr>
            <w:r>
              <w:rPr>
                <w:sz w:val="24"/>
                <w:szCs w:val="24"/>
              </w:rPr>
              <w:t>Сфера применения: Шины</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150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41</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Набор для очистки кожи LK "Leather Kit"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Комплектация:</w:t>
            </w:r>
          </w:p>
          <w:p>
            <w:pPr>
              <w:pStyle w:val="Normal"/>
              <w:rPr>
                <w:sz w:val="24"/>
                <w:szCs w:val="24"/>
              </w:rPr>
            </w:pPr>
            <w:r>
              <w:rPr>
                <w:sz w:val="24"/>
                <w:szCs w:val="24"/>
              </w:rPr>
              <w:t>- Крем для защиты кожи в салоне автомобиля – не более 500 мл;</w:t>
            </w:r>
          </w:p>
          <w:p>
            <w:pPr>
              <w:pStyle w:val="Normal"/>
              <w:rPr>
                <w:sz w:val="24"/>
                <w:szCs w:val="24"/>
              </w:rPr>
            </w:pPr>
            <w:r>
              <w:rPr>
                <w:sz w:val="24"/>
                <w:szCs w:val="24"/>
              </w:rPr>
              <w:t>- Чистящее средство для кожи в салоне автомобиля – не более 500 мл;</w:t>
            </w:r>
          </w:p>
          <w:p>
            <w:pPr>
              <w:pStyle w:val="Normal"/>
              <w:rPr>
                <w:sz w:val="24"/>
                <w:szCs w:val="24"/>
              </w:rPr>
            </w:pPr>
            <w:r>
              <w:rPr>
                <w:sz w:val="24"/>
                <w:szCs w:val="24"/>
              </w:rPr>
              <w:t>- Мягкая губка для нанесения крема – не более 1 шт;</w:t>
            </w:r>
          </w:p>
          <w:p>
            <w:pPr>
              <w:pStyle w:val="Normal"/>
              <w:rPr>
                <w:sz w:val="24"/>
                <w:szCs w:val="24"/>
              </w:rPr>
            </w:pPr>
            <w:r>
              <w:rPr>
                <w:sz w:val="24"/>
                <w:szCs w:val="24"/>
              </w:rPr>
              <w:t xml:space="preserve">- Щетка для интерьера автомобиля – не менее 1 шт; </w:t>
            </w:r>
          </w:p>
          <w:p>
            <w:pPr>
              <w:pStyle w:val="Normal"/>
              <w:rPr>
                <w:sz w:val="24"/>
                <w:szCs w:val="24"/>
              </w:rPr>
            </w:pPr>
            <w:r>
              <w:rPr>
                <w:sz w:val="24"/>
                <w:szCs w:val="24"/>
              </w:rPr>
              <w:t>- Пенообразователь – не менее 1 шт;</w:t>
            </w:r>
          </w:p>
          <w:p>
            <w:pPr>
              <w:pStyle w:val="Normal"/>
              <w:rPr>
                <w:sz w:val="24"/>
                <w:szCs w:val="24"/>
              </w:rPr>
            </w:pPr>
            <w:r>
              <w:rPr>
                <w:sz w:val="24"/>
                <w:szCs w:val="24"/>
              </w:rPr>
              <w:t>- Набор нитриловых перчаток – не менее 1 шт.</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упак</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42</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Микрофибровое полотенце для сушки кузова ED "Extra Dry"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Размер полотенца, см: не менее 50х60</w:t>
            </w:r>
          </w:p>
          <w:p>
            <w:pPr>
              <w:pStyle w:val="Normal"/>
              <w:rPr>
                <w:sz w:val="24"/>
                <w:szCs w:val="24"/>
              </w:rPr>
            </w:pPr>
            <w:r>
              <w:rPr>
                <w:sz w:val="24"/>
                <w:szCs w:val="24"/>
              </w:rPr>
              <w:t>Плотность: не менее 550 г/м2.</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40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43</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Набор микрофибровых полотенец MS "Microfiber Set"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 xml:space="preserve">Плотность полотенца: не менее 360 г/м2. </w:t>
            </w:r>
          </w:p>
          <w:p>
            <w:pPr>
              <w:pStyle w:val="Normal"/>
              <w:rPr>
                <w:sz w:val="24"/>
                <w:szCs w:val="24"/>
              </w:rPr>
            </w:pPr>
            <w:r>
              <w:rPr>
                <w:sz w:val="24"/>
                <w:szCs w:val="24"/>
              </w:rPr>
              <w:t>Размер полотенца, см: не менее 35х35</w:t>
            </w:r>
          </w:p>
          <w:p>
            <w:pPr>
              <w:pStyle w:val="Normal"/>
              <w:rPr>
                <w:sz w:val="24"/>
                <w:szCs w:val="24"/>
              </w:rPr>
            </w:pPr>
            <w:r>
              <w:rPr>
                <w:sz w:val="24"/>
                <w:szCs w:val="24"/>
              </w:rPr>
              <w:t>Состав: не менее 80% полиэстер, не более 20% полиамид.</w:t>
            </w:r>
          </w:p>
          <w:p>
            <w:pPr>
              <w:pStyle w:val="Normal"/>
              <w:rPr>
                <w:sz w:val="24"/>
                <w:szCs w:val="24"/>
              </w:rPr>
            </w:pPr>
            <w:r>
              <w:rPr>
                <w:sz w:val="24"/>
                <w:szCs w:val="24"/>
              </w:rPr>
              <w:t>Кол-во полотенец в упаковке, шт: не менее 9</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упак</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5</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sz w:val="24"/>
                <w:szCs w:val="24"/>
              </w:rPr>
              <w:t>44</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Варежка для деликатной мойки WM "Wash Mitt"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Материал: микрофибра (не менее 30% полиамид, не более 70% полиэстер)</w:t>
            </w:r>
          </w:p>
          <w:p>
            <w:pPr>
              <w:pStyle w:val="Normal"/>
              <w:rPr>
                <w:sz w:val="24"/>
                <w:szCs w:val="24"/>
              </w:rPr>
            </w:pPr>
            <w:r>
              <w:rPr>
                <w:sz w:val="24"/>
                <w:szCs w:val="24"/>
              </w:rPr>
              <w:t xml:space="preserve">Цвет: чёрно-белый. </w:t>
            </w:r>
          </w:p>
          <w:p>
            <w:pPr>
              <w:pStyle w:val="Normal"/>
              <w:rPr>
                <w:sz w:val="24"/>
                <w:szCs w:val="24"/>
              </w:rPr>
            </w:pPr>
            <w:r>
              <w:rPr>
                <w:sz w:val="24"/>
                <w:szCs w:val="24"/>
              </w:rPr>
              <w:t>Вес: не более 110 г</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20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45</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Комплект пластиковых кистей с натуральным ворсом</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Назначение: очистка поверхностей в труднодоступных местах — часто используют в детейлинге (уходе за автомобилем).</w:t>
            </w:r>
          </w:p>
          <w:p>
            <w:pPr>
              <w:pStyle w:val="Normal"/>
              <w:rPr>
                <w:sz w:val="24"/>
                <w:szCs w:val="24"/>
              </w:rPr>
            </w:pPr>
            <w:r>
              <w:rPr>
                <w:sz w:val="24"/>
                <w:szCs w:val="24"/>
              </w:rPr>
              <w:t>Кол-во кистей в наборе: не менее 5</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упак</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46</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Микрофибровая салфетка для располировки жирных составов FW "Finish Wipe"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Размер полотенца: не менее 40х40 см. Плотность: не менее 600 г/м2.</w:t>
            </w:r>
          </w:p>
          <w:p>
            <w:pPr>
              <w:pStyle w:val="Normal"/>
              <w:rPr>
                <w:sz w:val="24"/>
                <w:szCs w:val="24"/>
              </w:rPr>
            </w:pPr>
            <w:r>
              <w:rPr>
                <w:sz w:val="24"/>
                <w:szCs w:val="24"/>
              </w:rPr>
              <w:t>Состав: не менее 80% полиэстер, не более 20% полиамид.</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50</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r>
        <w:trPr>
          <w:trHeight w:val="556" w:hRule="atLeast"/>
        </w:trPr>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rPr>
            </w:pPr>
            <w:r>
              <w:rPr>
                <w:color w:val="000000"/>
                <w:sz w:val="24"/>
                <w:szCs w:val="24"/>
              </w:rPr>
              <w:t>47</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Аппликатор для чернения резины Detail или эквивалент</w:t>
            </w:r>
          </w:p>
        </w:tc>
        <w:tc>
          <w:tcPr>
            <w:tcW w:w="3760" w:type="dxa"/>
            <w:tcBorders>
              <w:top w:val="single" w:sz="4" w:space="0" w:color="000000"/>
              <w:left w:val="single" w:sz="4" w:space="0" w:color="000000"/>
              <w:bottom w:val="single" w:sz="4" w:space="0" w:color="000000"/>
              <w:right w:val="single" w:sz="4" w:space="0" w:color="000000"/>
            </w:tcBorders>
            <w:vAlign w:val="center"/>
          </w:tcPr>
          <w:p>
            <w:pPr>
              <w:pStyle w:val="Normal"/>
              <w:rPr>
                <w:sz w:val="24"/>
                <w:szCs w:val="24"/>
              </w:rPr>
            </w:pPr>
            <w:r>
              <w:rPr>
                <w:sz w:val="24"/>
                <w:szCs w:val="24"/>
              </w:rPr>
              <w:t>Химстойкий аппликатор для чернения резины Detail предназначен для нанесения консервантов на покрышки колес. Форма аппликатора гарантирует чистоту рук в процессе работы, а структура позволяет уменьшить расход состава.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color w:val="000000"/>
                <w:sz w:val="24"/>
                <w:szCs w:val="24"/>
              </w:rPr>
              <w:t>шт</w:t>
            </w:r>
          </w:p>
        </w:tc>
        <w:tc>
          <w:tcPr>
            <w:tcW w:w="940" w:type="dxa"/>
            <w:tcBorders>
              <w:left w:val="single" w:sz="4" w:space="0" w:color="000000"/>
              <w:bottom w:val="single" w:sz="4" w:space="0" w:color="000000"/>
              <w:right w:val="single" w:sz="4" w:space="0" w:color="000000"/>
            </w:tcBorders>
            <w:shd w:color="auto" w:fill="auto" w:val="clear"/>
            <w:vAlign w:val="center"/>
          </w:tcPr>
          <w:p>
            <w:pPr>
              <w:pStyle w:val="Normal"/>
              <w:jc w:val="center"/>
              <w:rPr>
                <w:sz w:val="24"/>
                <w:szCs w:val="24"/>
                <w:highlight w:val="yellow"/>
              </w:rPr>
            </w:pPr>
            <w:r>
              <w:rPr>
                <w:color w:val="000000"/>
                <w:sz w:val="24"/>
                <w:szCs w:val="24"/>
              </w:rPr>
              <w:t>12</w:t>
            </w:r>
          </w:p>
        </w:tc>
        <w:tc>
          <w:tcPr>
            <w:tcW w:w="9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c>
          <w:tcPr>
            <w:tcW w:w="10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4"/>
                <w:szCs w:val="24"/>
                <w:highlight w:val="yellow"/>
              </w:rPr>
            </w:pPr>
            <w:r>
              <w:rPr>
                <w:sz w:val="24"/>
                <w:szCs w:val="24"/>
                <w:highlight w:val="yellow"/>
              </w:rPr>
            </w:r>
          </w:p>
        </w:tc>
      </w:tr>
    </w:tbl>
    <w:p>
      <w:pPr>
        <w:pStyle w:val="Normal"/>
        <w:ind w:firstLine="709"/>
        <w:jc w:val="both"/>
        <w:rPr>
          <w:rFonts w:eastAsia="Calibri"/>
          <w:b/>
          <w:bCs/>
          <w:i/>
          <w:i/>
          <w:iCs/>
          <w:szCs w:val="22"/>
        </w:rPr>
      </w:pPr>
      <w:r>
        <w:rPr>
          <w:rFonts w:eastAsia="Calibri"/>
          <w:b/>
          <w:bCs/>
          <w:i/>
          <w:iCs/>
          <w:szCs w:val="22"/>
        </w:rPr>
        <w:t>* Информация о количестве и объеме продукции, которое указано в Спецификации,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 Сумма поставленного товара не может превышать предельную стоимость настоящего Договора. Заказчик вправе, по согласованию с Поставщиком, заказать Товар, не вошедший в Спецификацию, аналогичной номенклатурной группы.</w:t>
      </w:r>
    </w:p>
    <w:p>
      <w:pPr>
        <w:pStyle w:val="Normal"/>
        <w:spacing w:lineRule="auto" w:line="300"/>
        <w:rPr>
          <w:sz w:val="24"/>
          <w:szCs w:val="24"/>
        </w:rPr>
      </w:pPr>
      <w:r>
        <w:rPr>
          <w:sz w:val="24"/>
          <w:szCs w:val="24"/>
        </w:rPr>
      </w:r>
    </w:p>
    <w:p>
      <w:pPr>
        <w:pStyle w:val="ListParagraph"/>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pPr>
        <w:pStyle w:val="ListParagraph"/>
        <w:tabs>
          <w:tab w:val="clear" w:pos="708"/>
          <w:tab w:val="left" w:pos="426" w:leader="none"/>
        </w:tabs>
        <w:jc w:val="both"/>
        <w:rPr>
          <w:rFonts w:eastAsia="Calibri"/>
          <w:sz w:val="24"/>
          <w:szCs w:val="24"/>
          <w:lang w:eastAsia="x-none"/>
        </w:rPr>
      </w:pPr>
      <w:r>
        <w:rPr>
          <w:rFonts w:eastAsia="Calibri"/>
          <w:sz w:val="24"/>
          <w:szCs w:val="24"/>
          <w:lang w:eastAsia="x-none"/>
        </w:rPr>
      </w:r>
    </w:p>
    <w:p>
      <w:pPr>
        <w:pStyle w:val="Normal"/>
        <w:tabs>
          <w:tab w:val="clear" w:pos="708"/>
          <w:tab w:val="left" w:pos="426" w:leader="none"/>
        </w:tabs>
        <w:ind w:firstLine="425"/>
        <w:jc w:val="both"/>
        <w:rPr>
          <w:rFonts w:eastAsia="Calibri"/>
          <w:sz w:val="24"/>
          <w:szCs w:val="24"/>
          <w:lang w:eastAsia="x-none"/>
        </w:rPr>
      </w:pPr>
      <w:r>
        <w:rPr>
          <w:rFonts w:eastAsia="Calibri"/>
          <w:sz w:val="24"/>
          <w:szCs w:val="24"/>
          <w:lang w:eastAsia="x-none"/>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tabs>
          <w:tab w:val="clear" w:pos="708"/>
          <w:tab w:val="left" w:pos="426" w:leader="none"/>
        </w:tabs>
        <w:ind w:firstLine="425"/>
        <w:jc w:val="both"/>
        <w:rPr>
          <w:rFonts w:eastAsia="Calibri"/>
          <w:sz w:val="24"/>
          <w:szCs w:val="24"/>
          <w:lang w:eastAsia="x-none"/>
        </w:rPr>
      </w:pPr>
      <w:r>
        <w:rPr>
          <w:rFonts w:eastAsia="Calibri"/>
          <w:sz w:val="24"/>
          <w:szCs w:val="24"/>
          <w:lang w:eastAsia="x-none"/>
        </w:rPr>
        <w:t xml:space="preserve">Право собственности на товар, риск случайной гибели, порчи или утраты товара до передачи его Заказчику принадлежит Поставщику. </w:t>
      </w:r>
    </w:p>
    <w:p>
      <w:pPr>
        <w:pStyle w:val="Normal"/>
        <w:tabs>
          <w:tab w:val="clear" w:pos="708"/>
          <w:tab w:val="left" w:pos="426" w:leader="none"/>
        </w:tabs>
        <w:ind w:firstLine="425"/>
        <w:jc w:val="both"/>
        <w:rPr>
          <w:rFonts w:eastAsia="Calibri"/>
          <w:sz w:val="24"/>
          <w:szCs w:val="24"/>
          <w:lang w:eastAsia="x-none"/>
        </w:rPr>
      </w:pPr>
      <w:r>
        <w:rPr>
          <w:rFonts w:eastAsia="Calibri"/>
          <w:sz w:val="24"/>
          <w:szCs w:val="24"/>
          <w:lang w:eastAsia="x-none"/>
        </w:rPr>
        <w:t>Поставка осуществляется партиями в соответствии с заявкой Заказчика в течение всего срока действия договора.</w:t>
      </w:r>
    </w:p>
    <w:p>
      <w:pPr>
        <w:pStyle w:val="Normal"/>
        <w:widowControl/>
        <w:rPr>
          <w:b/>
          <w:bCs/>
          <w:sz w:val="28"/>
          <w:szCs w:val="28"/>
        </w:rPr>
      </w:pPr>
      <w:r>
        <w:rPr>
          <w:b/>
          <w:bCs/>
          <w:sz w:val="28"/>
          <w:szCs w:val="28"/>
        </w:rPr>
      </w:r>
    </w:p>
    <w:p>
      <w:pPr>
        <w:pStyle w:val="ListParagraph"/>
        <w:widowControl/>
        <w:numPr>
          <w:ilvl w:val="0"/>
          <w:numId w:val="16"/>
        </w:numPr>
        <w:rPr>
          <w:b/>
          <w:bCs/>
          <w:sz w:val="24"/>
          <w:szCs w:val="24"/>
        </w:rPr>
      </w:pPr>
      <w:r>
        <w:rPr>
          <w:b/>
          <w:bCs/>
          <w:sz w:val="24"/>
          <w:szCs w:val="24"/>
        </w:rPr>
        <w:t>Требования к техническим и функциональным характеристикам (включая гарантируемые показатели)</w:t>
      </w:r>
    </w:p>
    <w:p>
      <w:pPr>
        <w:pStyle w:val="Normal"/>
        <w:widowControl/>
        <w:rPr>
          <w:b/>
          <w:bCs/>
          <w:sz w:val="28"/>
          <w:szCs w:val="28"/>
        </w:rPr>
      </w:pPr>
      <w:r>
        <w:rPr>
          <w:b/>
          <w:bCs/>
          <w:sz w:val="28"/>
          <w:szCs w:val="28"/>
        </w:rPr>
      </w:r>
    </w:p>
    <w:p>
      <w:pPr>
        <w:pStyle w:val="Normal"/>
        <w:ind w:firstLine="709"/>
        <w:jc w:val="both"/>
        <w:rPr>
          <w:sz w:val="24"/>
          <w:szCs w:val="24"/>
        </w:rPr>
      </w:pPr>
      <w:r>
        <w:rPr>
          <w:sz w:val="24"/>
          <w:szCs w:val="24"/>
        </w:rPr>
        <w:t>Качество товара должно соответствовать требованиям действующих ГОСТ для соответствующей продукции. Качество товара подтверждается сертификатами соответствия, нормативной и технической документацией на данный вид продукции. Товар должен сопровождаться документами, обязательными для данного вида товара, подтверждающими его качество и безопасность и оформленными в соответствии с действующим законодательством Российской Федерации.</w:t>
      </w:r>
    </w:p>
    <w:p>
      <w:pPr>
        <w:pStyle w:val="Normal"/>
        <w:ind w:firstLine="709"/>
        <w:jc w:val="both"/>
        <w:rPr>
          <w:sz w:val="24"/>
          <w:szCs w:val="24"/>
        </w:rPr>
      </w:pPr>
      <w:r>
        <w:rPr>
          <w:sz w:val="24"/>
          <w:szCs w:val="24"/>
        </w:rPr>
        <w:t>В случае, если товар иностранного происхождения, соответствующий товар должен быть изготовлен в соответствии с требованиями международных стандартов, действующих на территории Российской Федерации.</w:t>
      </w:r>
    </w:p>
    <w:p>
      <w:pPr>
        <w:pStyle w:val="Normal"/>
        <w:ind w:firstLine="709"/>
        <w:jc w:val="both"/>
        <w:rPr>
          <w:sz w:val="24"/>
          <w:szCs w:val="24"/>
        </w:rPr>
      </w:pPr>
      <w:r>
        <w:rPr>
          <w:sz w:val="24"/>
          <w:szCs w:val="24"/>
        </w:rPr>
        <w:t>Качество товара, его функциональные характеристики (потребительские свойства), установленные на него гарантийные сроки и сроки годности должны подтверждаться соответствующими документами, в том числе от производителей, оформление которых предусмотрено законодательством Российской Федерации для данного вида товара (сертификаты и/или декларации о соответствии, паспорта на изделия, санитарно-эпидемиологические заключения, инструкции и руководства о товаре и т.д.).</w:t>
      </w:r>
    </w:p>
    <w:p>
      <w:pPr>
        <w:pStyle w:val="Normal"/>
        <w:ind w:firstLine="709"/>
        <w:jc w:val="both"/>
        <w:rPr>
          <w:sz w:val="24"/>
          <w:szCs w:val="24"/>
        </w:rPr>
      </w:pPr>
      <w:r>
        <w:rPr>
          <w:sz w:val="24"/>
          <w:szCs w:val="24"/>
        </w:rPr>
        <w:t>Товар должен поставляться в оригинальной заводской упаковке, которая не должна иметь видимых признаков повреждения. Упаковка товара должна исключать возможность порчи или уничтожение товара во время транспортировки и хранения.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 наименование и количество находящегося в упаковке товара, особенности складирования и условия хранения товара, если таковые имеются.</w:t>
      </w:r>
    </w:p>
    <w:p>
      <w:pPr>
        <w:pStyle w:val="Normal"/>
        <w:ind w:firstLine="709"/>
        <w:jc w:val="both"/>
        <w:rPr>
          <w:sz w:val="24"/>
          <w:szCs w:val="24"/>
        </w:rPr>
      </w:pPr>
      <w:r>
        <w:rPr>
          <w:sz w:val="24"/>
          <w:szCs w:val="24"/>
        </w:rPr>
        <w:t>Товар должен быть свободным от любых прав и притязаний третьих лиц (не находится под арестом, в залоге, иных обременениях).</w:t>
      </w:r>
    </w:p>
    <w:p>
      <w:pPr>
        <w:pStyle w:val="Normal"/>
        <w:ind w:firstLine="709"/>
        <w:jc w:val="both"/>
        <w:rPr>
          <w:sz w:val="24"/>
          <w:szCs w:val="24"/>
        </w:rPr>
      </w:pPr>
      <w:r>
        <w:rPr>
          <w:sz w:val="24"/>
          <w:szCs w:val="24"/>
        </w:rPr>
        <w:t>Поставляемые товары не должны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товаров в условиях, обычных для Российской Федерации.</w:t>
      </w:r>
    </w:p>
    <w:p>
      <w:pPr>
        <w:pStyle w:val="Normal"/>
        <w:ind w:firstLine="709"/>
        <w:jc w:val="both"/>
        <w:rPr>
          <w:sz w:val="24"/>
          <w:szCs w:val="24"/>
        </w:rPr>
      </w:pPr>
      <w:r>
        <w:rPr>
          <w:sz w:val="24"/>
          <w:szCs w:val="24"/>
        </w:rPr>
        <w:t>Упаковка товара не должна быть нарушена,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и подтверждаться соответствующими документами, оформленными в соответствии с действующим законодательством Российской Федерации.</w:t>
      </w:r>
    </w:p>
    <w:p>
      <w:pPr>
        <w:pStyle w:val="Normal"/>
        <w:ind w:firstLine="709"/>
        <w:jc w:val="both"/>
        <w:rPr>
          <w:sz w:val="24"/>
          <w:szCs w:val="24"/>
        </w:rPr>
      </w:pPr>
      <w:r>
        <w:rPr>
          <w:sz w:val="24"/>
          <w:szCs w:val="24"/>
        </w:rPr>
        <w:t>Маркировка упаковки должна строго соответствовать маркировке товара.</w:t>
      </w:r>
    </w:p>
    <w:p>
      <w:pPr>
        <w:pStyle w:val="Normal"/>
        <w:widowControl/>
        <w:ind w:firstLine="709"/>
        <w:jc w:val="both"/>
        <w:rPr>
          <w:sz w:val="24"/>
          <w:szCs w:val="24"/>
        </w:rPr>
      </w:pPr>
      <w:r>
        <w:rPr>
          <w:sz w:val="24"/>
          <w:szCs w:val="24"/>
        </w:rPr>
        <w:t>По факту поставки в присутствии представителя Заказчика Поставщик обязан осуществить проверку товара на отсутствие повреждений, а также произвести монтажные на рабочих местах (при необходимости)</w:t>
      </w:r>
    </w:p>
    <w:p>
      <w:pPr>
        <w:pStyle w:val="Normal"/>
        <w:ind w:firstLine="709"/>
        <w:jc w:val="both"/>
        <w:rPr>
          <w:sz w:val="24"/>
          <w:szCs w:val="24"/>
        </w:rPr>
      </w:pPr>
      <w:r>
        <w:rPr>
          <w:sz w:val="24"/>
          <w:szCs w:val="24"/>
        </w:rPr>
        <w:t xml:space="preserve">Вся поставляемая продукция должна соответствовать действующим в Российской Федерации ГОСТам, ТУ, техническому регламенту Таможенного союза, требованиям на её изготовление, использование, иметь сертификаты качества, техническое описание продукции, инструкции по эксплуатации, сертификаты соответствия на русском языке. </w:t>
      </w:r>
    </w:p>
    <w:p>
      <w:pPr>
        <w:pStyle w:val="Normal"/>
        <w:widowControl/>
        <w:ind w:firstLine="709"/>
        <w:jc w:val="both"/>
        <w:rPr>
          <w:bCs/>
          <w:sz w:val="24"/>
          <w:szCs w:val="24"/>
        </w:rPr>
      </w:pPr>
      <w:r>
        <w:rPr>
          <w:bCs/>
          <w:sz w:val="24"/>
          <w:szCs w:val="24"/>
        </w:rPr>
        <w:t>Дата выпуска Товара должна быть не ранее 2026 г.</w:t>
      </w:r>
    </w:p>
    <w:p>
      <w:pPr>
        <w:pStyle w:val="Normal"/>
        <w:widowControl/>
        <w:rPr>
          <w:b/>
          <w:bCs/>
          <w:sz w:val="28"/>
          <w:szCs w:val="28"/>
        </w:rPr>
      </w:pPr>
      <w:r>
        <w:rPr>
          <w:b/>
          <w:bCs/>
          <w:sz w:val="28"/>
          <w:szCs w:val="28"/>
        </w:rPr>
      </w:r>
    </w:p>
    <w:p>
      <w:pPr>
        <w:pStyle w:val="ListParagraph"/>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pPr>
        <w:pStyle w:val="Normal"/>
        <w:widowControl/>
        <w:ind w:left="360"/>
        <w:rPr>
          <w:b/>
          <w:bCs/>
          <w:sz w:val="24"/>
          <w:szCs w:val="24"/>
        </w:rPr>
      </w:pPr>
      <w:r>
        <w:rPr>
          <w:b/>
          <w:bCs/>
          <w:sz w:val="24"/>
          <w:szCs w:val="24"/>
        </w:rPr>
      </w:r>
    </w:p>
    <w:p>
      <w:pPr>
        <w:pStyle w:val="Normal"/>
        <w:ind w:firstLine="709"/>
        <w:jc w:val="both"/>
        <w:rPr>
          <w:sz w:val="24"/>
          <w:szCs w:val="24"/>
        </w:rPr>
      </w:pPr>
      <w:r>
        <w:rPr>
          <w:sz w:val="24"/>
          <w:szCs w:val="24"/>
        </w:rPr>
        <w:t>Гарантийный срок устанавливает завод-изготовитель, но не менее 12 календарных месяцев с момента подписания покупателем УПД, но не менее гарантийного срока, установленного производителем. В случае поставки товара ненадлежащего качества, поставки некомплектного товара, недопоставки товара, замена поставленного товара товаром надлежащего качества, доукомплектование и/или допоставка товара, производится Поставщиком в срок не более 10 (десяти) дней со дня подписания двустороннего акта, оформленного по факту приемки товара. Все транспортные и другие расходы, связанные с заменой поставленного товара товаром надлежащего качества, допоставкой и/или доукомплектованием поставленного товара, а также представлением надлежащим образом оформленного пакета первичной документации осуществляются за счет Поставщика и его силами.</w:t>
      </w:r>
    </w:p>
    <w:p>
      <w:pPr>
        <w:pStyle w:val="Normal"/>
        <w:ind w:firstLine="709"/>
        <w:jc w:val="both"/>
        <w:rPr>
          <w:sz w:val="24"/>
          <w:szCs w:val="24"/>
        </w:rPr>
      </w:pPr>
      <w:r>
        <w:rPr>
          <w:sz w:val="24"/>
          <w:szCs w:val="24"/>
        </w:rPr>
        <w:t>Если в процессе эксплуатации товара в течение гарантийного срока обнаружатся недостатки товара, то гарантийный срок продлевается на период устранения недостатков.</w:t>
      </w:r>
    </w:p>
    <w:p>
      <w:pPr>
        <w:pStyle w:val="Normal"/>
        <w:widowControl/>
        <w:ind w:firstLine="709" w:left="357"/>
        <w:rPr>
          <w:b/>
          <w:bCs/>
          <w:sz w:val="24"/>
          <w:szCs w:val="24"/>
        </w:rPr>
      </w:pPr>
      <w:r>
        <w:rPr>
          <w:b/>
          <w:bCs/>
          <w:sz w:val="24"/>
          <w:szCs w:val="24"/>
        </w:rPr>
      </w:r>
    </w:p>
    <w:p>
      <w:pPr>
        <w:pStyle w:val="ListParagraph"/>
        <w:widowControl/>
        <w:numPr>
          <w:ilvl w:val="0"/>
          <w:numId w:val="16"/>
        </w:numPr>
        <w:rPr>
          <w:b/>
          <w:bCs/>
          <w:sz w:val="32"/>
          <w:szCs w:val="24"/>
        </w:rPr>
      </w:pPr>
      <w:r>
        <w:rPr>
          <w:b/>
          <w:sz w:val="24"/>
        </w:rPr>
        <w:t>Требования к комплектации и документам, поставляемым вместе с продукцией</w:t>
      </w:r>
    </w:p>
    <w:p>
      <w:pPr>
        <w:pStyle w:val="Normal"/>
        <w:widowControl/>
        <w:ind w:firstLine="709" w:left="357"/>
        <w:rPr>
          <w:b/>
          <w:bCs/>
          <w:sz w:val="24"/>
          <w:szCs w:val="24"/>
        </w:rPr>
      </w:pPr>
      <w:r>
        <w:rPr>
          <w:b/>
          <w:bCs/>
          <w:sz w:val="24"/>
          <w:szCs w:val="24"/>
        </w:rPr>
      </w:r>
    </w:p>
    <w:p>
      <w:pPr>
        <w:pStyle w:val="Normal"/>
        <w:widowControl/>
        <w:ind w:firstLine="709"/>
        <w:jc w:val="both"/>
        <w:rPr>
          <w:sz w:val="24"/>
          <w:szCs w:val="24"/>
        </w:rPr>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pPr>
        <w:pStyle w:val="Normal"/>
        <w:widowControl/>
        <w:ind w:firstLine="709"/>
        <w:jc w:val="both"/>
        <w:rPr>
          <w:rFonts w:eastAsia="Calibri"/>
          <w:b/>
          <w:sz w:val="24"/>
          <w:szCs w:val="24"/>
          <w:lang w:eastAsia="en-US"/>
        </w:rPr>
      </w:pPr>
      <w:r>
        <w:rPr>
          <w:rFonts w:eastAsia="Calibri"/>
          <w:b/>
          <w:sz w:val="24"/>
          <w:szCs w:val="24"/>
          <w:lang w:eastAsia="en-US"/>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t>АО «СК РусГидро»</w:t>
            </w:r>
          </w:p>
          <w:p>
            <w:pPr>
              <w:pStyle w:val="Normal"/>
              <w:rPr>
                <w:sz w:val="24"/>
                <w:szCs w:val="24"/>
              </w:rPr>
            </w:pPr>
            <w:r>
              <w:rPr>
                <w:sz w:val="24"/>
                <w:szCs w:val="24"/>
              </w:rPr>
              <w:t>Заместитель генерального директора</w:t>
            </w:r>
          </w:p>
          <w:p>
            <w:pPr>
              <w:pStyle w:val="Normal"/>
              <w:rPr>
                <w:sz w:val="24"/>
                <w:szCs w:val="24"/>
              </w:rPr>
            </w:pPr>
            <w:r>
              <w:rPr>
                <w:sz w:val="24"/>
                <w:szCs w:val="24"/>
              </w:rPr>
              <w:t>По управлению ресурсами</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 Н.Н. Клочков</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rPr>
          <w:b/>
          <w:bCs/>
          <w:sz w:val="24"/>
          <w:szCs w:val="24"/>
        </w:rPr>
      </w:pPr>
      <w:r>
        <w:rPr>
          <w:b/>
          <w:bCs/>
          <w:sz w:val="24"/>
          <w:szCs w:val="24"/>
        </w:rPr>
      </w:r>
    </w:p>
    <w:p>
      <w:pPr>
        <w:pStyle w:val="Normal"/>
        <w:widowControl/>
        <w:rPr>
          <w:b/>
          <w:bCs/>
          <w:sz w:val="24"/>
          <w:szCs w:val="24"/>
        </w:rPr>
      </w:pPr>
      <w:r>
        <w:rPr>
          <w:b/>
          <w:bCs/>
          <w:sz w:val="24"/>
          <w:szCs w:val="24"/>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jc w:val="right"/>
        <w:rPr>
          <w:sz w:val="22"/>
          <w:szCs w:val="22"/>
        </w:rPr>
      </w:pPr>
      <w:r>
        <w:rPr>
          <w:sz w:val="22"/>
          <w:szCs w:val="22"/>
        </w:rPr>
      </w:r>
    </w:p>
    <w:p>
      <w:pPr>
        <w:pStyle w:val="Normal"/>
        <w:rPr>
          <w:sz w:val="22"/>
          <w:szCs w:val="22"/>
        </w:rPr>
      </w:pPr>
      <w:r>
        <w:rPr>
          <w:sz w:val="22"/>
          <w:szCs w:val="22"/>
        </w:rPr>
      </w:r>
    </w:p>
    <w:p>
      <w:pPr>
        <w:pStyle w:val="Normal"/>
        <w:jc w:val="right"/>
        <w:rPr>
          <w:sz w:val="22"/>
          <w:szCs w:val="22"/>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10"/>
                    <a:stretch>
                      <a:fillRect/>
                    </a:stretch>
                  </pic:blipFill>
                  <pic:spPr bwMode="auto">
                    <a:xfrm>
                      <a:off x="0" y="0"/>
                      <a:ext cx="2131060" cy="453390"/>
                    </a:xfrm>
                    <a:prstGeom prst="rect">
                      <a:avLst/>
                    </a:prstGeom>
                  </pic:spPr>
                </pic:pic>
              </a:graphicData>
            </a:graphic>
          </wp:anchor>
        </w:drawing>
      </w:r>
      <w:r>
        <w:rPr>
          <w:sz w:val="22"/>
          <w:szCs w:val="22"/>
        </w:rPr>
        <w:t>Приложение № 2</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_____202_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61"/>
        <w:gridCol w:w="1038"/>
        <w:gridCol w:w="1186"/>
        <w:gridCol w:w="743"/>
        <w:gridCol w:w="1129"/>
        <w:gridCol w:w="1243"/>
        <w:gridCol w:w="1040"/>
        <w:gridCol w:w="1486"/>
        <w:gridCol w:w="890"/>
        <w:gridCol w:w="888"/>
      </w:tblGrid>
      <w:tr>
        <w:trPr>
          <w:trHeight w:val="543"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 xml:space="preserve">п/п </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8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Количество </w:t>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8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8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43"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8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8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43"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8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jc w:val="center"/>
        <w:outlineLvl w:val="0"/>
        <w:rPr>
          <w:b/>
          <w:bCs/>
          <w:sz w:val="24"/>
          <w:szCs w:val="24"/>
        </w:rPr>
      </w:pPr>
      <w:r>
        <w:rPr>
          <w:b/>
          <w:bCs/>
          <w:sz w:val="24"/>
          <w:szCs w:val="24"/>
        </w:rPr>
      </w:r>
    </w:p>
    <w:p>
      <w:pPr>
        <w:pStyle w:val="Normal"/>
        <w:numPr>
          <w:ilvl w:val="0"/>
          <w:numId w:val="0"/>
        </w:numPr>
        <w:ind w:firstLine="709"/>
        <w:jc w:val="center"/>
        <w:outlineLvl w:val="0"/>
        <w:rPr>
          <w:b/>
          <w:bCs/>
          <w:sz w:val="24"/>
          <w:szCs w:val="24"/>
        </w:rPr>
      </w:pPr>
      <w:r>
        <w:rPr>
          <w:b/>
          <w:bCs/>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t>АО «СК РусГидро»</w:t>
            </w:r>
          </w:p>
          <w:p>
            <w:pPr>
              <w:pStyle w:val="Normal"/>
              <w:rPr>
                <w:sz w:val="24"/>
                <w:szCs w:val="24"/>
              </w:rPr>
            </w:pPr>
            <w:r>
              <w:rPr>
                <w:sz w:val="24"/>
                <w:szCs w:val="24"/>
              </w:rPr>
              <w:t>Заместитель генерального директора</w:t>
            </w:r>
          </w:p>
          <w:p>
            <w:pPr>
              <w:pStyle w:val="Normal"/>
              <w:rPr>
                <w:sz w:val="24"/>
                <w:szCs w:val="24"/>
              </w:rPr>
            </w:pPr>
            <w:r>
              <w:rPr>
                <w:sz w:val="24"/>
                <w:szCs w:val="24"/>
              </w:rPr>
              <w:t>По управлению ресурсами</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 Н.Н. Клочков</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r>
          </w:p>
          <w:p>
            <w:pPr>
              <w:pStyle w:val="Normal"/>
              <w:ind w:hanging="1"/>
              <w:rPr>
                <w:sz w:val="24"/>
                <w:szCs w:val="24"/>
              </w:rPr>
            </w:pPr>
            <w:r>
              <w:rPr>
                <w:sz w:val="24"/>
                <w:szCs w:val="24"/>
              </w:rPr>
            </w:r>
          </w:p>
          <w:p>
            <w:pPr>
              <w:pStyle w:val="Normal"/>
              <w:ind w:hanging="1"/>
              <w:rPr>
                <w:sz w:val="24"/>
                <w:szCs w:val="24"/>
              </w:rPr>
            </w:pPr>
            <w:r>
              <w:rPr>
                <w:sz w:val="24"/>
                <w:szCs w:val="24"/>
              </w:rPr>
            </w:r>
          </w:p>
          <w:p>
            <w:pPr>
              <w:pStyle w:val="Normal"/>
              <w:rPr>
                <w:sz w:val="24"/>
                <w:szCs w:val="24"/>
              </w:rPr>
            </w:pPr>
            <w:r>
              <w:rPr>
                <w:sz w:val="24"/>
                <w:szCs w:val="24"/>
              </w:rPr>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rPr>
          <w:sz w:val="24"/>
          <w:szCs w:val="24"/>
        </w:rPr>
      </w:pPr>
      <w:r>
        <w:rPr>
          <w:sz w:val="24"/>
          <w:szCs w:val="24"/>
        </w:rPr>
      </w:r>
    </w:p>
    <w:p>
      <w:pPr>
        <w:pStyle w:val="Normal"/>
        <w:widowControl/>
        <w:rPr>
          <w:sz w:val="24"/>
          <w:szCs w:val="24"/>
        </w:rPr>
      </w:pPr>
      <w:r>
        <w:rPr>
          <w:sz w:val="24"/>
          <w:szCs w:val="24"/>
        </w:rPr>
      </w:r>
      <w:r>
        <w:br w:type="page"/>
      </w:r>
    </w:p>
    <w:p>
      <w:pPr>
        <w:pStyle w:val="Normal"/>
        <w:jc w:val="right"/>
        <w:rPr>
          <w:sz w:val="22"/>
          <w:szCs w:val="22"/>
        </w:rPr>
      </w:pPr>
      <w:r>
        <w:rPr>
          <w:sz w:val="22"/>
          <w:szCs w:val="22"/>
        </w:rPr>
        <w:t>Приложение № 3</w:t>
      </w:r>
    </w:p>
    <w:p>
      <w:pPr>
        <w:pStyle w:val="Normal"/>
        <w:jc w:val="right"/>
        <w:rPr>
          <w:sz w:val="22"/>
          <w:szCs w:val="22"/>
        </w:rPr>
      </w:pPr>
      <w:r>
        <w:rPr>
          <w:sz w:val="22"/>
          <w:szCs w:val="22"/>
        </w:rPr>
        <w:t>к Договору поставки</w:t>
      </w:r>
    </w:p>
    <w:p>
      <w:pPr>
        <w:pStyle w:val="Normal"/>
        <w:jc w:val="right"/>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4055"/>
        <w:gridCol w:w="6149"/>
      </w:tblGrid>
      <w:tr>
        <w:trPr/>
        <w:tc>
          <w:tcPr>
            <w:tcW w:w="4055"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614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ind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t>АО «СК РусГидро»</w:t>
            </w:r>
          </w:p>
          <w:p>
            <w:pPr>
              <w:pStyle w:val="Normal"/>
              <w:rPr>
                <w:sz w:val="24"/>
                <w:szCs w:val="24"/>
              </w:rPr>
            </w:pPr>
            <w:r>
              <w:rPr>
                <w:sz w:val="24"/>
                <w:szCs w:val="24"/>
              </w:rPr>
              <w:t>Заместитель генерального директора</w:t>
            </w:r>
          </w:p>
          <w:p>
            <w:pPr>
              <w:pStyle w:val="Normal"/>
              <w:rPr>
                <w:sz w:val="24"/>
                <w:szCs w:val="24"/>
              </w:rPr>
            </w:pPr>
            <w:r>
              <w:rPr>
                <w:sz w:val="24"/>
                <w:szCs w:val="24"/>
              </w:rPr>
              <w:t>По управлению ресурсами</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 Н.Н. Клочков</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widowControl/>
        <w:rPr>
          <w:sz w:val="24"/>
          <w:szCs w:val="24"/>
        </w:rPr>
      </w:pPr>
      <w:r>
        <w:rPr>
          <w:sz w:val="24"/>
          <w:szCs w:val="24"/>
        </w:rPr>
      </w:r>
    </w:p>
    <w:sectPr>
      <w:headerReference w:type="default" r:id="rId11"/>
      <w:footerReference w:type="default" r:id="rId12"/>
      <w:type w:val="nextPage"/>
      <w:pgSz w:w="11906" w:h="16838"/>
      <w:pgMar w:left="1134" w:right="567" w:gutter="0" w:header="567" w:top="1134" w:footer="709" w:bottom="1134"/>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23773778"/>
    </w:sdtPr>
    <w:sdtContent>
      <w:p>
        <w:pPr>
          <w:pStyle w:val="Footer"/>
          <w:jc w:val="center"/>
          <w:rPr/>
        </w:pPr>
        <w:r>
          <w:rPr/>
          <w:fldChar w:fldCharType="begin"/>
        </w:r>
        <w:r>
          <w:rPr/>
          <w:instrText xml:space="preserve"> PAGE </w:instrText>
        </w:r>
        <w:r>
          <w:rPr/>
          <w:fldChar w:fldCharType="separate"/>
        </w:r>
        <w:r>
          <w:rPr/>
          <w:t>21</w:t>
        </w:r>
        <w:r>
          <w:rPr/>
          <w:fldChar w:fldCharType="end"/>
        </w:r>
      </w:p>
    </w:sdtContent>
  </w:sdt>
  <w:p>
    <w:pPr>
      <w:pStyle w:val="Footer"/>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rPr>
    </w:pPr>
    <w:r>
      <w:rPr>
        <w:color w:val="A6A6A6" w:themeColor="background1" w:themeShade="a6"/>
      </w:rPr>
      <w:t>Договор № ___ от __.__.202_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6">
    <w:lvl w:ilvl="0">
      <w:start w:val="1"/>
      <w:numFmt w:val="decimal"/>
      <w:lvlText w:val="%1."/>
      <w:lvlJc w:val="left"/>
      <w:pPr>
        <w:tabs>
          <w:tab w:val="num" w:pos="0"/>
        </w:tabs>
        <w:ind w:left="720" w:hanging="360"/>
      </w:pPr>
      <w:rPr>
        <w:sz w:val="24"/>
        <w:i w:val="false"/>
        <w:szCs w:val="24"/>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1" w:customStyle="1">
    <w:name w:val="Неразрешенное упоминание1"/>
    <w:basedOn w:val="DefaultParagraphFont"/>
    <w:uiPriority w:val="99"/>
    <w:semiHidden/>
    <w:unhideWhenUsed/>
    <w:qFormat/>
    <w:rsid w:val="00231bfe"/>
    <w:rPr>
      <w:color w:val="605E5C"/>
      <w:shd w:fill="E1DFDD" w:val="clear"/>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2"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customStyle="1">
    <w:name w:val="Раздел положения"/>
    <w:basedOn w:val="Normal"/>
    <w:autoRedefine/>
    <w:qFormat/>
    <w:rsid w:val="00d507c7"/>
    <w:pPr>
      <w:widowControl/>
      <w:numPr>
        <w:ilvl w:val="0"/>
        <w:numId w:val="15"/>
      </w:numPr>
      <w:spacing w:before="80" w:after="80"/>
      <w:jc w:val="center"/>
    </w:pPr>
    <w:rPr>
      <w:b/>
      <w:sz w:val="32"/>
      <w:szCs w:val="32"/>
    </w:rPr>
  </w:style>
  <w:style w:type="paragraph" w:styleId="Style29" w:customStyle="1">
    <w:name w:val="Подраздел раздела положения"/>
    <w:basedOn w:val="Normal"/>
    <w:autoRedefine/>
    <w:qFormat/>
    <w:rsid w:val="00d507c7"/>
    <w:pPr>
      <w:widowControl/>
      <w:numPr>
        <w:ilvl w:val="1"/>
        <w:numId w:val="15"/>
      </w:numPr>
      <w:spacing w:before="80" w:after="80"/>
      <w:jc w:val="both"/>
    </w:pPr>
    <w:rPr>
      <w:sz w:val="28"/>
      <w:szCs w:val="28"/>
    </w:rPr>
  </w:style>
  <w:style w:type="paragraph" w:styleId="Style30" w:customStyle="1">
    <w:name w:val="Содержимое таблицы"/>
    <w:basedOn w:val="Normal"/>
    <w:qFormat/>
    <w:rsid w:val="00056906"/>
    <w:pPr>
      <w:suppressLineNumbers/>
    </w:pPr>
    <w:rPr>
      <w:sz w:val="28"/>
      <w:szCs w:val="28"/>
    </w:rPr>
  </w:style>
  <w:style w:type="numbering" w:styleId="NoList" w:default="1">
    <w:name w:val="No List"/>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c">
    <w:name w:val="Table Grid"/>
    <w:basedOn w:val="a3"/>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hubinVYu@rushydro.ru" TargetMode="External"/><Relationship Id="rId3" Type="http://schemas.openxmlformats.org/officeDocument/2006/relationships/hyperlink" Target="mailto:AntonovPE@rushydro.ru" TargetMode="External"/><Relationship Id="rId4" Type="http://schemas.openxmlformats.org/officeDocument/2006/relationships/hyperlink" Target="mailto:BaevaVV@rushydro.ru" TargetMode="External"/><Relationship Id="rId5" Type="http://schemas.openxmlformats.org/officeDocument/2006/relationships/hyperlink" Target="mailto:BagryantsevEE@rushydro.ru" TargetMode="External"/><Relationship Id="rId6" Type="http://schemas.openxmlformats.org/officeDocument/2006/relationships/hyperlink" Target="mailto:ld@rushydro.ru" TargetMode="External"/><Relationship Id="rId7" Type="http://schemas.openxmlformats.org/officeDocument/2006/relationships/hyperlink" Target="consultantplus://offline/ref=94D5CE8889791A29DE57299515463A9D6134D8237B999C803E6F853513x2A2P" TargetMode="External"/><Relationship Id="rId8" Type="http://schemas.openxmlformats.org/officeDocument/2006/relationships/hyperlink" Target="consultantplus://offline/ref=94D5CE8889791A29DE57299515463A9D6135D2287D929C803E6F853513x2A2P" TargetMode="External"/><Relationship Id="rId9" Type="http://schemas.openxmlformats.org/officeDocument/2006/relationships/hyperlink" Target="consultantplus://offline/ref=79440D5123ABA6A25F43346AB59DBAAC7032C8E1556DA64FAED62E167F76889C2B7C475C32EFC59BJ8rDH" TargetMode="Externa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Application>AlterOffice/2026.2.0.0$Linux_X86_64 LibreOffice_project/bc4ef1adf80b36c7a6365f8ed6cbf29021361edd</Application>
  <AppVersion>15.0000</AppVersion>
  <Pages>28</Pages>
  <Words>9014</Words>
  <Characters>62362</Characters>
  <CharactersWithSpaces>70578</CharactersWithSpaces>
  <Paragraphs>868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2024-10-31T23:53:00Z</dcterms:created>
  <dc:creator>tsypilev_ag</dc:creator>
  <dc:description/>
  <dc:language>ru-RU</dc:language>
  <cp:lastModifiedBy>stankevichyua@corp.gidroogk.com</cp:lastModifiedBy>
  <cp:lastPrinted>2018-05-22T09:46:00Z</cp:lastPrinted>
  <dcterms:modified xsi:type="dcterms:W3CDTF">2026-10-05T15:27:31Z</dcterms:modified>
  <cp:revision>20</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