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583" w:type="dxa"/>
        <w:jc w:val="left"/>
        <w:tblInd w:w="459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583"/>
      </w:tblGrid>
      <w:tr>
        <w:trPr>
          <w:trHeight w:val="718" w:hRule="atLeast"/>
        </w:trPr>
        <w:tc>
          <w:tcPr>
            <w:tcW w:w="5583" w:type="dxa"/>
            <w:tcBorders/>
            <w:shd w:color="auto" w:fill="auto" w:val="clear"/>
            <w:vAlign w:val="center"/>
          </w:tcPr>
          <w:p>
            <w:pPr>
              <w:pStyle w:val="Normal"/>
              <w:spacing w:lineRule="auto" w:line="264"/>
              <w:jc w:val="right"/>
              <w:rPr>
                <w:color w:val="000000" w:themeColor="text1"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jc w:val="right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</w:r>
          </w:p>
          <w:p>
            <w:pPr>
              <w:pStyle w:val="Normal"/>
              <w:jc w:val="right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</w:r>
          </w:p>
        </w:tc>
      </w:tr>
    </w:tbl>
    <w:p>
      <w:pPr>
        <w:pStyle w:val="Normal"/>
        <w:jc w:val="right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</w:p>
    <w:p>
      <w:pPr>
        <w:pStyle w:val="Normal"/>
        <w:jc w:val="right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</w:p>
    <w:p>
      <w:pPr>
        <w:pStyle w:val="Normal"/>
        <w:jc w:val="right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</w:p>
    <w:p>
      <w:pPr>
        <w:pStyle w:val="Normal"/>
        <w:jc w:val="right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</w:p>
    <w:p>
      <w:pPr>
        <w:pStyle w:val="Normal"/>
        <w:jc w:val="right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</w:p>
    <w:p>
      <w:pPr>
        <w:pStyle w:val="Normal"/>
        <w:jc w:val="right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</w:p>
    <w:p>
      <w:pPr>
        <w:pStyle w:val="Normal"/>
        <w:jc w:val="right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</w:p>
    <w:p>
      <w:pPr>
        <w:pStyle w:val="Normal"/>
        <w:jc w:val="right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</w:p>
    <w:p>
      <w:pPr>
        <w:pStyle w:val="Normal"/>
        <w:jc w:val="right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</w:p>
    <w:p>
      <w:pPr>
        <w:pStyle w:val="Normal"/>
        <w:jc w:val="right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</w:p>
    <w:p>
      <w:pPr>
        <w:pStyle w:val="Normal"/>
        <w:jc w:val="right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</w:p>
    <w:p>
      <w:pPr>
        <w:pStyle w:val="Normal"/>
        <w:jc w:val="right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</w:p>
    <w:p>
      <w:pPr>
        <w:pStyle w:val="Normal"/>
        <w:jc w:val="right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</w:p>
    <w:p>
      <w:pPr>
        <w:pStyle w:val="Normal"/>
        <w:jc w:val="right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</w:p>
    <w:p>
      <w:pPr>
        <w:pStyle w:val="Normal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color w:val="000000" w:themeColor="text1"/>
          <w:szCs w:val="24"/>
        </w:rPr>
      </w:pPr>
      <w:bookmarkStart w:id="0" w:name="_Toc141696704"/>
      <w:bookmarkStart w:id="1" w:name="_Toc139856287"/>
      <w:bookmarkStart w:id="2" w:name="_Toc137554584"/>
      <w:r>
        <w:rPr>
          <w:rFonts w:eastAsia="Calibri"/>
          <w:b/>
          <w:color w:val="000000" w:themeColor="text1"/>
          <w:szCs w:val="24"/>
        </w:rPr>
        <w:t>Технические требования</w:t>
      </w:r>
      <w:bookmarkEnd w:id="0"/>
      <w:bookmarkEnd w:id="1"/>
      <w:bookmarkEnd w:id="2"/>
    </w:p>
    <w:p>
      <w:pPr>
        <w:pStyle w:val="Normal"/>
        <w:jc w:val="center"/>
        <w:rPr>
          <w:color w:val="000000" w:themeColor="text1"/>
        </w:rPr>
      </w:pPr>
      <w:r>
        <w:rPr>
          <w:b/>
        </w:rPr>
        <w:t xml:space="preserve">ОКПД2 27.12.10.110 </w:t>
      </w:r>
      <w:r>
        <w:rPr>
          <w:b/>
        </w:rPr>
        <w:t>Изготовление и поставка выключателей высоковольтных элегазовых ВЭБ-УЭТМ-220 11 (шт) Бурейской ГЭС.</w:t>
      </w:r>
    </w:p>
    <w:p>
      <w:pPr>
        <w:pStyle w:val="Normal"/>
        <w:jc w:val="center"/>
        <w:rPr>
          <w:rFonts w:eastAsia="Calibri"/>
          <w:b/>
          <w:color w:val="000000" w:themeColor="text1"/>
          <w:szCs w:val="24"/>
        </w:rPr>
      </w:pPr>
      <w:r>
        <w:rPr>
          <w:rFonts w:eastAsia="Calibri"/>
          <w:b/>
          <w:color w:val="000000" w:themeColor="text1"/>
          <w:szCs w:val="24"/>
        </w:rPr>
      </w:r>
    </w:p>
    <w:p>
      <w:pPr>
        <w:pStyle w:val="Normal"/>
        <w:jc w:val="center"/>
        <w:rPr>
          <w:rFonts w:eastAsia="Calibri"/>
          <w:b/>
          <w:color w:val="000000" w:themeColor="text1"/>
          <w:szCs w:val="24"/>
        </w:rPr>
      </w:pPr>
      <w:r>
        <w:rPr>
          <w:rFonts w:eastAsia="Calibri"/>
          <w:b/>
          <w:color w:val="000000" w:themeColor="text1"/>
          <w:szCs w:val="24"/>
        </w:rPr>
      </w:r>
    </w:p>
    <w:p>
      <w:pPr>
        <w:pStyle w:val="Normal"/>
        <w:jc w:val="center"/>
        <w:rPr>
          <w:rFonts w:eastAsia="Calibri"/>
          <w:b/>
          <w:color w:val="000000" w:themeColor="text1"/>
          <w:szCs w:val="24"/>
        </w:rPr>
      </w:pPr>
      <w:r>
        <w:rPr>
          <w:rFonts w:eastAsia="Calibri"/>
          <w:b/>
          <w:color w:val="000000" w:themeColor="text1"/>
          <w:szCs w:val="24"/>
        </w:rPr>
      </w:r>
    </w:p>
    <w:p>
      <w:pPr>
        <w:pStyle w:val="Normal"/>
        <w:jc w:val="center"/>
        <w:rPr>
          <w:rFonts w:eastAsia="Calibri"/>
          <w:b/>
          <w:color w:val="000000" w:themeColor="text1"/>
          <w:szCs w:val="24"/>
        </w:rPr>
      </w:pPr>
      <w:r>
        <w:rPr>
          <w:rFonts w:eastAsia="Calibri"/>
          <w:b/>
          <w:color w:val="000000" w:themeColor="text1"/>
          <w:szCs w:val="24"/>
        </w:rPr>
      </w:r>
    </w:p>
    <w:p>
      <w:pPr>
        <w:pStyle w:val="Normal"/>
        <w:jc w:val="center"/>
        <w:rPr>
          <w:rFonts w:eastAsia="Calibri"/>
          <w:b/>
          <w:color w:val="000000" w:themeColor="text1"/>
          <w:szCs w:val="24"/>
        </w:rPr>
      </w:pPr>
      <w:r>
        <w:rPr>
          <w:rFonts w:eastAsia="Calibri"/>
          <w:b/>
          <w:color w:val="000000" w:themeColor="text1"/>
          <w:szCs w:val="24"/>
        </w:rPr>
      </w:r>
    </w:p>
    <w:p>
      <w:pPr>
        <w:pStyle w:val="Normal"/>
        <w:jc w:val="center"/>
        <w:rPr>
          <w:rFonts w:eastAsia="Calibri"/>
          <w:b/>
          <w:color w:val="000000" w:themeColor="text1"/>
          <w:szCs w:val="24"/>
        </w:rPr>
      </w:pPr>
      <w:r>
        <w:rPr>
          <w:rFonts w:eastAsia="Calibri"/>
          <w:b/>
          <w:color w:val="000000" w:themeColor="text1"/>
          <w:szCs w:val="24"/>
        </w:rPr>
      </w:r>
    </w:p>
    <w:p>
      <w:pPr>
        <w:pStyle w:val="Normal"/>
        <w:jc w:val="center"/>
        <w:rPr>
          <w:rFonts w:eastAsia="Calibri"/>
          <w:b/>
          <w:color w:val="000000" w:themeColor="text1"/>
          <w:szCs w:val="24"/>
        </w:rPr>
      </w:pPr>
      <w:r>
        <w:rPr>
          <w:rFonts w:eastAsia="Calibri"/>
          <w:b/>
          <w:color w:val="000000" w:themeColor="text1"/>
          <w:szCs w:val="24"/>
        </w:rPr>
      </w:r>
    </w:p>
    <w:p>
      <w:pPr>
        <w:pStyle w:val="Normal"/>
        <w:jc w:val="center"/>
        <w:rPr>
          <w:rFonts w:eastAsia="Calibri"/>
          <w:b/>
          <w:color w:val="000000" w:themeColor="text1"/>
          <w:szCs w:val="24"/>
        </w:rPr>
      </w:pPr>
      <w:r>
        <w:rPr>
          <w:rFonts w:eastAsia="Calibri"/>
          <w:b/>
          <w:color w:val="000000" w:themeColor="text1"/>
          <w:szCs w:val="24"/>
        </w:rPr>
      </w:r>
    </w:p>
    <w:p>
      <w:pPr>
        <w:pStyle w:val="Normal"/>
        <w:jc w:val="center"/>
        <w:rPr>
          <w:rFonts w:eastAsia="Calibri"/>
          <w:b/>
          <w:color w:val="000000" w:themeColor="text1"/>
          <w:szCs w:val="24"/>
        </w:rPr>
      </w:pPr>
      <w:r>
        <w:rPr>
          <w:rFonts w:eastAsia="Calibri"/>
          <w:b/>
          <w:color w:val="000000" w:themeColor="text1"/>
          <w:szCs w:val="24"/>
        </w:rPr>
      </w:r>
    </w:p>
    <w:p>
      <w:pPr>
        <w:pStyle w:val="Normal"/>
        <w:jc w:val="center"/>
        <w:rPr>
          <w:rFonts w:eastAsia="Calibri"/>
          <w:b/>
          <w:color w:val="000000" w:themeColor="text1"/>
          <w:szCs w:val="24"/>
        </w:rPr>
      </w:pPr>
      <w:r>
        <w:rPr>
          <w:rFonts w:eastAsia="Calibri"/>
          <w:b/>
          <w:color w:val="000000" w:themeColor="text1"/>
          <w:szCs w:val="24"/>
        </w:rPr>
      </w:r>
    </w:p>
    <w:p>
      <w:pPr>
        <w:pStyle w:val="Normal"/>
        <w:jc w:val="center"/>
        <w:rPr>
          <w:rFonts w:eastAsia="Calibri"/>
          <w:b/>
          <w:color w:val="000000" w:themeColor="text1"/>
          <w:szCs w:val="24"/>
        </w:rPr>
      </w:pPr>
      <w:r>
        <w:rPr>
          <w:rFonts w:eastAsia="Calibri"/>
          <w:b/>
          <w:color w:val="000000" w:themeColor="text1"/>
          <w:szCs w:val="24"/>
        </w:rPr>
      </w:r>
    </w:p>
    <w:p>
      <w:pPr>
        <w:pStyle w:val="Normal"/>
        <w:jc w:val="center"/>
        <w:rPr>
          <w:rFonts w:eastAsia="Calibri"/>
          <w:b/>
          <w:color w:val="000000" w:themeColor="text1"/>
          <w:szCs w:val="24"/>
        </w:rPr>
      </w:pPr>
      <w:r>
        <w:rPr>
          <w:rFonts w:eastAsia="Calibri"/>
          <w:b/>
          <w:color w:val="000000" w:themeColor="text1"/>
          <w:szCs w:val="24"/>
        </w:rPr>
      </w:r>
    </w:p>
    <w:p>
      <w:pPr>
        <w:pStyle w:val="Normal"/>
        <w:jc w:val="center"/>
        <w:rPr>
          <w:rFonts w:eastAsia="Calibri"/>
          <w:b/>
          <w:color w:val="000000" w:themeColor="text1"/>
          <w:szCs w:val="24"/>
        </w:rPr>
      </w:pPr>
      <w:r>
        <w:rPr>
          <w:rFonts w:eastAsia="Calibri"/>
          <w:b/>
          <w:color w:val="000000" w:themeColor="text1"/>
          <w:szCs w:val="24"/>
        </w:rPr>
      </w:r>
    </w:p>
    <w:p>
      <w:pPr>
        <w:pStyle w:val="Normal"/>
        <w:jc w:val="center"/>
        <w:rPr>
          <w:rFonts w:eastAsia="Calibri"/>
          <w:b/>
          <w:color w:val="000000" w:themeColor="text1"/>
          <w:szCs w:val="24"/>
        </w:rPr>
      </w:pPr>
      <w:r>
        <w:rPr>
          <w:rFonts w:eastAsia="Calibri"/>
          <w:b/>
          <w:color w:val="000000" w:themeColor="text1"/>
          <w:szCs w:val="24"/>
        </w:rPr>
      </w:r>
    </w:p>
    <w:p>
      <w:pPr>
        <w:pStyle w:val="Normal"/>
        <w:jc w:val="center"/>
        <w:rPr>
          <w:rFonts w:eastAsia="Calibri"/>
          <w:b/>
          <w:color w:val="000000" w:themeColor="text1"/>
          <w:szCs w:val="24"/>
        </w:rPr>
      </w:pPr>
      <w:r>
        <w:rPr>
          <w:rFonts w:eastAsia="Calibri"/>
          <w:b/>
          <w:color w:val="000000" w:themeColor="text1"/>
          <w:szCs w:val="24"/>
        </w:rPr>
      </w:r>
    </w:p>
    <w:p>
      <w:pPr>
        <w:pStyle w:val="Normal"/>
        <w:jc w:val="center"/>
        <w:rPr>
          <w:rFonts w:eastAsia="Calibri"/>
          <w:b/>
          <w:color w:val="000000" w:themeColor="text1"/>
          <w:szCs w:val="24"/>
        </w:rPr>
      </w:pPr>
      <w:r>
        <w:rPr>
          <w:rFonts w:eastAsia="Calibri"/>
          <w:b/>
          <w:color w:val="000000" w:themeColor="text1"/>
          <w:szCs w:val="24"/>
        </w:rPr>
      </w:r>
    </w:p>
    <w:p>
      <w:pPr>
        <w:pStyle w:val="Normal"/>
        <w:jc w:val="center"/>
        <w:rPr>
          <w:rFonts w:eastAsia="Calibri"/>
          <w:b/>
          <w:color w:val="000000" w:themeColor="text1"/>
          <w:szCs w:val="24"/>
        </w:rPr>
      </w:pPr>
      <w:r>
        <w:rPr>
          <w:rFonts w:eastAsia="Calibri"/>
          <w:b/>
          <w:color w:val="000000" w:themeColor="text1"/>
          <w:szCs w:val="24"/>
        </w:rPr>
      </w:r>
    </w:p>
    <w:p>
      <w:pPr>
        <w:pStyle w:val="Normal"/>
        <w:jc w:val="center"/>
        <w:rPr>
          <w:rFonts w:eastAsia="Calibri"/>
          <w:b/>
          <w:color w:val="000000" w:themeColor="text1"/>
          <w:szCs w:val="24"/>
        </w:rPr>
      </w:pPr>
      <w:r>
        <w:rPr>
          <w:rFonts w:eastAsia="Calibri"/>
          <w:b/>
          <w:color w:val="000000" w:themeColor="text1"/>
          <w:szCs w:val="24"/>
        </w:rPr>
      </w:r>
    </w:p>
    <w:p>
      <w:pPr>
        <w:pStyle w:val="Normal"/>
        <w:jc w:val="center"/>
        <w:rPr>
          <w:color w:val="000000" w:themeColor="text1"/>
          <w:sz w:val="24"/>
          <w:szCs w:val="24"/>
        </w:rPr>
      </w:pPr>
      <w:r>
        <w:rPr/>
      </w:r>
      <w:r>
        <w:br w:type="page"/>
      </w:r>
    </w:p>
    <w:p>
      <w:pPr>
        <w:pStyle w:val="Normal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СОДЕРЖАНИЕ</w:t>
      </w:r>
    </w:p>
    <w:p>
      <w:pPr>
        <w:pStyle w:val="Normal"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Normal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Содержание</w:t>
      </w:r>
      <w:r>
        <w:rPr>
          <w:color w:val="000000" w:themeColor="text1"/>
          <w:sz w:val="24"/>
          <w:szCs w:val="24"/>
          <w:u w:val="dotted"/>
        </w:rPr>
        <w:tab/>
        <w:tab/>
        <w:tab/>
        <w:tab/>
        <w:tab/>
        <w:tab/>
        <w:tab/>
        <w:tab/>
        <w:tab/>
        <w:tab/>
        <w:tab/>
      </w:r>
      <w:r>
        <w:rPr>
          <w:color w:val="000000" w:themeColor="text1"/>
          <w:sz w:val="24"/>
          <w:szCs w:val="24"/>
        </w:rPr>
        <w:t>2</w:t>
      </w:r>
    </w:p>
    <w:p>
      <w:pPr>
        <w:pStyle w:val="Normal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Обозначения и сокращения</w:t>
      </w:r>
      <w:r>
        <w:rPr>
          <w:color w:val="000000" w:themeColor="text1"/>
          <w:sz w:val="24"/>
          <w:szCs w:val="24"/>
          <w:u w:val="dotted"/>
        </w:rPr>
        <w:tab/>
        <w:tab/>
        <w:tab/>
        <w:tab/>
        <w:tab/>
        <w:tab/>
        <w:tab/>
        <w:tab/>
        <w:tab/>
      </w:r>
      <w:r>
        <w:rPr>
          <w:color w:val="000000" w:themeColor="text1"/>
          <w:sz w:val="24"/>
          <w:szCs w:val="24"/>
        </w:rPr>
        <w:t>3</w:t>
      </w:r>
    </w:p>
    <w:p>
      <w:pPr>
        <w:pStyle w:val="Normal"/>
        <w:rPr>
          <w:color w:val="000000" w:themeColor="text1"/>
          <w:sz w:val="24"/>
          <w:szCs w:val="24"/>
          <w:u w:val="dotted"/>
        </w:rPr>
      </w:pPr>
      <w:r>
        <w:rPr>
          <w:color w:val="000000" w:themeColor="text1"/>
          <w:sz w:val="24"/>
          <w:szCs w:val="24"/>
        </w:rPr>
        <w:t>1. Наименование закупаемой продукции (товаров, работ, услуг)</w:t>
      </w:r>
      <w:r>
        <w:rPr>
          <w:color w:val="000000" w:themeColor="text1"/>
          <w:sz w:val="24"/>
          <w:szCs w:val="24"/>
          <w:u w:val="dotted"/>
        </w:rPr>
        <w:t xml:space="preserve"> </w:t>
        <w:tab/>
        <w:tab/>
        <w:tab/>
      </w:r>
      <w:r>
        <w:rPr>
          <w:color w:val="000000" w:themeColor="text1"/>
          <w:sz w:val="24"/>
          <w:szCs w:val="24"/>
        </w:rPr>
        <w:t>4</w:t>
      </w:r>
    </w:p>
    <w:p>
      <w:pPr>
        <w:pStyle w:val="Normal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2. Заказчик (подразделение Заказчика)</w:t>
      </w:r>
      <w:r>
        <w:rPr>
          <w:color w:val="000000" w:themeColor="text1"/>
          <w:sz w:val="24"/>
          <w:szCs w:val="24"/>
          <w:u w:val="dotted"/>
        </w:rPr>
        <w:t xml:space="preserve"> </w:t>
        <w:tab/>
        <w:tab/>
        <w:tab/>
        <w:tab/>
        <w:tab/>
        <w:tab/>
        <w:tab/>
      </w:r>
      <w:r>
        <w:rPr>
          <w:color w:val="000000" w:themeColor="text1"/>
          <w:sz w:val="24"/>
          <w:szCs w:val="24"/>
        </w:rPr>
        <w:t>4</w:t>
      </w:r>
    </w:p>
    <w:p>
      <w:pPr>
        <w:pStyle w:val="Normal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 Цели и задачи. Существующее положение</w:t>
      </w:r>
      <w:r>
        <w:rPr>
          <w:color w:val="000000" w:themeColor="text1"/>
          <w:sz w:val="24"/>
          <w:szCs w:val="24"/>
          <w:u w:val="dotted"/>
        </w:rPr>
        <w:tab/>
        <w:tab/>
        <w:tab/>
        <w:tab/>
        <w:tab/>
        <w:tab/>
      </w:r>
      <w:r>
        <w:rPr>
          <w:color w:val="000000" w:themeColor="text1"/>
          <w:sz w:val="24"/>
          <w:szCs w:val="24"/>
        </w:rPr>
        <w:t>4</w:t>
      </w:r>
    </w:p>
    <w:p>
      <w:pPr>
        <w:pStyle w:val="Normal"/>
        <w:ind w:hanging="238" w:left="238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4. Требования к закупаемой продукции </w:t>
        <w:br/>
        <w:t>(технические и иные характеристики)</w:t>
      </w:r>
      <w:r>
        <w:rPr>
          <w:color w:val="000000" w:themeColor="text1"/>
          <w:sz w:val="24"/>
          <w:szCs w:val="24"/>
          <w:u w:val="dotted"/>
        </w:rPr>
        <w:t xml:space="preserve"> </w:t>
        <w:tab/>
        <w:tab/>
        <w:tab/>
        <w:tab/>
        <w:tab/>
        <w:tab/>
        <w:tab/>
      </w:r>
      <w:r>
        <w:rPr>
          <w:color w:val="000000" w:themeColor="text1"/>
          <w:sz w:val="24"/>
          <w:szCs w:val="24"/>
        </w:rPr>
        <w:t>4</w:t>
      </w:r>
    </w:p>
    <w:p>
      <w:pPr>
        <w:pStyle w:val="Normal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 Сроки поставки материалов</w:t>
      </w:r>
      <w:r>
        <w:rPr>
          <w:color w:val="000000" w:themeColor="text1"/>
          <w:sz w:val="24"/>
          <w:szCs w:val="24"/>
          <w:u w:val="dotted"/>
        </w:rPr>
        <w:tab/>
        <w:tab/>
        <w:tab/>
        <w:tab/>
        <w:tab/>
        <w:tab/>
        <w:tab/>
        <w:tab/>
      </w:r>
      <w:r>
        <w:rPr>
          <w:color w:val="000000" w:themeColor="text1"/>
          <w:sz w:val="24"/>
          <w:szCs w:val="24"/>
        </w:rPr>
        <w:t>5</w:t>
      </w:r>
    </w:p>
    <w:p>
      <w:pPr>
        <w:pStyle w:val="Normal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 Требования к поставщику</w:t>
      </w:r>
      <w:r>
        <w:rPr>
          <w:color w:val="000000" w:themeColor="text1"/>
          <w:sz w:val="24"/>
          <w:szCs w:val="24"/>
          <w:u w:val="dotted"/>
        </w:rPr>
        <w:tab/>
        <w:tab/>
        <w:tab/>
        <w:tab/>
        <w:tab/>
        <w:tab/>
        <w:tab/>
        <w:tab/>
        <w:tab/>
      </w:r>
      <w:r>
        <w:rPr>
          <w:color w:val="000000" w:themeColor="text1"/>
          <w:sz w:val="24"/>
          <w:szCs w:val="24"/>
        </w:rPr>
        <w:t>5</w:t>
      </w:r>
    </w:p>
    <w:p>
      <w:pPr>
        <w:pStyle w:val="Normal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7. Требования к документации по ценообразованию</w:t>
      </w:r>
      <w:r>
        <w:rPr>
          <w:color w:val="000000" w:themeColor="text1"/>
          <w:sz w:val="24"/>
          <w:szCs w:val="24"/>
          <w:u w:val="dotted"/>
        </w:rPr>
        <w:tab/>
        <w:tab/>
        <w:tab/>
        <w:tab/>
        <w:tab/>
      </w:r>
      <w:r>
        <w:rPr>
          <w:color w:val="000000" w:themeColor="text1"/>
          <w:sz w:val="24"/>
          <w:szCs w:val="24"/>
        </w:rPr>
        <w:t>6</w:t>
      </w:r>
    </w:p>
    <w:p>
      <w:pPr>
        <w:pStyle w:val="Normal"/>
        <w:rPr>
          <w:color w:val="000000" w:themeColor="text1"/>
          <w:sz w:val="24"/>
          <w:szCs w:val="24"/>
          <w:u w:val="dotted"/>
        </w:rPr>
      </w:pPr>
      <w:r>
        <w:rPr>
          <w:color w:val="000000" w:themeColor="text1"/>
          <w:sz w:val="24"/>
          <w:szCs w:val="24"/>
          <w:u w:val="dotted"/>
        </w:rPr>
      </w:r>
    </w:p>
    <w:p>
      <w:pPr>
        <w:pStyle w:val="Normal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Приложения</w:t>
      </w:r>
      <w:r>
        <w:rPr>
          <w:color w:val="000000" w:themeColor="text1"/>
          <w:sz w:val="24"/>
          <w:szCs w:val="24"/>
          <w:u w:val="dotted"/>
        </w:rPr>
        <w:tab/>
        <w:tab/>
        <w:tab/>
        <w:tab/>
        <w:tab/>
        <w:tab/>
        <w:tab/>
        <w:tab/>
        <w:tab/>
        <w:tab/>
        <w:tab/>
      </w:r>
      <w:r>
        <w:rPr>
          <w:color w:val="000000" w:themeColor="text1"/>
          <w:sz w:val="24"/>
          <w:szCs w:val="24"/>
        </w:rPr>
        <w:t>6</w:t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  <w:r>
        <w:br w:type="page"/>
      </w:r>
    </w:p>
    <w:p>
      <w:pPr>
        <w:pStyle w:val="Normal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ОБОЗНАЧЕНИЯ И СОКРАЩЕНИЯ</w:t>
      </w:r>
    </w:p>
    <w:p>
      <w:pPr>
        <w:pStyle w:val="Normal"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Normal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ПТС- Производственно-техническая служба</w:t>
      </w:r>
    </w:p>
    <w:p>
      <w:pPr>
        <w:pStyle w:val="Normal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НМЦ – начальная максимальная цена;</w:t>
      </w:r>
    </w:p>
    <w:p>
      <w:pPr>
        <w:pStyle w:val="Normal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ПАО – Публичное акционерное общество;</w:t>
      </w:r>
    </w:p>
    <w:p>
      <w:pPr>
        <w:pStyle w:val="Normal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ТТ – технические требования.</w:t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  <w:r>
        <w:br w:type="page"/>
      </w:r>
    </w:p>
    <w:p>
      <w:pPr>
        <w:pStyle w:val="Normal"/>
        <w:numPr>
          <w:ilvl w:val="0"/>
          <w:numId w:val="2"/>
        </w:numPr>
        <w:ind w:hanging="0" w:left="284"/>
        <w:jc w:val="both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Наименование закупаемой продукции (товаров, работ, услуг)</w:t>
      </w:r>
    </w:p>
    <w:p>
      <w:pPr>
        <w:pStyle w:val="Normal"/>
        <w:ind w:left="284"/>
        <w:jc w:val="both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>Изготовление и поставка выключателей высоковольтных элегазовых ВЭБ-УЭТМ-220 11 (шт) Бурейской ГЭС.</w:t>
      </w:r>
    </w:p>
    <w:p>
      <w:pPr>
        <w:pStyle w:val="Normal"/>
        <w:numPr>
          <w:ilvl w:val="0"/>
          <w:numId w:val="2"/>
        </w:numPr>
        <w:ind w:hanging="0" w:left="284"/>
        <w:jc w:val="both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Заказчик (подразделение Заказчика) </w:t>
      </w:r>
    </w:p>
    <w:p>
      <w:pPr>
        <w:pStyle w:val="ListParagraph"/>
        <w:tabs>
          <w:tab w:val="clear" w:pos="708"/>
          <w:tab w:val="left" w:pos="1047" w:leader="none"/>
        </w:tabs>
        <w:spacing w:before="120" w:after="120"/>
        <w:ind w:firstLine="436" w:left="284" w:right="-2"/>
        <w:contextualSpacing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Филиал ПАО «РусГидро» - "Бурейская ГЭС" Амурская область, Бурейский район, п. Талакан, 676730.</w:t>
      </w:r>
    </w:p>
    <w:p>
      <w:pPr>
        <w:pStyle w:val="Normal"/>
        <w:tabs>
          <w:tab w:val="clear" w:pos="708"/>
          <w:tab w:val="left" w:pos="1047" w:leader="none"/>
        </w:tabs>
        <w:ind w:left="284" w:right="-2"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  <w:tab/>
      </w:r>
    </w:p>
    <w:p>
      <w:pPr>
        <w:pStyle w:val="Normal"/>
        <w:numPr>
          <w:ilvl w:val="0"/>
          <w:numId w:val="2"/>
        </w:numPr>
        <w:ind w:hanging="0" w:left="284"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Цели и задачи. Существующее положение</w:t>
      </w:r>
    </w:p>
    <w:p>
      <w:pPr>
        <w:pStyle w:val="Normal"/>
        <w:ind w:firstLine="424" w:left="284" w:right="-2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Изготовление и поставка баковых выключателей.</w:t>
      </w:r>
    </w:p>
    <w:p>
      <w:pPr>
        <w:pStyle w:val="Normal"/>
        <w:ind w:left="284" w:right="-2"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Normal"/>
        <w:ind w:left="720"/>
        <w:jc w:val="right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Таблица 1</w:t>
      </w:r>
    </w:p>
    <w:tbl>
      <w:tblPr>
        <w:tblW w:w="986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32"/>
        <w:gridCol w:w="2075"/>
        <w:gridCol w:w="6958"/>
      </w:tblGrid>
      <w:tr>
        <w:trPr>
          <w:trHeight w:val="20" w:hRule="atLeast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№</w:t>
            </w:r>
          </w:p>
          <w:p>
            <w:pPr>
              <w:pStyle w:val="Normal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Наименование параметра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Требование заказчика</w:t>
            </w:r>
          </w:p>
        </w:tc>
      </w:tr>
      <w:tr>
        <w:trPr>
          <w:trHeight w:val="20" w:hRule="atLeast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</w:tr>
      <w:tr>
        <w:trPr>
          <w:trHeight w:val="827" w:hRule="atLeast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20"/>
              <w:ind w:left="166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Объём изготовления и поставки продукции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Изготовление и поставка должна быть выполнена в соответствии с Приложением №1 к настоящим Техническим требованиям. </w:t>
            </w:r>
          </w:p>
        </w:tc>
      </w:tr>
      <w:tr>
        <w:trPr>
          <w:trHeight w:val="827" w:hRule="atLeast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20"/>
              <w:ind w:left="166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Требования к изготовлению продукции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 Качество изготовляемого Оборудования должно соответствовать технической документации, (рабочие чертежи) переданной Заказчиком в соответствии с приложением №2 к настоящим техническим требованиям;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Все изготавливаемое оборудование и применяемые материалы должны быть новыми и не использованными ранее;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 изготовлении оборудования должны применяться продукция, материалы и вещества, соответствие которых нормативным требованиям подтверждено декларацией о соответствии или сертификатом соответствия.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Изменения в номенклатуре, марках, поставляемых материалов и допускается при условии письменного согласования с заказчиком;</w:t>
            </w:r>
          </w:p>
          <w:p>
            <w:pPr>
              <w:pStyle w:val="ListParagraph"/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- На все поставляемое оборудование и материалы должны быть предоставлены заводские паспорта, сертификаты качества, техническая документация в полном объеме на бумажном носителе (2 экземпляра) и электронном носителе (1 экземпляр).</w:t>
            </w:r>
          </w:p>
        </w:tc>
      </w:tr>
      <w:tr>
        <w:trPr>
          <w:trHeight w:val="1821" w:hRule="atLeast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20"/>
              <w:ind w:left="166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Требования к поставке продукции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Поставщик должен обеспечить комплектность поставки и включить в объем поставки все, что необходимо для нормальной работы оборудования.</w:t>
            </w:r>
          </w:p>
          <w:p>
            <w:pPr>
              <w:pStyle w:val="ListParagraph"/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 период гарантийного обслуживания выключателей поставщик должен включить ЗИП, кроме того Поставщик приводит в заявке перечень ЗИП, рекомендуемого на пятилетний послегарантийный период эксплуатации, с указанием стоимости отдельных составляющих.</w:t>
            </w:r>
          </w:p>
          <w:p>
            <w:pPr>
              <w:pStyle w:val="ListParagraph"/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Продукция должна соответствовать конструкторской документации, быть новой, ранее не использованной, не бывшей в употреблении, не восстановленной после ремонта, не выставочным экземпляром, технически исправной.</w:t>
            </w:r>
          </w:p>
          <w:p>
            <w:pPr>
              <w:pStyle w:val="ListParagraph"/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 качеству и комплектности должна соответствовать действующим на момент поставки ТУ или ГОСТ, указанным в соответствующих сертификатах.</w:t>
            </w:r>
          </w:p>
        </w:tc>
      </w:tr>
      <w:tr>
        <w:trPr>
          <w:trHeight w:val="752" w:hRule="atLeast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20"/>
              <w:ind w:left="166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spacing w:before="0" w:after="0"/>
              <w:rPr>
                <w:rFonts w:ascii="Times New Roman" w:hAnsi="Times New Roman"/>
                <w:b w:val="false"/>
                <w:bCs w:val="false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false"/>
                <w:color w:val="000000" w:themeColor="text1"/>
                <w:sz w:val="24"/>
                <w:szCs w:val="24"/>
                <w:lang w:eastAsia="ru-RU"/>
              </w:rPr>
              <w:t xml:space="preserve">Место поставки продукции 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676730, Амурская область, Бурейский район, п. Талакан, склад ТМЦ</w:t>
            </w:r>
          </w:p>
          <w:p>
            <w:pPr>
              <w:pStyle w:val="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1257" w:hRule="atLeast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166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spacing w:lineRule="auto" w:line="240" w:before="480" w:after="0"/>
              <w:rPr>
                <w:rFonts w:ascii="Times New Roman" w:hAnsi="Times New Roman"/>
                <w:b w:val="false"/>
                <w:bCs w:val="false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false"/>
                <w:color w:val="000000" w:themeColor="text1"/>
                <w:sz w:val="24"/>
                <w:szCs w:val="24"/>
                <w:lang w:eastAsia="ru-RU"/>
              </w:rPr>
              <w:t>Условия поставки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Доставка продукции производится Поставщиком (транспортом поставщика, за его счет) на склад Заказчика.</w:t>
            </w:r>
          </w:p>
          <w:p>
            <w:pPr>
              <w:pStyle w:val="ListParagraph"/>
              <w:ind w:left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2542" w:hRule="atLeast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20"/>
              <w:ind w:left="166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spacing w:before="480" w:after="0"/>
              <w:rPr>
                <w:rFonts w:ascii="Times New Roman" w:hAnsi="Times New Roman"/>
                <w:b w:val="false"/>
                <w:bCs w:val="false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false"/>
                <w:color w:val="000000" w:themeColor="text1"/>
                <w:sz w:val="24"/>
                <w:szCs w:val="24"/>
                <w:lang w:eastAsia="ru-RU"/>
              </w:rPr>
              <w:t>Гарантийный срок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ind w:firstLine="347" w:left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Поставщик гарантирует соответствие продукции требованиям нормативно-технической документации (конструкторской документации) в течение гарантийного срока, установленного заводом изготовителем, исчисляемого с даты подписания соответствующих акт</w:t>
            </w:r>
            <w:bookmarkStart w:id="3" w:name="_GoBack"/>
            <w:bookmarkEnd w:id="3"/>
            <w:r>
              <w:rPr>
                <w:color w:val="000000" w:themeColor="text1"/>
                <w:sz w:val="24"/>
                <w:szCs w:val="24"/>
              </w:rPr>
              <w:t>ов, товарных накладных (ТОРГ-12), при соблюдении условий транспортирования, правил хранения на складе. При этом гарантийное обслуживание осуществляется специалистами Поставщика бесплатно в течение всего указанного гарантийного срока.</w:t>
            </w:r>
          </w:p>
        </w:tc>
      </w:tr>
      <w:tr>
        <w:trPr>
          <w:trHeight w:val="2542" w:hRule="atLeast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20"/>
              <w:ind w:left="166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Гарантийное и послегарантийное обслуживание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На поставляемое оборудование устанавливается гарантийный сроком не менее трех лет с момента ввода в эксплуатацию оборудования, но не более трех с половиной лет со дня отгрузки с предприятия изготовителя.</w:t>
            </w:r>
          </w:p>
        </w:tc>
      </w:tr>
      <w:tr>
        <w:trPr>
          <w:trHeight w:val="2542" w:hRule="atLeast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20"/>
              <w:ind w:left="166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поставки оборудования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Начало: 01.07.2027г.</w:t>
            </w:r>
          </w:p>
          <w:p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Окончание: 01.04.2032г.</w:t>
            </w:r>
          </w:p>
        </w:tc>
      </w:tr>
    </w:tbl>
    <w:p>
      <w:pPr>
        <w:pStyle w:val="BodyTextIndent3"/>
        <w:ind w:left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Normal"/>
        <w:spacing w:before="0" w:after="120"/>
        <w:ind w:left="426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</w:r>
    </w:p>
    <w:p>
      <w:pPr>
        <w:pStyle w:val="Normal"/>
        <w:numPr>
          <w:ilvl w:val="0"/>
          <w:numId w:val="3"/>
        </w:numPr>
        <w:spacing w:before="0" w:after="120"/>
        <w:jc w:val="both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Требования к поставщику</w:t>
      </w:r>
    </w:p>
    <w:tbl>
      <w:tblPr>
        <w:tblW w:w="996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6"/>
        <w:gridCol w:w="2771"/>
        <w:gridCol w:w="6352"/>
      </w:tblGrid>
      <w:tr>
        <w:trPr>
          <w:trHeight w:val="20" w:hRule="atLeast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№</w:t>
            </w:r>
          </w:p>
          <w:p>
            <w:pPr>
              <w:pStyle w:val="Normal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Наименование параметра</w:t>
            </w:r>
          </w:p>
        </w:tc>
        <w:tc>
          <w:tcPr>
            <w:tcW w:w="6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Требование заказчика</w:t>
            </w:r>
          </w:p>
        </w:tc>
      </w:tr>
      <w:tr>
        <w:trPr>
          <w:trHeight w:val="20" w:hRule="atLeast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</w:tr>
      <w:tr>
        <w:trPr>
          <w:trHeight w:val="20" w:hRule="atLeast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1"/>
                <w:numId w:val="3"/>
              </w:numPr>
              <w:spacing w:before="0" w:after="120"/>
              <w:ind w:hanging="0" w:left="31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spacing w:before="480" w:after="0"/>
              <w:rPr>
                <w:rFonts w:ascii="Times New Roman" w:hAnsi="Times New Roman"/>
                <w:b w:val="false"/>
                <w:bCs w:val="false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 w:val="false"/>
                <w:color w:val="000000" w:themeColor="text1"/>
                <w:sz w:val="24"/>
                <w:szCs w:val="24"/>
                <w:lang w:eastAsia="ru-RU"/>
              </w:rPr>
              <w:t xml:space="preserve">Опыт работы </w:t>
            </w:r>
          </w:p>
        </w:tc>
        <w:tc>
          <w:tcPr>
            <w:tcW w:w="6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Annotationtext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Наличие опыта поставок, соответствующих профилю лота, а именно: поставки запасных частей для гидроагрегатов, при этом участником должны быть исполнены обязательства в общем (совокупном) объеме не менее 30 % от НМЦ за последние 3 года. Соответствие установленному требованию подтверждается путем представления «Справки об опыте участника», оформленной по форме 8 и заполненной в соответствии с инструкциями, приведенными в Документации о закупке (подраздел 7.8.2) на соответствующем этапе закупочной процедуры.</w:t>
            </w:r>
          </w:p>
          <w:p>
            <w:pPr>
              <w:pStyle w:val="Normal"/>
              <w:ind w:firstLine="436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Normal"/>
        <w:ind w:firstLine="708"/>
        <w:jc w:val="both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</w:r>
    </w:p>
    <w:p>
      <w:pPr>
        <w:pStyle w:val="Normal"/>
        <w:numPr>
          <w:ilvl w:val="0"/>
          <w:numId w:val="3"/>
        </w:numPr>
        <w:spacing w:before="0" w:after="120"/>
        <w:jc w:val="both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Требования к документации по ценообразованию</w:t>
      </w:r>
    </w:p>
    <w:p>
      <w:pPr>
        <w:pStyle w:val="Annotationtext"/>
        <w:numPr>
          <w:ilvl w:val="1"/>
          <w:numId w:val="5"/>
        </w:numPr>
        <w:tabs>
          <w:tab w:val="clear" w:pos="708"/>
          <w:tab w:val="left" w:pos="993" w:leader="none"/>
        </w:tabs>
        <w:spacing w:before="0" w:after="200"/>
        <w:ind w:firstLine="426" w:left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Участник, на соответствующем этапе процедуры закупки, должен предоставить в составе своей заявки «Коммерческое предложение» оформленное по форме 3 Документации о закупке и заполненное в соответствии с инструкциями, приведенными в подраздел 7.3.2 Документации о закупке.</w:t>
      </w:r>
    </w:p>
    <w:p>
      <w:pPr>
        <w:sectPr>
          <w:footerReference w:type="default" r:id="rId2"/>
          <w:type w:val="nextPage"/>
          <w:pgSz w:w="11906" w:h="16838"/>
          <w:pgMar w:left="1304" w:right="924" w:gutter="0" w:header="0" w:top="709" w:footer="709" w:bottom="766"/>
          <w:pgNumType w:fmt="decimal"/>
          <w:formProt w:val="false"/>
          <w:titlePg/>
          <w:textDirection w:val="lrTb"/>
          <w:docGrid w:type="default" w:linePitch="381" w:charSpace="0"/>
        </w:sectPr>
        <w:pStyle w:val="BodyText"/>
        <w:widowControl/>
        <w:bidi w:val="0"/>
        <w:spacing w:before="0" w:after="0"/>
        <w:ind w:firstLine="450"/>
        <w:jc w:val="left"/>
        <w:rPr>
          <w:bCs/>
          <w:color w:val="000000" w:themeColor="text1"/>
          <w:szCs w:val="24"/>
        </w:rPr>
      </w:pPr>
      <w:r>
        <w:rPr>
          <w:bCs/>
          <w:color w:val="000000" w:themeColor="text1"/>
          <w:szCs w:val="24"/>
        </w:rPr>
      </w:r>
      <w:bookmarkStart w:id="4" w:name="RANGE!A1%3AJ66"/>
      <w:bookmarkStart w:id="5" w:name="RANGE!A1%3AJ66"/>
      <w:bookmarkEnd w:id="5"/>
    </w:p>
    <w:p>
      <w:pPr>
        <w:pStyle w:val="Default"/>
        <w:jc w:val="right"/>
        <w:rPr>
          <w:bCs/>
          <w:color w:val="000000" w:themeColor="text1"/>
        </w:rPr>
      </w:pPr>
      <w:bookmarkStart w:id="6" w:name="RANGE!A1%3AJ66"/>
      <w:bookmarkEnd w:id="6"/>
      <w:r>
        <w:rPr>
          <w:bCs/>
          <w:color w:val="000000" w:themeColor="text1"/>
        </w:rPr>
        <w:t>Приложение №1 к Техническим требованиям</w:t>
      </w:r>
    </w:p>
    <w:p>
      <w:pPr>
        <w:pStyle w:val="Default"/>
        <w:jc w:val="right"/>
        <w:rPr>
          <w:bCs/>
          <w:color w:val="000000" w:themeColor="text1"/>
          <w:sz w:val="22"/>
        </w:rPr>
      </w:pPr>
      <w:r>
        <w:rPr>
          <w:bCs/>
          <w:color w:val="000000" w:themeColor="text1"/>
          <w:sz w:val="22"/>
        </w:rPr>
      </w:r>
    </w:p>
    <w:p>
      <w:pPr>
        <w:pStyle w:val="Normal"/>
        <w:jc w:val="center"/>
        <w:rPr>
          <w:rFonts w:eastAsia="Calibri"/>
          <w:b/>
          <w:bCs/>
          <w:color w:val="000000" w:themeColor="text1"/>
          <w:sz w:val="23"/>
          <w:szCs w:val="23"/>
        </w:rPr>
      </w:pPr>
      <w:r>
        <w:rPr>
          <w:rFonts w:eastAsia="Calibri"/>
          <w:b/>
          <w:bCs/>
          <w:color w:val="000000" w:themeColor="text1"/>
          <w:sz w:val="23"/>
          <w:szCs w:val="23"/>
        </w:rPr>
        <w:t xml:space="preserve">Перечень закупаемой продукции </w:t>
      </w:r>
    </w:p>
    <w:p>
      <w:pPr>
        <w:pStyle w:val="ListParagraph"/>
        <w:ind w:left="0"/>
        <w:rPr>
          <w:bCs/>
          <w:color w:val="000000" w:themeColor="text1"/>
        </w:rPr>
      </w:pPr>
      <w:r>
        <w:rPr>
          <w:bCs/>
          <w:color w:val="000000" w:themeColor="text1"/>
        </w:rPr>
      </w:r>
    </w:p>
    <w:tbl>
      <w:tblPr>
        <w:tblStyle w:val="a4"/>
        <w:tblW w:w="14771" w:type="dxa"/>
        <w:jc w:val="left"/>
        <w:tblInd w:w="3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7"/>
        <w:gridCol w:w="5275"/>
        <w:gridCol w:w="991"/>
        <w:gridCol w:w="994"/>
        <w:gridCol w:w="6804"/>
      </w:tblGrid>
      <w:tr>
        <w:trPr>
          <w:tblHeader w:val="true"/>
        </w:trPr>
        <w:tc>
          <w:tcPr>
            <w:tcW w:w="707" w:type="dxa"/>
            <w:tcBorders/>
          </w:tcPr>
          <w:p>
            <w:pPr>
              <w:pStyle w:val="ListParagraph"/>
              <w:widowControl/>
              <w:spacing w:before="0" w:after="0"/>
              <w:ind w:left="0"/>
              <w:contextualSpacing/>
              <w:jc w:val="center"/>
              <w:rPr>
                <w:b/>
                <w:bCs/>
                <w:color w:val="000000" w:themeColor="text1"/>
              </w:rPr>
            </w:pPr>
            <w:r>
              <w:rPr>
                <w:rFonts w:cs="Times New Roman"/>
                <w:b/>
                <w:bCs/>
                <w:color w:val="000000" w:themeColor="text1"/>
                <w:kern w:val="0"/>
                <w:lang w:val="ru-RU" w:bidi="ar-SA"/>
              </w:rPr>
              <w:t xml:space="preserve">№ </w:t>
            </w:r>
            <w:r>
              <w:rPr>
                <w:rFonts w:cs="Times New Roman"/>
                <w:b/>
                <w:bCs/>
                <w:color w:val="000000" w:themeColor="text1"/>
                <w:kern w:val="0"/>
                <w:lang w:val="ru-RU" w:bidi="ar-SA"/>
              </w:rPr>
              <w:t>п/п</w:t>
            </w:r>
          </w:p>
        </w:tc>
        <w:tc>
          <w:tcPr>
            <w:tcW w:w="5275" w:type="dxa"/>
            <w:tcBorders/>
            <w:vAlign w:val="center"/>
          </w:tcPr>
          <w:p>
            <w:pPr>
              <w:pStyle w:val="ListParagraph"/>
              <w:widowControl/>
              <w:spacing w:before="0" w:after="0"/>
              <w:ind w:left="0"/>
              <w:contextualSpacing/>
              <w:jc w:val="center"/>
              <w:rPr>
                <w:b/>
                <w:bCs/>
                <w:color w:val="000000" w:themeColor="text1"/>
              </w:rPr>
            </w:pPr>
            <w:r>
              <w:rPr>
                <w:rFonts w:cs="Times New Roman"/>
                <w:b/>
                <w:bCs/>
                <w:color w:val="000000" w:themeColor="text1"/>
                <w:kern w:val="0"/>
                <w:lang w:val="ru-RU" w:bidi="ar-SA"/>
              </w:rPr>
              <w:t>Наименование параметра</w:t>
            </w:r>
          </w:p>
        </w:tc>
        <w:tc>
          <w:tcPr>
            <w:tcW w:w="991" w:type="dxa"/>
            <w:tcBorders/>
          </w:tcPr>
          <w:p>
            <w:pPr>
              <w:pStyle w:val="ListParagraph"/>
              <w:widowControl/>
              <w:spacing w:before="0" w:after="0"/>
              <w:ind w:left="0"/>
              <w:contextualSpacing/>
              <w:jc w:val="center"/>
              <w:rPr>
                <w:b/>
                <w:bCs/>
                <w:color w:val="000000" w:themeColor="text1"/>
              </w:rPr>
            </w:pPr>
            <w:r>
              <w:rPr>
                <w:rFonts w:cs="Times New Roman"/>
                <w:b/>
                <w:bCs/>
                <w:color w:val="000000" w:themeColor="text1"/>
                <w:kern w:val="0"/>
                <w:lang w:val="ru-RU" w:bidi="ar-SA"/>
              </w:rPr>
              <w:t>Ед. изм.</w:t>
            </w:r>
          </w:p>
        </w:tc>
        <w:tc>
          <w:tcPr>
            <w:tcW w:w="994" w:type="dxa"/>
            <w:tcBorders/>
            <w:vAlign w:val="center"/>
          </w:tcPr>
          <w:p>
            <w:pPr>
              <w:pStyle w:val="ListParagraph"/>
              <w:widowControl/>
              <w:spacing w:before="0" w:after="0"/>
              <w:ind w:left="0"/>
              <w:contextualSpacing/>
              <w:jc w:val="center"/>
              <w:rPr>
                <w:b/>
                <w:bCs/>
                <w:color w:val="000000" w:themeColor="text1"/>
              </w:rPr>
            </w:pPr>
            <w:r>
              <w:rPr>
                <w:rFonts w:cs="Times New Roman"/>
                <w:b/>
                <w:bCs/>
                <w:color w:val="000000" w:themeColor="text1"/>
                <w:kern w:val="0"/>
                <w:lang w:val="ru-RU" w:bidi="ar-SA"/>
              </w:rPr>
              <w:t>Кол-во</w:t>
            </w:r>
          </w:p>
        </w:tc>
        <w:tc>
          <w:tcPr>
            <w:tcW w:w="6804" w:type="dxa"/>
            <w:tcBorders/>
            <w:vAlign w:val="center"/>
          </w:tcPr>
          <w:p>
            <w:pPr>
              <w:pStyle w:val="ListParagraph"/>
              <w:widowControl/>
              <w:spacing w:before="0" w:after="0"/>
              <w:ind w:left="0"/>
              <w:contextualSpacing/>
              <w:jc w:val="center"/>
              <w:rPr>
                <w:b/>
                <w:bCs/>
                <w:color w:val="000000" w:themeColor="text1"/>
              </w:rPr>
            </w:pPr>
            <w:r>
              <w:rPr>
                <w:rFonts w:cs="Times New Roman"/>
                <w:b/>
                <w:bCs/>
                <w:color w:val="000000" w:themeColor="text1"/>
                <w:kern w:val="0"/>
                <w:lang w:val="ru-RU" w:bidi="ar-SA"/>
              </w:rPr>
              <w:t>Требования Заказчика</w:t>
            </w:r>
          </w:p>
        </w:tc>
      </w:tr>
      <w:tr>
        <w:trPr>
          <w:trHeight w:val="644" w:hRule="atLeast"/>
        </w:trPr>
        <w:tc>
          <w:tcPr>
            <w:tcW w:w="707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before="0" w:after="0"/>
              <w:ind w:hanging="425" w:left="459"/>
              <w:contextualSpacing/>
              <w:jc w:val="center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kern w:val="0"/>
                <w:lang w:val="ru-RU" w:bidi="ar-SA"/>
              </w:rPr>
            </w:r>
          </w:p>
        </w:tc>
        <w:tc>
          <w:tcPr>
            <w:tcW w:w="5275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kern w:val="0"/>
                <w:sz w:val="24"/>
                <w:szCs w:val="24"/>
                <w:lang w:val="ru-RU" w:bidi="ar-SA"/>
              </w:rPr>
              <w:t>Баковые выключатели типа ВЭБ-УЭТМ-220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kern w:val="0"/>
                <w:sz w:val="24"/>
                <w:szCs w:val="24"/>
                <w:lang w:val="ru-RU" w:bidi="ar-SA"/>
              </w:rPr>
              <w:t>шт</w:t>
            </w:r>
          </w:p>
        </w:tc>
        <w:tc>
          <w:tcPr>
            <w:tcW w:w="994" w:type="dxa"/>
            <w:tcBorders/>
          </w:tcPr>
          <w:p>
            <w:pPr>
              <w:pStyle w:val="ListParagraph"/>
              <w:widowControl/>
              <w:spacing w:before="0" w:after="0"/>
              <w:ind w:left="0"/>
              <w:contextualSpacing/>
              <w:jc w:val="center"/>
              <w:rPr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  <w:kern w:val="0"/>
                <w:lang w:val="ru-RU" w:bidi="ar-SA"/>
              </w:rPr>
              <w:t>11</w:t>
            </w:r>
          </w:p>
        </w:tc>
        <w:tc>
          <w:tcPr>
            <w:tcW w:w="6804" w:type="dxa"/>
            <w:tcBorders/>
          </w:tcPr>
          <w:p>
            <w:pPr>
              <w:pStyle w:val="ListParagraph"/>
              <w:widowControl/>
              <w:spacing w:before="0" w:after="0"/>
              <w:ind w:left="0"/>
              <w:contextualSpacing/>
              <w:jc w:val="left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kern w:val="0"/>
                <w:sz w:val="24"/>
                <w:szCs w:val="24"/>
                <w:lang w:val="ru-RU" w:bidi="ar-SA"/>
              </w:rPr>
              <w:t>Баковые выключатели типа ВЭБ-УЭТМ-220</w:t>
            </w:r>
          </w:p>
        </w:tc>
      </w:tr>
    </w:tbl>
    <w:p>
      <w:pPr>
        <w:pStyle w:val="Normal"/>
        <w:ind w:left="426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bCs/>
          <w:color w:val="000000" w:themeColor="text1"/>
        </w:rPr>
      </w:pPr>
      <w:r>
        <w:rPr>
          <w:bCs/>
          <w:color w:val="000000" w:themeColor="text1"/>
        </w:rPr>
      </w:r>
    </w:p>
    <w:tbl>
      <w:tblPr>
        <w:tblW w:w="11953" w:type="dxa"/>
        <w:jc w:val="left"/>
        <w:tblInd w:w="7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662"/>
        <w:gridCol w:w="3119"/>
        <w:gridCol w:w="2172"/>
      </w:tblGrid>
      <w:tr>
        <w:trPr/>
        <w:tc>
          <w:tcPr>
            <w:tcW w:w="6662" w:type="dxa"/>
            <w:tcBorders/>
            <w:shd w:color="auto" w:fill="auto" w:val="clear"/>
          </w:tcPr>
          <w:p>
            <w:pPr>
              <w:pStyle w:val="BodyText"/>
              <w:spacing w:before="0" w:after="0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Руководитель группы ЭТО ПТС</w:t>
            </w:r>
          </w:p>
        </w:tc>
        <w:tc>
          <w:tcPr>
            <w:tcW w:w="3119" w:type="dxa"/>
            <w:tcBorders/>
            <w:shd w:color="auto" w:fill="auto" w:val="clear"/>
          </w:tcPr>
          <w:p>
            <w:pPr>
              <w:pStyle w:val="BodyText"/>
              <w:spacing w:before="0" w:after="0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_____________</w:t>
            </w:r>
          </w:p>
        </w:tc>
        <w:tc>
          <w:tcPr>
            <w:tcW w:w="2172" w:type="dxa"/>
            <w:tcBorders/>
            <w:shd w:color="auto" w:fill="auto" w:val="clear"/>
          </w:tcPr>
          <w:p>
            <w:pPr>
              <w:pStyle w:val="BodyText"/>
              <w:spacing w:before="0" w:after="0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О.А. Рослик</w:t>
            </w:r>
          </w:p>
        </w:tc>
      </w:tr>
      <w:tr>
        <w:trPr/>
        <w:tc>
          <w:tcPr>
            <w:tcW w:w="6662" w:type="dxa"/>
            <w:tcBorders/>
            <w:shd w:color="auto" w:fill="auto" w:val="clear"/>
          </w:tcPr>
          <w:p>
            <w:pPr>
              <w:pStyle w:val="BodyText"/>
              <w:spacing w:before="0" w:after="0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119" w:type="dxa"/>
            <w:tcBorders/>
            <w:shd w:color="auto" w:fill="auto" w:val="clear"/>
          </w:tcPr>
          <w:p>
            <w:pPr>
              <w:pStyle w:val="BodyText"/>
              <w:spacing w:before="0" w:after="0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172" w:type="dxa"/>
            <w:tcBorders/>
            <w:shd w:color="auto" w:fill="auto" w:val="clear"/>
          </w:tcPr>
          <w:p>
            <w:pPr>
              <w:pStyle w:val="BodyText"/>
              <w:spacing w:before="0" w:after="0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6662" w:type="dxa"/>
            <w:tcBorders/>
            <w:shd w:color="auto" w:fill="auto" w:val="clear"/>
          </w:tcPr>
          <w:p>
            <w:pPr>
              <w:pStyle w:val="BodyText"/>
              <w:spacing w:before="0" w:after="0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3119" w:type="dxa"/>
            <w:tcBorders/>
            <w:shd w:color="auto" w:fill="auto" w:val="clear"/>
          </w:tcPr>
          <w:p>
            <w:pPr>
              <w:pStyle w:val="BodyText"/>
              <w:spacing w:before="0" w:after="0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W w:w="2172" w:type="dxa"/>
            <w:tcBorders/>
            <w:shd w:color="auto" w:fill="auto" w:val="clear"/>
          </w:tcPr>
          <w:p>
            <w:pPr>
              <w:pStyle w:val="BodyText"/>
              <w:spacing w:before="0" w:after="0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6662" w:type="dxa"/>
            <w:tcBorders/>
            <w:shd w:color="auto" w:fill="auto" w:val="clear"/>
          </w:tcPr>
          <w:p>
            <w:pPr>
              <w:pStyle w:val="BodyText"/>
              <w:spacing w:before="0" w:after="0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И.о. начальника ПТС</w:t>
            </w:r>
          </w:p>
        </w:tc>
        <w:tc>
          <w:tcPr>
            <w:tcW w:w="3119" w:type="dxa"/>
            <w:tcBorders/>
            <w:shd w:color="auto" w:fill="auto" w:val="clear"/>
          </w:tcPr>
          <w:p>
            <w:pPr>
              <w:pStyle w:val="BodyText"/>
              <w:spacing w:before="0" w:after="0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_____________ </w:t>
            </w:r>
          </w:p>
        </w:tc>
        <w:tc>
          <w:tcPr>
            <w:tcW w:w="2172" w:type="dxa"/>
            <w:tcBorders/>
            <w:shd w:color="auto" w:fill="auto" w:val="clear"/>
          </w:tcPr>
          <w:p>
            <w:pPr>
              <w:pStyle w:val="BodyText"/>
              <w:spacing w:before="0" w:after="0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Р.Х. Сингатулин</w:t>
            </w:r>
          </w:p>
        </w:tc>
      </w:tr>
    </w:tbl>
    <w:p>
      <w:pPr>
        <w:pStyle w:val="Normal"/>
        <w:rPr>
          <w:bCs/>
          <w:color w:val="000000" w:themeColor="text1"/>
        </w:rPr>
      </w:pPr>
      <w:r>
        <w:rPr>
          <w:bCs/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Normal"/>
        <w:jc w:val="right"/>
        <w:rPr>
          <w:color w:val="000000" w:themeColor="text1"/>
        </w:rPr>
      </w:pPr>
      <w:r>
        <w:rPr>
          <w:color w:val="000000" w:themeColor="text1"/>
        </w:rPr>
        <w:tab/>
      </w:r>
    </w:p>
    <w:p>
      <w:pPr>
        <w:pStyle w:val="Normal"/>
        <w:rPr>
          <w:color w:val="000000" w:themeColor="text1"/>
        </w:rPr>
      </w:pPr>
      <w:r>
        <w:rPr>
          <w:color w:val="000000" w:themeColor="text1"/>
        </w:rPr>
      </w:r>
    </w:p>
    <w:sectPr>
      <w:footerReference w:type="default" r:id="rId3"/>
      <w:footerReference w:type="first" r:id="rId4"/>
      <w:type w:val="nextPage"/>
      <w:pgSz w:orient="landscape" w:w="16838" w:h="11906"/>
      <w:pgMar w:left="851" w:right="851" w:gutter="0" w:header="0" w:top="568" w:footer="709" w:bottom="766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Segoe UI">
    <w:charset w:val="01"/>
    <w:family w:val="roman"/>
    <w:pitch w:val="variable"/>
  </w:font>
  <w:font w:name="PT Sans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2137769191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119543048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7</w:t>
        </w:r>
        <w:r>
          <w:rPr/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4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i w:val="false"/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trackRevision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uiPriority="37" w:semiHidden="1" w:unhideWhenUsed="1"/>
    <w:lsdException w:name="TOC Heading" w:uiPriority="0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c1e4b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eastAsia="ru-RU" w:val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5b63d2"/>
    <w:pPr>
      <w:keepNext w:val="true"/>
      <w:keepLines/>
      <w:spacing w:lineRule="auto" w:line="276" w:before="480" w:after="0"/>
      <w:outlineLvl w:val="0"/>
    </w:pPr>
    <w:rPr>
      <w:rFonts w:ascii="Cambria" w:hAnsi="Cambria"/>
      <w:b/>
      <w:bCs/>
      <w:color w:val="365F91"/>
      <w:lang w:eastAsia="en-US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b63d2"/>
    <w:pPr>
      <w:keepNext w:val="true"/>
      <w:keepLines/>
      <w:spacing w:lineRule="auto" w:line="276" w:before="200" w:after="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31"/>
    <w:semiHidden/>
    <w:unhideWhenUsed/>
    <w:qFormat/>
    <w:rsid w:val="00b8485f"/>
    <w:pPr>
      <w:keepNext w:val="true"/>
      <w:keepLines/>
      <w:spacing w:before="40" w:after="0"/>
      <w:outlineLvl w:val="2"/>
    </w:pPr>
    <w:rPr>
      <w:rFonts w:ascii="Cambria" w:hAnsi="Cambria" w:eastAsia="" w:cs="" w:asciiTheme="majorHAnsi" w:cstheme="majorBidi" w:eastAsiaTheme="majorEastAsia" w:hAnsiTheme="majorHAnsi"/>
      <w:color w:val="243F60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5b63d2"/>
    <w:rPr>
      <w:rFonts w:ascii="Cambria" w:hAnsi="Cambria" w:eastAsia="Times New Roman"/>
      <w:b/>
      <w:bCs/>
      <w:color w:val="365F91"/>
      <w:sz w:val="28"/>
      <w:szCs w:val="28"/>
    </w:rPr>
  </w:style>
  <w:style w:type="character" w:styleId="2" w:customStyle="1">
    <w:name w:val="Заголовок 2 Знак"/>
    <w:basedOn w:val="DefaultParagraphFont"/>
    <w:uiPriority w:val="9"/>
    <w:semiHidden/>
    <w:qFormat/>
    <w:rsid w:val="005b63d2"/>
    <w:rPr>
      <w:rFonts w:ascii="Cambria" w:hAnsi="Cambria" w:eastAsia="Times New Roman"/>
      <w:b/>
      <w:bCs/>
      <w:color w:val="4F81BD"/>
      <w:sz w:val="26"/>
      <w:szCs w:val="26"/>
    </w:rPr>
  </w:style>
  <w:style w:type="character" w:styleId="Style6" w:customStyle="1">
    <w:name w:val="Нижний колонтитул Знак"/>
    <w:basedOn w:val="DefaultParagraphFont"/>
    <w:uiPriority w:val="99"/>
    <w:qFormat/>
    <w:rsid w:val="00fc1e4b"/>
    <w:rPr>
      <w:rFonts w:ascii="Times New Roman" w:hAnsi="Times New Roman" w:eastAsia="Times New Roman"/>
      <w:sz w:val="28"/>
      <w:szCs w:val="28"/>
      <w:lang w:eastAsia="ru-RU"/>
    </w:rPr>
  </w:style>
  <w:style w:type="character" w:styleId="Style7" w:customStyle="1">
    <w:name w:val="Основной текст Знак"/>
    <w:basedOn w:val="DefaultParagraphFont"/>
    <w:qFormat/>
    <w:rsid w:val="00fc1e4b"/>
    <w:rPr>
      <w:rFonts w:ascii="Times New Roman" w:hAnsi="Times New Roman" w:eastAsia="Times New Roman"/>
      <w:sz w:val="28"/>
      <w:szCs w:val="28"/>
      <w:lang w:eastAsia="ru-RU"/>
    </w:rPr>
  </w:style>
  <w:style w:type="character" w:styleId="3" w:customStyle="1">
    <w:name w:val="Основной текст с отступом 3 Знак"/>
    <w:basedOn w:val="DefaultParagraphFont"/>
    <w:link w:val="BodyTextIndent3"/>
    <w:qFormat/>
    <w:rsid w:val="00fc1e4b"/>
    <w:rPr>
      <w:rFonts w:ascii="Times New Roman" w:hAnsi="Times New Roman" w:eastAsia="Times New Roman"/>
      <w:sz w:val="16"/>
      <w:szCs w:val="16"/>
      <w:lang w:eastAsia="ru-RU"/>
    </w:rPr>
  </w:style>
  <w:style w:type="character" w:styleId="Style8" w:customStyle="1">
    <w:name w:val="Текст примечания Знак"/>
    <w:basedOn w:val="DefaultParagraphFont"/>
    <w:link w:val="Annotationtext"/>
    <w:qFormat/>
    <w:rsid w:val="00fc1e4b"/>
    <w:rPr>
      <w:rFonts w:ascii="Times New Roman" w:hAnsi="Times New Roman" w:eastAsia="Times New Roman"/>
      <w:lang w:eastAsia="ru-RU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6b4b5e"/>
    <w:rPr>
      <w:rFonts w:ascii="Segoe UI" w:hAnsi="Segoe UI" w:eastAsia="Times New Roman" w:cs="Segoe UI"/>
      <w:sz w:val="18"/>
      <w:szCs w:val="18"/>
      <w:lang w:eastAsia="ru-RU"/>
    </w:rPr>
  </w:style>
  <w:style w:type="character" w:styleId="31" w:customStyle="1">
    <w:name w:val="Заголовок 3 Знак"/>
    <w:basedOn w:val="DefaultParagraphFont"/>
    <w:qFormat/>
    <w:rsid w:val="00b8485f"/>
    <w:rPr>
      <w:rFonts w:ascii="Cambria" w:hAnsi="Cambria" w:eastAsia="" w:cs="" w:asciiTheme="majorHAnsi" w:cstheme="majorBidi" w:eastAsiaTheme="majorEastAsia" w:hAnsiTheme="majorHAnsi"/>
      <w:color w:val="243F60" w:themeColor="accent1" w:themeShade="7f"/>
      <w:sz w:val="24"/>
      <w:szCs w:val="24"/>
      <w:lang w:eastAsia="ru-RU"/>
    </w:rPr>
  </w:style>
  <w:style w:type="character" w:styleId="Style10">
    <w:name w:val="Символ сноски"/>
    <w:qFormat/>
    <w:rPr/>
  </w:style>
  <w:style w:type="character" w:styleId="LineNumber">
    <w:name w:val="Line Number"/>
    <w:rPr/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7"/>
    <w:rsid w:val="00fc1e4b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34"/>
    <w:qFormat/>
    <w:rsid w:val="005b63d2"/>
    <w:pPr>
      <w:spacing w:before="0" w:after="0"/>
      <w:ind w:left="720"/>
      <w:contextualSpacing/>
    </w:pPr>
    <w:rPr/>
  </w:style>
  <w:style w:type="paragraph" w:styleId="Style13">
    <w:name w:val="Колонтитул"/>
    <w:basedOn w:val="Normal"/>
    <w:qFormat/>
    <w:pPr/>
    <w:rPr/>
  </w:style>
  <w:style w:type="paragraph" w:styleId="Footer">
    <w:name w:val="Footer"/>
    <w:basedOn w:val="Normal"/>
    <w:link w:val="Style6"/>
    <w:uiPriority w:val="99"/>
    <w:rsid w:val="00fc1e4b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3">
    <w:name w:val="Body Text Indent 3"/>
    <w:basedOn w:val="Normal"/>
    <w:link w:val="3"/>
    <w:qFormat/>
    <w:rsid w:val="00fc1e4b"/>
    <w:pPr>
      <w:spacing w:before="0" w:after="120"/>
      <w:ind w:left="283"/>
    </w:pPr>
    <w:rPr>
      <w:sz w:val="16"/>
      <w:szCs w:val="16"/>
    </w:rPr>
  </w:style>
  <w:style w:type="paragraph" w:styleId="Annotationtext">
    <w:name w:val="annotation text"/>
    <w:basedOn w:val="Normal"/>
    <w:link w:val="Style8"/>
    <w:qFormat/>
    <w:rsid w:val="00fc1e4b"/>
    <w:pPr/>
    <w:rPr>
      <w:sz w:val="20"/>
      <w:szCs w:val="20"/>
    </w:rPr>
  </w:style>
  <w:style w:type="paragraph" w:styleId="Default" w:customStyle="1">
    <w:name w:val="Default"/>
    <w:qFormat/>
    <w:rsid w:val="00fc1e4b"/>
    <w:pPr>
      <w:widowControl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eastAsia="ru-RU" w:val="ru-RU" w:bidi="ar-SA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6b4b5e"/>
    <w:pPr/>
    <w:rPr>
      <w:rFonts w:ascii="Segoe UI" w:hAnsi="Segoe UI" w:cs="Segoe UI"/>
      <w:sz w:val="18"/>
      <w:szCs w:val="18"/>
    </w:rPr>
  </w:style>
  <w:style w:type="paragraph" w:styleId="NoSpacing">
    <w:name w:val="No Spacing"/>
    <w:qFormat/>
    <w:rsid w:val="00b8485f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fc1e4b"/>
    <w:rPr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Application>AlterOffice/2026.2.1.0$Linux_X86_64 LibreOffice_project/f008988ffacaa0b2bf57911c2759d08ca79831df</Application>
  <AppVersion>15.0000</AppVersion>
  <Pages>7</Pages>
  <Words>646</Words>
  <Characters>4607</Characters>
  <CharactersWithSpaces>5239</CharactersWithSpaces>
  <Paragraphs>99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2022-06-16T02:12:00Z</dcterms:created>
  <dc:creator>Степанова Юлия Владимировна</dc:creator>
  <dc:description/>
  <dc:language>ru-RU</dc:language>
  <cp:lastModifiedBy>ponomarenkoaa@corp.gidroogk.com</cp:lastModifiedBy>
  <cp:lastPrinted>2022-08-19T01:41:00Z</cp:lastPrinted>
  <dcterms:modified xsi:type="dcterms:W3CDTF">2026-10-06T13:50:20Z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