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8"/>
          <w:szCs w:val="28"/>
        </w:rPr>
      </w:pPr>
      <w:r>
        <w:rPr>
          <w:rFonts w:eastAsia="Calibri"/>
          <w:b/>
          <w:sz w:val="28"/>
          <w:szCs w:val="28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b/>
          <w:szCs w:val="26"/>
        </w:rPr>
      </w:pPr>
      <w:r>
        <w:rPr>
          <w:rFonts w:eastAsia="Calibri"/>
          <w:b/>
          <w:i/>
          <w:sz w:val="26"/>
          <w:szCs w:val="26"/>
        </w:rPr>
        <w:t>ОКДП2 42.22.12.120. 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сети"</w:t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jc w:val="both"/>
        <w:rPr>
          <w:sz w:val="26"/>
          <w:szCs w:val="26"/>
        </w:rPr>
      </w:pPr>
      <w:r>
        <w:rPr>
          <w:sz w:val="26"/>
          <w:szCs w:val="26"/>
        </w:rPr>
      </w:r>
      <w:r>
        <w:br w:type="page"/>
      </w:r>
    </w:p>
    <w:p>
      <w:pPr>
        <w:pStyle w:val="Normal"/>
        <w:jc w:val="both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22"/>
              <w:vanish w:val="false"/>
            </w:rPr>
            <w:instrText xml:space="preserve"> TOC \z \o "1-4" \u \h</w:instrText>
          </w:r>
          <w:r>
            <w:rPr>
              <w:webHidden/>
              <w:rStyle w:val="Style22"/>
              <w:vanish w:val="false"/>
            </w:rPr>
            <w:fldChar w:fldCharType="separate"/>
          </w:r>
          <w:hyperlink w:anchor="_Toc54646395">
            <w:r>
              <w:rPr>
                <w:webHidden/>
                <w:rStyle w:val="Style22"/>
                <w:vanish w:val="false"/>
              </w:rPr>
              <w:t>1.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2"/>
              </w:rPr>
              <w:t>Общие сведения</w:t>
            </w:r>
            <w:r>
              <w:rPr>
                <w:rStyle w:val="Style22"/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_Toc54646395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2"/>
                <w:vanish w:val="false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396">
            <w:r>
              <w:rPr>
                <w:webHidden/>
                <w:rStyle w:val="Style22"/>
                <w:iCs/>
                <w:vanish w:val="false"/>
              </w:rPr>
              <w:t>1.1.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Обозначения и сокращения</w:t>
            </w:r>
            <w:r>
              <w:rPr>
                <w:rStyle w:val="Style22"/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_Toc54646396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2"/>
                <w:vanish w:val="false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397">
            <w:r>
              <w:rPr>
                <w:webHidden/>
                <w:rStyle w:val="Style22"/>
                <w:iCs/>
                <w:vanish w:val="false"/>
              </w:rPr>
              <w:t>1.2.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Наименование закупаемой продукции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398">
            <w:r>
              <w:rPr>
                <w:webHidden/>
                <w:rStyle w:val="Style22"/>
                <w:iCs/>
                <w:vanish w:val="false"/>
              </w:rPr>
              <w:t>1.3.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Цель выполнения работ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399">
            <w:r>
              <w:rPr>
                <w:webHidden/>
                <w:rStyle w:val="Style22"/>
                <w:iCs/>
                <w:vanish w:val="false"/>
              </w:rPr>
              <w:t>1.4.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Существующее положение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17"/>
            <w:tabs>
              <w:tab w:val="clear" w:pos="708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6400">
            <w:r>
              <w:rPr>
                <w:webHidden/>
                <w:rStyle w:val="Style22"/>
                <w:vanish w:val="false"/>
              </w:rPr>
              <w:t>Таблица 1. Перечень объектов заказчика</w:t>
              <w:tab/>
            </w:r>
          </w:hyperlink>
          <w:r>
            <w:rPr/>
            <w:t>4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1">
            <w:r>
              <w:rPr>
                <w:webHidden/>
                <w:rStyle w:val="Style22"/>
                <w:iCs/>
                <w:vanish w:val="false"/>
              </w:rPr>
              <w:t>1.5.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rStyle w:val="Style22"/>
                <w:vanish w:val="false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_Toc54646401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22"/>
                <w:vanish w:val="false"/>
                <w:lang w:val="en-US"/>
              </w:rPr>
              <w:t>9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2">
            <w:r>
              <w:rPr>
                <w:webHidden/>
                <w:rStyle w:val="Style22"/>
                <w:iCs/>
                <w:vanish w:val="false"/>
              </w:rPr>
              <w:t>1.6.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Иные требования и сведения общего характера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6403">
            <w:r>
              <w:rPr>
                <w:webHidden/>
                <w:rStyle w:val="Style22"/>
                <w:vanish w:val="false"/>
              </w:rPr>
              <w:t>2.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2"/>
                <w:iCs/>
              </w:rPr>
              <w:t>Требования к продукции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4">
            <w:r>
              <w:rPr>
                <w:webHidden/>
                <w:rStyle w:val="Style22"/>
                <w:iCs/>
                <w:vanish w:val="false"/>
              </w:rPr>
              <w:t>2.1.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Требования к объемам и срокам выполнения работ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35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5">
            <w:r>
              <w:rPr>
                <w:webHidden/>
                <w:rStyle w:val="Style22"/>
                <w:vanish w:val="false"/>
              </w:rPr>
              <w:t>2.1.1.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Требования к видам и объемам работ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17"/>
            <w:tabs>
              <w:tab w:val="clear" w:pos="708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6406">
            <w:r>
              <w:rPr>
                <w:webHidden/>
                <w:rStyle w:val="Style22"/>
                <w:vanish w:val="false"/>
              </w:rPr>
              <w:t>Таблица 2. Перечень и объем выполняемых работ</w:t>
              <w:tab/>
            </w:r>
          </w:hyperlink>
          <w:r>
            <w:rPr/>
            <w:t>4</w:t>
          </w:r>
        </w:p>
        <w:p>
          <w:pPr>
            <w:pStyle w:val="35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7">
            <w:r>
              <w:rPr>
                <w:webHidden/>
                <w:rStyle w:val="Style22"/>
                <w:vanish w:val="false"/>
              </w:rPr>
              <w:t>2.1.2.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Требования к срокам выполнения работ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4</w:t>
          </w:r>
        </w:p>
        <w:p>
          <w:pPr>
            <w:pStyle w:val="17"/>
            <w:tabs>
              <w:tab w:val="clear" w:pos="708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6408">
            <w:r>
              <w:rPr>
                <w:webHidden/>
                <w:rStyle w:val="Style22"/>
                <w:vanish w:val="false"/>
              </w:rPr>
              <w:t>Таблица 3. Требования по срокам выполнения работ</w:t>
              <w:tab/>
            </w:r>
          </w:hyperlink>
          <w:r>
            <w:rPr/>
            <w:t>5</w:t>
          </w:r>
        </w:p>
        <w:p>
          <w:pPr>
            <w:pStyle w:val="42"/>
            <w:tabs>
              <w:tab w:val="clear" w:pos="708"/>
              <w:tab w:val="left" w:pos="1120" w:leader="none"/>
              <w:tab w:val="right" w:pos="9911" w:leader="dot"/>
            </w:tabs>
            <w:jc w:val="both"/>
            <w:rPr>
              <w:rFonts w:ascii="Calibri" w:hAnsi="Calibri" w:eastAsia="新細明體" w:cs="Arial" w:asciiTheme="minorHAnsi" w:cstheme="minorBidi" w:eastAsiaTheme="minorEastAsia" w:hAnsiTheme="minorHAnsi"/>
              <w:sz w:val="24"/>
              <w:szCs w:val="24"/>
            </w:rPr>
          </w:pPr>
          <w:hyperlink w:anchor="_Toc54646409">
            <w:r>
              <w:rPr>
                <w:webHidden/>
                <w:rStyle w:val="Style22"/>
                <w:iCs/>
                <w:vanish w:val="false"/>
              </w:rPr>
              <w:t>2.2.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22"/>
              </w:rPr>
              <w:t>Требования к качеству работ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5</w:t>
          </w:r>
        </w:p>
        <w:p>
          <w:pPr>
            <w:pStyle w:val="17"/>
            <w:tabs>
              <w:tab w:val="clear" w:pos="708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6410">
            <w:r>
              <w:rPr>
                <w:webHidden/>
                <w:rStyle w:val="Style22"/>
                <w:vanish w:val="false"/>
              </w:rPr>
              <w:t>Таблица 4. Требования к качеству работ</w:t>
              <w:tab/>
            </w:r>
          </w:hyperlink>
          <w:r>
            <w:rPr/>
            <w:t>5</w:t>
          </w:r>
        </w:p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6411">
            <w:r>
              <w:rPr>
                <w:webHidden/>
                <w:rStyle w:val="Style22"/>
                <w:vanish w:val="false"/>
              </w:rPr>
              <w:t>3.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2"/>
              </w:rPr>
              <w:t>Требования к документации по ценообразованию на этапе закупки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19</w:t>
          </w:r>
        </w:p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6412">
            <w:r>
              <w:rPr>
                <w:webHidden/>
                <w:rStyle w:val="Style22"/>
                <w:vanish w:val="false"/>
              </w:rPr>
              <w:t>4.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2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19</w:t>
          </w:r>
        </w:p>
        <w:p>
          <w:pPr>
            <w:pStyle w:val="17"/>
            <w:tabs>
              <w:tab w:val="clear" w:pos="708"/>
              <w:tab w:val="left" w:pos="560" w:leader="none"/>
              <w:tab w:val="right" w:pos="9911" w:leader="dot"/>
            </w:tabs>
            <w:spacing w:before="0" w:after="0"/>
            <w:jc w:val="both"/>
            <w:rPr>
              <w:rFonts w:ascii="Calibri" w:hAnsi="Calibri" w:eastAsia="新細明體" w:cs="Arial" w:asciiTheme="minorHAnsi" w:cstheme="minorBidi" w:eastAsiaTheme="minorEastAsia" w:hAnsiTheme="minorHAnsi"/>
              <w:b w:val="false"/>
              <w:bCs w:val="false"/>
            </w:rPr>
          </w:pPr>
          <w:hyperlink w:anchor="_Toc54646413">
            <w:r>
              <w:rPr>
                <w:webHidden/>
                <w:rStyle w:val="Style22"/>
                <w:vanish w:val="false"/>
              </w:rPr>
              <w:t>5.</w:t>
            </w:r>
            <w:r>
              <w:rPr>
                <w:rStyle w:val="Style22"/>
                <w:rFonts w:eastAsia="新細明體" w:cs="Arial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22"/>
                <w:iCs/>
              </w:rPr>
              <w:t>Приложения</w:t>
            </w:r>
            <w:r>
              <w:rPr>
                <w:rStyle w:val="Style22"/>
                <w:vanish w:val="false"/>
              </w:rPr>
              <w:tab/>
            </w:r>
          </w:hyperlink>
          <w:r>
            <w:rPr/>
            <w:t>19</w:t>
          </w:r>
          <w:r>
            <w:rPr/>
            <w:fldChar w:fldCharType="end"/>
          </w:r>
        </w:p>
        <w:p>
          <w:pPr>
            <w:sectPr>
              <w:headerReference w:type="default" r:id="rId2"/>
              <w:headerReference w:type="first" r:id="rId3"/>
              <w:type w:val="nextPage"/>
              <w:pgSz w:w="11906" w:h="16838"/>
              <w:pgMar w:left="851" w:right="851" w:gutter="0" w:header="680" w:top="737" w:footer="0" w:bottom="992"/>
              <w:pgNumType w:fmt="decimal"/>
              <w:formProt w:val="false"/>
              <w:titlePg/>
              <w:textDirection w:val="lrTb"/>
              <w:docGrid w:type="default" w:linePitch="381" w:charSpace="0"/>
            </w:sectPr>
          </w:pPr>
        </w:p>
      </w:sdtContent>
    </w:sdt>
    <w:p>
      <w:pPr>
        <w:pStyle w:val="1"/>
        <w:numPr>
          <w:ilvl w:val="0"/>
          <w:numId w:val="3"/>
        </w:numPr>
        <w:ind w:left="0" w:hanging="0"/>
        <w:rPr>
          <w:caps/>
        </w:rPr>
      </w:pPr>
      <w:bookmarkStart w:id="0" w:name="_Toc51339692"/>
      <w:bookmarkStart w:id="1" w:name="_Toc54646395"/>
      <w:r>
        <w:rPr/>
        <w:t>Общие сведения</w:t>
      </w:r>
      <w:bookmarkEnd w:id="0"/>
      <w:bookmarkEnd w:id="1"/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4"/>
        <w:numPr>
          <w:ilvl w:val="1"/>
          <w:numId w:val="3"/>
        </w:numPr>
        <w:ind w:left="0" w:firstLine="567"/>
        <w:rPr/>
      </w:pPr>
      <w:r>
        <w:rPr/>
        <w:t>Обозначения и сокращения, используемые в Технических требованиях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  <w:lang w:val="sah-RU"/>
        </w:rPr>
      </w:pPr>
      <w:r>
        <w:rPr>
          <w:bCs/>
          <w:color w:val="2D2D2D"/>
          <w:spacing w:val="2"/>
          <w:shd w:fill="FFFFFF" w:val="clear"/>
          <w:lang w:val="sah-RU"/>
        </w:rPr>
        <w:t>РФ – Российская Федерация;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  <w:lang w:val="sah-RU"/>
        </w:rPr>
      </w:pPr>
      <w:r>
        <w:rPr>
          <w:bCs/>
          <w:color w:val="2D2D2D"/>
          <w:spacing w:val="2"/>
          <w:shd w:fill="FFFFFF" w:val="clear"/>
          <w:lang w:val="sah-RU"/>
        </w:rPr>
        <w:t>РД – рабочая документация;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ТТ – технические требования;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</w:rPr>
      </w:pPr>
      <w:r>
        <w:rPr>
          <w:bCs/>
          <w:color w:val="2D2D2D"/>
          <w:spacing w:val="2"/>
          <w:shd w:fill="FFFFFF" w:val="clear"/>
          <w:lang w:val="sah-RU"/>
        </w:rPr>
        <w:t>ВЛ</w:t>
      </w:r>
      <w:r>
        <w:rPr>
          <w:bCs/>
          <w:color w:val="2D2D2D"/>
          <w:spacing w:val="2"/>
          <w:shd w:fill="FFFFFF" w:val="clear"/>
        </w:rPr>
        <w:t xml:space="preserve"> – воздушная линия;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</w:rPr>
      </w:pPr>
      <w:r>
        <w:rPr>
          <w:bCs/>
          <w:color w:val="2D2D2D"/>
          <w:spacing w:val="2"/>
          <w:shd w:fill="FFFFFF" w:val="clear"/>
        </w:rPr>
        <w:t>КЛ – кабельная линия;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</w:rPr>
      </w:pPr>
      <w:r>
        <w:rPr>
          <w:bCs/>
          <w:color w:val="2D2D2D"/>
          <w:spacing w:val="2"/>
          <w:shd w:fill="FFFFFF" w:val="clear"/>
        </w:rPr>
        <w:t>ЛЭП – линия электропередач;</w:t>
      </w:r>
    </w:p>
    <w:p>
      <w:pPr>
        <w:pStyle w:val="NoSpacing"/>
        <w:ind w:left="-851" w:firstLine="851"/>
        <w:jc w:val="both"/>
        <w:rPr>
          <w:bCs/>
          <w:color w:val="2D2D2D"/>
          <w:spacing w:val="2"/>
          <w:shd w:fill="FFFFFF" w:val="clear"/>
        </w:rPr>
      </w:pPr>
      <w:r>
        <w:rPr>
          <w:bCs/>
          <w:color w:val="2D2D2D"/>
          <w:spacing w:val="2"/>
          <w:shd w:fill="FFFFFF" w:val="clear"/>
        </w:rPr>
        <w:t>ПС – подстанция;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 xml:space="preserve">ТП - Трансформаторная подстанция / </w:t>
      </w:r>
      <w:r>
        <w:rPr>
          <w:lang w:val="sah-RU"/>
        </w:rPr>
        <w:t>трансформаторный пункт</w:t>
      </w:r>
      <w:r>
        <w:rPr>
          <w:color w:val="2D2D2D"/>
          <w:spacing w:val="2"/>
          <w:shd w:fill="FFFFFF" w:val="clear"/>
        </w:rPr>
        <w:t>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РТП – распределительный трансформаторный пункт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НТД – нормативно-техническая документация;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НПА – нормативно-правовой акт;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РЭС – районные электрические сети;</w:t>
      </w:r>
    </w:p>
    <w:p>
      <w:pPr>
        <w:pStyle w:val="NoSpacing"/>
        <w:ind w:left="-851" w:firstLine="851"/>
        <w:jc w:val="both"/>
        <w:rPr>
          <w:lang w:val="sah-RU"/>
        </w:rPr>
      </w:pPr>
      <w:r>
        <w:rPr>
          <w:spacing w:val="-1"/>
          <w:sz w:val="26"/>
          <w:szCs w:val="26"/>
        </w:rPr>
        <w:t xml:space="preserve">СП </w:t>
      </w:r>
      <w:r>
        <w:rPr>
          <w:bCs/>
          <w:color w:val="2D2D2D"/>
          <w:spacing w:val="2"/>
          <w:shd w:fill="FFFFFF" w:val="clear"/>
          <w:lang w:val="sah-RU"/>
        </w:rPr>
        <w:t>– струтурное подразделение филиала АО “ДРСК”;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ПУЭ – Правила устройства электроустановок;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ПОТЭЭУ – Правила по охране турда при эксплуатации электроустановок;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МО – Муниципальное образования;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ГОСТ - Государственный стандарт;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СНиП - Строительные нормы и правила;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СП – свод правил;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СРО – саморегулируемая организация;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кВ -  единица измерения напряжения киловольт;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кВт – единица измерения мощности киловатт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Ед.изм. – единица измерения;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Кол-во –  количество;</w:t>
      </w:r>
    </w:p>
    <w:p>
      <w:pPr>
        <w:pStyle w:val="NoSpacing"/>
        <w:ind w:left="-851" w:firstLine="851"/>
        <w:rPr>
          <w:lang w:val="sah-RU"/>
        </w:rPr>
      </w:pPr>
      <w:r>
        <w:rPr>
          <w:lang w:val="sah-RU"/>
        </w:rPr>
        <w:t>Шт. – единица измерения в штуках;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мм – единица измерения в миллиметрах;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см – единица измерения в сантиметрах;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тн - единица измерения в тоннах;</w:t>
      </w:r>
    </w:p>
    <w:p>
      <w:pPr>
        <w:pStyle w:val="NoSpacing"/>
        <w:ind w:left="-851" w:firstLine="851"/>
        <w:jc w:val="both"/>
        <w:rPr>
          <w:color w:val="2D2D2D"/>
          <w:spacing w:val="2"/>
          <w:shd w:fill="FFFFFF" w:val="clear"/>
        </w:rPr>
      </w:pPr>
      <w:r>
        <w:rPr>
          <w:color w:val="2D2D2D"/>
          <w:spacing w:val="2"/>
          <w:shd w:fill="FFFFFF" w:val="clear"/>
        </w:rPr>
        <w:t>ЛОС – локальные очистные сооружения.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4"/>
        <w:numPr>
          <w:ilvl w:val="1"/>
          <w:numId w:val="3"/>
        </w:numPr>
        <w:ind w:left="0" w:hanging="0"/>
        <w:rPr/>
      </w:pPr>
      <w:bookmarkStart w:id="2" w:name="_Toc54646397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15"/>
          <w:rFonts w:eastAsia="Calibri"/>
          <w:b w:val="false"/>
          <w:sz w:val="24"/>
          <w:szCs w:val="24"/>
          <w:shd w:fill="auto" w:val="clear"/>
          <w:lang w:eastAsia="x-none"/>
        </w:rPr>
      </w:pPr>
      <w:r>
        <w:rPr>
          <w:rStyle w:val="Style15"/>
          <w:rFonts w:eastAsia="Calibri"/>
          <w:b w:val="false"/>
          <w:i/>
          <w:sz w:val="24"/>
          <w:szCs w:val="24"/>
          <w:shd w:fill="auto" w:val="clear"/>
          <w:lang w:eastAsia="x-none"/>
        </w:rPr>
        <w:t>«Выполнение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сети»</w:t>
      </w:r>
    </w:p>
    <w:p>
      <w:pPr>
        <w:pStyle w:val="4"/>
        <w:numPr>
          <w:ilvl w:val="1"/>
          <w:numId w:val="3"/>
        </w:numPr>
        <w:ind w:left="0" w:hanging="0"/>
        <w:rPr>
          <w:rStyle w:val="Style15"/>
          <w:b/>
          <w:bCs w:val="false"/>
          <w:sz w:val="28"/>
          <w:szCs w:val="28"/>
          <w:lang w:val="ru-RU" w:eastAsia="ru-RU"/>
        </w:rPr>
      </w:pPr>
      <w:bookmarkStart w:id="4" w:name="_Toc54646398"/>
      <w:bookmarkStart w:id="5" w:name="_Toc46743507"/>
      <w:r>
        <w:rPr/>
        <w:t xml:space="preserve">Цель </w:t>
      </w:r>
      <w:bookmarkEnd w:id="5"/>
      <w:r>
        <w:rPr/>
        <w:t>выполнения работ</w:t>
      </w:r>
      <w:bookmarkEnd w:id="4"/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Монтаж линейной ячейки 35 кВ - 1 шт. и установка БСК 35 кВ - 1 шт. для обеспечения функционирования объекта.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  <w:t>Работы по настоящим техническим требованиям выполняются в рамках реализации инвестиционного проекта: ОКДП2 42.22.12.120. 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сети".</w:t>
      </w:r>
    </w:p>
    <w:p>
      <w:pPr>
        <w:pStyle w:val="Normal"/>
        <w:jc w:val="both"/>
        <w:rPr>
          <w:i/>
          <w:i/>
          <w:sz w:val="24"/>
          <w:szCs w:val="24"/>
        </w:rPr>
      </w:pPr>
      <w:r>
        <w:rPr>
          <w:i/>
          <w:sz w:val="24"/>
          <w:szCs w:val="24"/>
        </w:rPr>
      </w:r>
    </w:p>
    <w:p>
      <w:pPr>
        <w:pStyle w:val="4"/>
        <w:numPr>
          <w:ilvl w:val="1"/>
          <w:numId w:val="3"/>
        </w:numPr>
        <w:ind w:left="0" w:firstLine="426"/>
        <w:rPr>
          <w:b w:val="false"/>
        </w:rPr>
      </w:pPr>
      <w:bookmarkStart w:id="6" w:name="_Toc46743508"/>
      <w:bookmarkStart w:id="7" w:name="_Toc54646399"/>
      <w:r>
        <w:rPr/>
        <w:t>Существующее положение</w:t>
      </w:r>
      <w:bookmarkEnd w:id="6"/>
      <w:bookmarkEnd w:id="7"/>
    </w:p>
    <w:p>
      <w:pPr>
        <w:pStyle w:val="-1"/>
        <w:numPr>
          <w:ilvl w:val="0"/>
          <w:numId w:val="0"/>
        </w:numPr>
        <w:spacing w:lineRule="auto" w:line="240" w:before="0" w:after="0"/>
        <w:ind w:left="0" w:firstLine="426"/>
        <w:contextualSpacing/>
        <w:rPr>
          <w:sz w:val="24"/>
          <w:szCs w:val="24"/>
        </w:rPr>
      </w:pPr>
      <w:r>
        <w:rPr>
          <w:sz w:val="24"/>
          <w:szCs w:val="24"/>
        </w:rPr>
        <w:t>1.4.1. Вид деятельности – разработка рабочей документации и выполнение  строительно-монтажных работ по монтажу линейной ячейки 35 кВ и установкой БСК 35 кВ на  ПС 35/10 кВ «Пограничная».</w:t>
      </w:r>
    </w:p>
    <w:p>
      <w:pPr>
        <w:pStyle w:val="-1"/>
        <w:numPr>
          <w:ilvl w:val="0"/>
          <w:numId w:val="0"/>
        </w:numPr>
        <w:spacing w:lineRule="auto" w:line="240" w:before="0" w:after="0"/>
        <w:ind w:left="0" w:firstLine="426"/>
        <w:contextualSpacing/>
        <w:rPr>
          <w:sz w:val="24"/>
          <w:szCs w:val="24"/>
        </w:rPr>
      </w:pPr>
      <w:r>
        <w:rPr>
          <w:rFonts w:eastAsia="Times New Roman"/>
          <w:bCs/>
          <w:sz w:val="24"/>
          <w:szCs w:val="24"/>
          <w:lang w:eastAsia="ru-RU"/>
        </w:rPr>
        <w:t xml:space="preserve">1.4.2. Строительно-монтажные работы </w:t>
      </w:r>
      <w:r>
        <w:rPr>
          <w:rFonts w:eastAsia="Times New Roman"/>
          <w:sz w:val="24"/>
          <w:szCs w:val="24"/>
          <w:lang w:eastAsia="ru-RU"/>
        </w:rPr>
        <w:t>производятся</w:t>
      </w:r>
      <w:r>
        <w:rPr>
          <w:rFonts w:eastAsia="Times New Roman"/>
          <w:bCs/>
          <w:sz w:val="24"/>
          <w:szCs w:val="24"/>
          <w:lang w:eastAsia="ru-RU"/>
        </w:rPr>
        <w:t xml:space="preserve"> в границах действующего объекта (подстанции) </w:t>
      </w:r>
      <w:r>
        <w:rPr>
          <w:rFonts w:eastAsia="Times New Roman"/>
          <w:sz w:val="24"/>
          <w:szCs w:val="24"/>
          <w:lang w:eastAsia="ru-RU"/>
        </w:rPr>
        <w:t xml:space="preserve">35/10 кВ, в охранной зоне и населенной местности. Во время выполнения работ Подрядчику необходимо проводить согласованные действия и мероприятия по всем видам работ в </w:t>
      </w:r>
      <w:bookmarkStart w:id="8" w:name="_GoBack"/>
      <w:bookmarkEnd w:id="8"/>
      <w:r>
        <w:rPr>
          <w:rFonts w:eastAsia="Times New Roman"/>
          <w:sz w:val="24"/>
          <w:szCs w:val="24"/>
          <w:lang w:eastAsia="ru-RU"/>
        </w:rPr>
        <w:t>соответствии с требованиями: Правила по охране труда при эксплуатации электроустановок от 15.12.2020г. № 903н, СНиП 12-01-2004 п.4, СНиП 12-03-2001. ч.1, СНиП 12-04-2002. ч.2, СНиП 3.02.01-87, СНиП 3.05.06-85.</w:t>
      </w:r>
    </w:p>
    <w:p>
      <w:pPr>
        <w:pStyle w:val="Normal"/>
        <w:tabs>
          <w:tab w:val="clear" w:pos="708"/>
          <w:tab w:val="left" w:pos="284" w:leader="none"/>
        </w:tabs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ind w:left="0" w:firstLine="426"/>
        <w:jc w:val="both"/>
        <w:rPr>
          <w:b/>
          <w:sz w:val="24"/>
          <w:szCs w:val="24"/>
          <w:lang w:val="x-none"/>
        </w:rPr>
      </w:pPr>
      <w:bookmarkStart w:id="9" w:name="_Toc54643126"/>
      <w:r>
        <w:rPr>
          <w:b/>
          <w:sz w:val="24"/>
          <w:szCs w:val="24"/>
          <w:lang w:val="x-none"/>
        </w:rPr>
        <w:t xml:space="preserve">Таблица 1. Перечень объектов </w:t>
      </w:r>
      <w:bookmarkEnd w:id="9"/>
      <w:r>
        <w:rPr>
          <w:b/>
          <w:sz w:val="24"/>
          <w:szCs w:val="24"/>
          <w:lang w:val="x-none"/>
        </w:rPr>
        <w:t>заказчика</w:t>
      </w:r>
    </w:p>
    <w:tbl>
      <w:tblPr>
        <w:tblW w:w="1048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52"/>
        <w:gridCol w:w="1993"/>
        <w:gridCol w:w="3404"/>
        <w:gridCol w:w="4535"/>
      </w:tblGrid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(место производства работ) 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основного средства (в отношении которого выполняются работы)</w:t>
            </w:r>
          </w:p>
        </w:tc>
      </w:tr>
      <w:tr>
        <w:trPr/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>
          <w:trHeight w:val="680" w:hRule="atLeast"/>
        </w:trPr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ind w:left="360"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ind w:left="0" w:firstLine="567"/>
              <w:jc w:val="both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/>
                <w:i/>
              </w:rPr>
              <w:t>ПС 35/10 кВ Пограничная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Приморский край, </w:t>
            </w:r>
            <w:r>
              <w:rPr>
                <w:i/>
                <w:iCs/>
                <w:sz w:val="24"/>
                <w:szCs w:val="24"/>
              </w:rPr>
              <w:t>Пограничный район, пос. Пограничный, ул. Уссурийская, 25</w:t>
            </w:r>
          </w:p>
        </w:tc>
        <w:tc>
          <w:tcPr>
            <w:tcW w:w="4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Ячейка 35 кВ</w:t>
            </w:r>
            <w:r>
              <w:rPr>
                <w:i/>
                <w:iCs/>
                <w:sz w:val="24"/>
                <w:szCs w:val="24"/>
              </w:rPr>
              <w:t>, инв. № присвоить.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</w:tr>
      <w:tr>
        <w:trPr>
          <w:trHeight w:val="680" w:hRule="atLeast"/>
        </w:trPr>
        <w:tc>
          <w:tcPr>
            <w:tcW w:w="5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ind w:left="360" w:firstLine="567"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W w:w="1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tabs>
                <w:tab w:val="clear" w:pos="708"/>
                <w:tab w:val="left" w:pos="284" w:leader="none"/>
                <w:tab w:val="left" w:pos="567" w:leader="none"/>
              </w:tabs>
              <w:ind w:left="0" w:firstLine="567"/>
              <w:jc w:val="both"/>
              <w:rPr>
                <w:rFonts w:eastAsia="Times New Roman"/>
                <w:i/>
                <w:i/>
                <w:iCs/>
              </w:rPr>
            </w:pPr>
            <w:r>
              <w:rPr>
                <w:rFonts w:eastAsia="Times New Roman"/>
                <w:i/>
                <w:iCs/>
              </w:rPr>
              <w:t>ПС 35/10 кВ Пограничная</w:t>
            </w:r>
          </w:p>
        </w:tc>
        <w:tc>
          <w:tcPr>
            <w:tcW w:w="340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Приморский край, Пограничный район, пос. Пограничный, ул. Уссурийская, 25</w:t>
            </w:r>
          </w:p>
        </w:tc>
        <w:tc>
          <w:tcPr>
            <w:tcW w:w="4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БСК 35  кВ, инв. № присвоить.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2.</w:t>
        <w:tab/>
        <w:t>Требования к продукции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Таблица 2. Перечень и объем выполняемых работ</w:t>
      </w:r>
    </w:p>
    <w:tbl>
      <w:tblPr>
        <w:tblW w:w="1049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567"/>
        <w:gridCol w:w="3118"/>
        <w:gridCol w:w="6805"/>
      </w:tblGrid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ind w:left="-107" w:right="-107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 / этапа работ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работ</w:t>
            </w:r>
          </w:p>
        </w:tc>
      </w:tr>
      <w:tr>
        <w:trPr/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ind w:left="-107" w:right="-107" w:firstLine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</w:tr>
      <w:tr>
        <w:trPr>
          <w:trHeight w:val="307" w:hRule="atLeast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7" w:right="-107" w:firstLine="567"/>
              <w:contextualSpacing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Разработка рабочей документации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Разработка рабочей документации по объекту «Выполнение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сети»</w:t>
            </w:r>
          </w:p>
        </w:tc>
      </w:tr>
      <w:tr>
        <w:trPr>
          <w:trHeight w:val="307" w:hRule="atLeast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7" w:right="-107" w:firstLine="567"/>
              <w:contextualSpacing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rFonts w:eastAsia="Calibri"/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Выполнение строительно-монтажных работ </w:t>
            </w:r>
          </w:p>
        </w:tc>
        <w:tc>
          <w:tcPr>
            <w:tcW w:w="68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 Мероприятия по монтажу линейной ячейки 35 кВ;</w:t>
            </w:r>
          </w:p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2. Мероприятия по монтажу БСК 35 кВ </w:t>
            </w:r>
          </w:p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Таблица 3. Требования по срокам выполнения работ</w:t>
      </w:r>
    </w:p>
    <w:tbl>
      <w:tblPr>
        <w:tblW w:w="1034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7"/>
        <w:gridCol w:w="5816"/>
        <w:gridCol w:w="1845"/>
        <w:gridCol w:w="2125"/>
      </w:tblGrid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-114" w:right="-107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работ/ этапа работ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57" w:right="57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выполнения работ/ этапа работ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ind w:left="57" w:right="57"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выполнения работ / этапа работ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ind w:left="-114" w:right="-107" w:firstLine="56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4" w:right="-107" w:firstLine="567"/>
              <w:contextualSpacing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Разработка рабочей документации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В течении одного месяца с момента заключения договора</w:t>
            </w:r>
          </w:p>
        </w:tc>
      </w:tr>
      <w:tr>
        <w:trPr/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4" w:right="-107" w:firstLine="567"/>
              <w:contextualSpacing/>
              <w:jc w:val="center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  <w:t>2</w:t>
            </w:r>
          </w:p>
        </w:tc>
        <w:tc>
          <w:tcPr>
            <w:tcW w:w="5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Выполнение строительно-монтажных работ.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с даты заключения договора</w:t>
            </w:r>
          </w:p>
        </w:tc>
        <w:tc>
          <w:tcPr>
            <w:tcW w:w="2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iCs/>
                <w:color w:val="000000" w:themeColor="text1"/>
                <w:sz w:val="24"/>
                <w:szCs w:val="24"/>
              </w:rPr>
            </w:pPr>
            <w:r>
              <w:rPr>
                <w:iCs/>
                <w:color w:val="000000" w:themeColor="text1"/>
                <w:sz w:val="24"/>
                <w:szCs w:val="24"/>
              </w:rPr>
              <w:t>В течении шести месяцев с момента заключения договора</w:t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Таблица 4. Требования к качеству работ</w:t>
      </w:r>
    </w:p>
    <w:tbl>
      <w:tblPr>
        <w:tblStyle w:val="af"/>
        <w:tblW w:w="103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7"/>
        <w:gridCol w:w="2557"/>
        <w:gridCol w:w="2261"/>
        <w:gridCol w:w="2685"/>
        <w:gridCol w:w="2280"/>
      </w:tblGrid>
      <w:tr>
        <w:trPr/>
        <w:tc>
          <w:tcPr>
            <w:tcW w:w="55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557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26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496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5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557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6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85" w:type="dxa"/>
            <w:tcBorders/>
            <w:tcMar>
              <w:left w:w="28" w:type="dxa"/>
              <w:right w:w="28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26" w:right="-24" w:firstLine="5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2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26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268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8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1.</w:t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 xml:space="preserve">Требования к выполнению работ 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0"/>
                <w:lang w:val="ru-RU" w:eastAsia="ru-RU" w:bidi="ar-SA"/>
              </w:rPr>
              <w:t>11</w:t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выполнению работ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481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  <w:t xml:space="preserve"> </w:t>
            </w:r>
            <w:r>
              <w:rPr>
                <w:sz w:val="24"/>
                <w:szCs w:val="24"/>
                <w:shd w:fill="auto" w:val="clear"/>
              </w:rPr>
              <w:t>Разработка рабочей документации по объекту «Выполнение строительно-монтажных работ с разработкой рабочей документации по объекту реконструкции ПС 35/10 кВ Пограничная с монтажом линейной ячейки 35 кВ - 1 шт. и установкой БСК 35 кВ - 1 шт. (ОАО "РЖД")" на территории филиала АО "ДРСК" "Приморские электрические сети»</w:t>
            </w:r>
          </w:p>
        </w:tc>
        <w:tc>
          <w:tcPr>
            <w:tcW w:w="26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11.2</w:t>
            </w:r>
          </w:p>
        </w:tc>
        <w:tc>
          <w:tcPr>
            <w:tcW w:w="4818" w:type="dxa"/>
            <w:gridSpan w:val="2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выполнения полного объема работ Подрядчик производит уборку рабочего места от посторонних предметов, механизмов, приспособлений, отходов. Подписывает акт приемки выполненных работ в эксплуатацию.</w:t>
            </w:r>
          </w:p>
        </w:tc>
        <w:tc>
          <w:tcPr>
            <w:tcW w:w="2685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>
              <w:top w:val="nil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11.3</w:t>
            </w:r>
          </w:p>
        </w:tc>
        <w:tc>
          <w:tcPr>
            <w:tcW w:w="481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Материалы и оборудование, высвобождаемые после демонтажа, передаются Заказчику с оформлением акта передачи на склад базы Октябрьского РЭС СП ПЦЭС.</w:t>
            </w:r>
          </w:p>
        </w:tc>
        <w:tc>
          <w:tcPr>
            <w:tcW w:w="26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11.4</w:t>
            </w:r>
          </w:p>
        </w:tc>
        <w:tc>
          <w:tcPr>
            <w:tcW w:w="4818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Место доставки материалов  – Приморский край, п.Липовцы, ул. Сосновая, 2Б</w:t>
            </w:r>
          </w:p>
        </w:tc>
        <w:tc>
          <w:tcPr>
            <w:tcW w:w="268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12</w:t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организации работ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12.1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Подготовительные работы: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Выполнение организационно - технических мероприятий, обеспечивающих безопасное выполнение работ, назначение ответственного лица на объекте строительства, разработка проекта производства работ (ППР) и получение необходимых согласований с подачей заявки за 15 (пятнадцать) дней до начала выполнения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Согласование с заказчиком разработанного Подрядчиком графика производства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Заявка на вывод оборудования в ремонт подается Подрядчиком не позднее 10 дней до начала производства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Доставка техники к месту производства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Доставка оборудования и материалов на объект производства работ.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176" w:firstLine="567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12.2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993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Строительно-монтажные работы выполнить в соответствии с согласованной Заказчиком рабочей документацией, в объёме данных технических требований.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176" w:firstLine="567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12.3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При разработке рабочей документации необходимо учитывать оборудование, закупленное и передаваемое подрядчику в виде давальческого оборудования в составе: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 Выключатель элегазовый баковый ВЭБ-35-12.5/1000 УХЛ1 — 1шт.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- Разъединитель трехполюсной 35 кВ РГП.2-35/1000УХЛ1 с приводами ПД-14-02,03УХЛ1 — 2 шт.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-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У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становк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а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 БСК 35 кВ - 1 шт.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Место расположения оборудования, поставляемое заказчиком: Приморский край, г. Уссурийск, ул. Резервная, 22А, полигон.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Оборудование Заказчика, передается Подрядчику после визуального осмотра на обьекте с составлением акта передачи оборудования в монтаж.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Доставка на объект оборудования поставки Заказчика со склада осуществляется подрядчиком самостоятельно, собственными силами и средствами.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Адрес доставки: объект реконструкции в соответствии с табл. 1 настоящих ТТ.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Подрядчик в процессе выполнении строительно-монтажных работ на объекте обеспечивает строгое соблюдение требований, содержащихся в проектно-сметной документации на строительство объекта и Техническом задании к Договору, в требованиях технической и эксплуатационной документации заводов-изготовителей поставляемой продукции, национальных стандартах (ГОСТ Р), строительных нормах и правилах (СНиП), сводах правил по проектированию и строительству (СП), руководящих документах (РД), СанПин, технических регламентах, правилах по охране труда при эксплуатации электроустановок, правилах пожарной безопасности, правилах промышленной санитарии, правилах устройства электроустановок, а также иных обязательных к исполнению нормативных правовых актах органов государственной власти Российской Федерации и местного самоуправления, регламентирующих строительную деятельность: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Качество выполнения всех работ в соответствии с проектной документацией и действующими строительными нормами и техническими условиями;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Своевременное устранение недостатков и дефектов, выявленных при приемке работ и в течение гарантийного срока эксплуатации объекта.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Соблюдение при строительстве объекта необходимых мероприятий по технике безопасности, рациональному использованию территории, охране окружающей среды, зеленых насаждений и земли.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Отступления от проектных решений при выполнении строительно-монтажных работ возможны только после согласования с Заказчиком.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При работе в действующих электроустановках обязательное выполнение персоналом организации Подрядчика, за письменным указанием руководителя, оформление предоставления его работникам прав: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выдающего наряд, распоряжение;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ответственного производителя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производителя работ (наблюдающего);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члена бригады.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Для выполнения работ по договору Подрядчик имеет право привлекать иных лиц (субподрядчиков), для чего Подрядчик обязан: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Согласовать с Заказчиком субподрядчика, условия договора субподряда, устанавливающие сроки выполнения работ субподрядчиком, а также порядок расчетов Подрядчика с субподрядчиком;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- Письменно предоставить перечень субподрядных организаций с указанием полных юридических и фактических адресов, привлекаемых на выполнение работ, подтвердить право ведения этих работ заверенными копиями СРО субподрядных организаций.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 Заказчик вправе потребовать от Подрядчика замены субподрядчиков с мотивированным обоснованием такого требования, но независимо от этой полной ответственности перед Заказчиком за сроки и качество выполняемых субподрядчиками работ, а также иную ответственность за действия субподрядчиков, как и за свои собственные действия по исполнению договора подряда несет Подрядчик.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 Подрядчик несет ответственность за правильную и надлежащую разметку объекта по отношению к первичным точкам, линиям и уровням, правильность положения уровней, размеров и сносности. Допущенные ошибки в производстве этих работ Подрядчик исправляет за свой счет.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 Подрядчик возводит все временные сооружения собственными силами за счет средств, предусмотренных на эти цели в сводном сметном расчете, и в соответствии с проектом организации строительства (ПОС).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8. Подрядчик осуществляет в установленном порядке присоединения вновь построенных коммуникаций в точках подключения в соответствии с проектом. Точки и условия присоединения согласовывает Заказчик.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9. Подрядчик самостоятельно обеспечивает вынос реперов геодезической разбивочной основы под строительство с оформлением актов в соответствии с требованиями нормативных документов по строительству, с участием ответственных представителей Заказчика и Подрядчика СМР.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10. Производство геодезических работ в процессе строительства, геодезический контроль точности геометрических параметров возводимых зданий и сооружений входит в обязанности Подрядчика.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11. В процессе проведения строительных работ и после их завершения, собственными силами и в счет договорной цены Подрядчик обеспечивает соблюдение требований СП 48.13330.2019, ГОСТ Р 59053-2020, ГОСТ Р 59061-2020 по охране окружающей среды.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12. Заказчик вправе вносить обоснованные изменения в объем работ, которые, по его мнению, необходимы для улучшения технических и эксплуатационных характеристик объекта, если данные работы еще не выполнены Подрядчиком и не противоречат проектной документации, или не требуют изменения проекта, которые согласованы в порядке, установленном нормативными актами.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Заказчик может дать письменное распоряжение, обязательное для Подрядчика, с указанием: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 xml:space="preserve">увеличить или сократить объем любой работы, включенной в Договор;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 xml:space="preserve">исключить любую работу;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изменить характер или качество, или вид любой части работы;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выполнить дополнительную работу любого характера, необходимую для завершения строительства объекта.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если такое изменение не влечет за собой изменение общей стоимости договора, то данные изменения оформляются дополнительным соглашением.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если такое изменение влечет за собой существенное изменение условий договора (сроков выполнения работ, увеличение общей стоимости договора) вследствие увеличения стоимости оборудования, материалов, то Подрядчик приступает к его исполнению только после оформления надлежащим образом.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6" w:hanging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176" w:firstLine="567"/>
              <w:jc w:val="left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13</w:t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13.1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Общие технические требования к материалам поставки подрядчика: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Поставка оборудования и материалов, за исключением оборудования поставки Заказчика, осуществляется Подрядчиком в соответствии с опросными листами и заказными спецификациями, разработанными в составе рабочей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Упаковка, транспортировка, условия и сроки хранения. Продукция поставляется в оригинальной заводской упаковке, гарантирующей ее сохранность при транспортировке, перевалке, выгрузке средствами механизации и вручную.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Упаковка, маркировка, временная антикоррозионная защита, транспортирование, условия и сроки хранения всех устройств, запасных частей и расходных материалов должны соответствовать требованиям, указанным в технических условиях изготовителя изделия, железобетонные изделия произведённые в соответствии с серией 3.407.1-157. Порядок отгрузки, специальные требования к таре и упаковке должны быть определены в договоре на поставку материалов.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Стоимость оборудования и материалов включает стоимость доставки и погрузо-разгрузочные работы на складе или объекте (в соответствии с договором) получателя, а также затраты на транспортировку, разгрузку и такелаж на объекте.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несет полную ответственность за обеспечение хранения оборудования и материалов в соответствии с требованиями завода-изготовителя, их осмотр. По требованию Заказчика обеспечивает ему допуск к материалам для их осмотра.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 Общие технические требования к поставляемой продукции: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Продукция и её комплектующие должны быть новой, не ранее 2026 г. выпуска, не использованной ранее. Все материалы должны приобретаться непосредственно у производителей или официальных дилеров, имеющих подтвержденные полномочия.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до заключения договоров поставки конструкций и материалов письменно согласовывает производителя, тип и марку оборудования с Заказчиком.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Поставляемая Подрядчиком продукция должная соответствовать содержанию спецификаций, определенных проектом, включая указания производителя продукции. Тип и состав оборудования и материалов, закупаемых Подрядчиком, может быть изменен только в случае предварительного согласования с Заказчиком.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5. Состав технической и эксплуатационной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Поставляемая Подрядчиком продукция должна сопровождаться технической документацией (технический паспорт завода–изготовителя, инструкция по эксплуатации и монтажу, протоколы испытаний, свидетельства о поверке и т.п.) на русском языке, подготовленной в соответствии с ГОСТ 27300-87 и подтверждаться сертификатами качества, сертификатами соответствия, сертификатами безопасности, пожарными сертификатами, гарантийными свидетельствами заводов-изготовителей.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Документация предоставляется Заказчику в двух экземплярах - на бумажном носителе, в одном экземпляре - в электронном виде в формате PDF.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6. Сроки и очередность поставки материалов.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Поставка оборудования и материалов должна быть выполнена согласно графику поставки материалов, утвержденному Заказчиком и являющимся неотъемлемой частью договора на поставку. Изменение сроков поставки оборудования возможно по согласованию с Заказчиком.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7. Используемые Подрядчиком оборудование, материалы и конструкции должны иметь предусмотренные действующими нормативами сертификаты качества или паспорта.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Надлежаще заверенные копии этих сертификатов, технических паспортов и результатов испытаний должны быть предоставлены Заказчику до начала производства работ, выполняемых с использованием этих материалов и конструкций.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использовании аналогичных (эквивалентных) материалов, (изделий, материалов, комплектующих и оборудования) они должны соответствовать техническим и функциональным требованиям и характеристикам, указанным в проектной документации. Замена используемых строительных и отделочных материалов, конструкций, цветовой гаммы на аналог, подлежит согласованию с Заказчиком в письменном виде.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176" w:firstLine="567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13.2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Наличие минимально необходимых для исполнения договора материально-технических ресурсов (далее - МТР) на праве собственности и/или аренды или ином законном праве владения техники и оснастки в объёме достаточном для обеспечения выполнения работ в сроки, оговоренные данными ТТ.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sz w:val="24"/>
                <w:szCs w:val="24"/>
                <w:shd w:fill="auto" w:val="clear"/>
              </w:rPr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/>
                <w:sz w:val="24"/>
                <w:szCs w:val="24"/>
                <w:shd w:fill="auto" w:val="clear"/>
              </w:rPr>
            </w:pPr>
            <w:r>
              <w:rPr>
                <w:b/>
                <w:sz w:val="24"/>
                <w:szCs w:val="24"/>
                <w:shd w:fill="auto" w:val="clear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0" w:right="-107" w:firstLine="567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Соответствие установленному требованию подтверждается путем предоставления участником закупки в составе заявки «Справки о материально-технических ресурсах», оформленной по форме, приведенной в Документации о закупке, с обязательным приложением копий подтверждающих документов (полный перечень прикладываемых документов определяется Участником самостоятельно из представленного ниже перечня).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1. В случае наличия МТР на правах собственности: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-паспорт транспортного средства (ПТС);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- на машины, подлежащие регистрации в органах государственного надзора за техническим состоянием самоходных машин и других видов техники в Российской Федерации – паспорт самоходной машины (ПСМ).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2. В случае отсутствия собственных МТР Участник должен представить копии документов: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а) договор аренды с предоставлением копий ПТС/ПСМ или договор на оказание услуг машин и механизмов, 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-107" w:firstLine="567"/>
              <w:jc w:val="left"/>
              <w:outlineLvl w:val="2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б) иные документы, подтверждающие законное право владения/распоряжения.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14</w:t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контролю качества работ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14.1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Состав технической и эксплуатационной документации.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Поставляемая Подрядчиком продукция должна сопровождаться технической документацией (технический паспорт завода–изготовителя, инструкция по эксплуатации и монтажу, протоколы испытаний, свидетельства о поверке и т.п.) на русском языке, подготовленной в соответствии с ГОСТ Р 59853-2021 «Информационные технологии. Комплекс стандартов на автоматизированные системы», ГОСТ 34.201-2020 «Информационные технологии. Комплекс стандартов на автоматизированные системы. Виды, комплектность и обозначение документов при создании автоматизированных систем», ГОСТ 27300-87 «Информационно-измерительные системы. общие требования комплектность и правила составления эксплуатационной документации, ГОСТ 2.601-2019 Единая система конструкторской документации. Эксплуатационные документы», и подтверждаться сертификатами качества, сертификатами соответствия, сертификатами безопасности, пожарными сертификатами, гарантийными свидетельствами заводов-изготовителей.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Документация предоставляется Заказчику в двух экземплярах - на бумажном носителе, в одном экземпляре - в электронном виде в формате PDF.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-107" w:firstLine="567"/>
              <w:jc w:val="left"/>
              <w:outlineLvl w:val="2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14.2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1. Контроль выполнения работ производится представителями Заказчика и/или лицом, осуществляющим технический надзор на строительной площадке, назначенными приказом по филиалу АО «ДРСК» «ПЭС». Контролируются: сроки выполнения работ, качество, объёмы, технология и номенклатура работ, обеспечение безопасных условий труда, сохранности оборудования, сооружений и устройств.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2. Представителям Заказчика должен быть обеспечен беспрепятственный доступ на строительную площадку в течение всего периода производства работ. Указания технического надзора Заказчика являются обязательными и подлежат беспрекословному выполнению.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3. При нарушении технологии производства работ, отступлений от проекта, ППР, требований ТУ, применении материалов, не соответствующих ГОСТам и ТУ, работы прекращаются по указанию лица, осуществляющего технический надзор, и устанавливается срок устранения нарушения.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-107" w:firstLine="567"/>
              <w:jc w:val="left"/>
              <w:outlineLvl w:val="2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15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подрядчика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176" w:firstLine="567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15.1</w:t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Работы производятся в действующих электроустановках, вследствие чего Подрядчику необходимо проводить согласованные действия и мероприятия по охране труда согласно требованиям правил по охране труда при эксплуатации электроустановок, утвержденные приказом Министерства труда и социальной защиты РФ от 15 декабря 2020 г. № 903н, зарегистрированные в Минюсте 30.12.2020 г. № 61957; приказ №1013 Минэнерго России от 25.10.2017 «Правила организации технического обслуживания и ремонта объектов электроэнергетики», а также по постановлению правительства РФ от 24.02.2009г. № 160 «Правила установления охранных зон объектов электросетевого хозяйства и особых условий использования земельных участков, расположенных в границах таких зон.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i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Предоставление участником закупки в составе заявки «Справки о кадровых ресурсах», оформленной по форме, приведенной в Документации о закупке, с обязательным приложением копий документов, подтверждающих наличие и квалификацию персонала (заверенные Участником копии удостоверений на допуск к работе в электроустановках с записями результатов проверки знаний на персонал.</w:t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  <w:shd w:fill="auto" w:val="clear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15.2</w:t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Подрядчик создает условия для размещения своего персонала на объекте,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на правах командированного персонала.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Наличие достаточного для выполнения работ количества персонала для работ выполняемых в действующих электроустановках, имеющего допуск к самостоятельным работам в электроустановках с наличием групп по электробезопасности включая право выдачи нарядов.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176" w:firstLine="567"/>
              <w:jc w:val="left"/>
              <w:rPr>
                <w:i/>
                <w:i/>
                <w:color w:val="000000"/>
                <w:sz w:val="24"/>
                <w:szCs w:val="24"/>
                <w:shd w:fill="EEEEEE" w:val="clear"/>
              </w:rPr>
            </w:pPr>
            <w:r>
              <w:rPr>
                <w:i/>
                <w:color w:val="000000"/>
                <w:sz w:val="24"/>
                <w:szCs w:val="24"/>
                <w:shd w:fill="EEEEEE" w:val="clear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b/>
                <w:sz w:val="20"/>
                <w:szCs w:val="20"/>
                <w:shd w:fill="EEEEEE" w:val="clear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shd w:fill="EEEEEE" w:val="clear"/>
                <w:lang w:val="ru-RU" w:eastAsia="ru-RU" w:bidi="ar-SA"/>
              </w:rPr>
              <w:t>16.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  <w:shd w:fill="EEEEEE" w:val="clear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shd w:fill="EEEEEE" w:val="clear"/>
                <w:lang w:val="ru-RU" w:eastAsia="ru-RU" w:bidi="ar-SA"/>
              </w:rPr>
              <w:t>Требование к опыту выполнения аналогичных профилю лота работ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sz w:val="24"/>
                <w:szCs w:val="24"/>
                <w:shd w:fill="EEEEEE" w:val="clear"/>
              </w:rPr>
            </w:pPr>
            <w:r>
              <w:rPr>
                <w:sz w:val="24"/>
                <w:szCs w:val="24"/>
                <w:shd w:fill="EEEEEE" w:val="clear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176" w:firstLine="567"/>
              <w:jc w:val="left"/>
              <w:rPr>
                <w:b/>
                <w:sz w:val="24"/>
                <w:szCs w:val="24"/>
                <w:shd w:fill="EEEEEE" w:val="clear"/>
              </w:rPr>
            </w:pPr>
            <w:r>
              <w:rPr>
                <w:b/>
                <w:sz w:val="24"/>
                <w:szCs w:val="24"/>
                <w:shd w:fill="EEEEEE" w:val="clear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  <w:shd w:fill="auto" w:val="clear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shd w:fill="auto" w:val="clear"/>
                <w:lang w:val="ru-RU" w:eastAsia="ru-RU" w:bidi="ar-SA"/>
              </w:rPr>
              <w:t>16.1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Наличие у Участника опыта выполнения аналогичных профилю лота работ</w:t>
            </w:r>
            <w:r>
              <w:rPr>
                <w:rFonts w:eastAsia="Arial Unicode MS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 xml:space="preserve"> (Аналогичными работами считаются</w:t>
            </w:r>
            <w:r>
              <w:rPr>
                <w:rFonts w:eastAsia="Arial Unicode MS" w:cs="Times New Roman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 xml:space="preserve"> – </w:t>
            </w:r>
            <w:r>
              <w:rPr>
                <w:rFonts w:eastAsia="Arial Unicode MS" w:cs="Times New Roman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ремонт, реконструкция ЗиС) за последние 2 года, предшествующие дате подачи заявок Участников на участие в настоящей закупочной процедуре.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sz w:val="24"/>
                <w:szCs w:val="24"/>
                <w:shd w:fill="auto" w:val="clear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0" w:right="-107" w:firstLine="567"/>
              <w:jc w:val="left"/>
              <w:rPr>
                <w:i/>
                <w:i/>
                <w:sz w:val="24"/>
                <w:szCs w:val="24"/>
                <w:shd w:fill="auto" w:val="clear"/>
              </w:rPr>
            </w:pPr>
            <w:r>
              <w:rPr>
                <w:rFonts w:eastAsia="Calibri" w:cs="Times New Roman"/>
                <w:i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Данные сведения указываются участником закупки в составе заявки по форме «Справка об опыте Участника», приведенной в Документации о закупке, с приложением скан-копий договоров, либо их частей (с приложением документов, предусмотренных требованиями договора, подтверждающий факт его исполнения, подписанных с обеих сторон), подтверждающие предоставленные в форме данные.</w:t>
            </w:r>
          </w:p>
        </w:tc>
      </w:tr>
      <w:tr>
        <w:trPr>
          <w:trHeight w:val="361" w:hRule="atLeast"/>
        </w:trPr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работ и охране труда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9" w:right="-107" w:firstLine="56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17.1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276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Работы необходимо выполнять в соответствии с действующими государственными нормами, правилами, техническими регламентами: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Правила технической эксплуатации электрических станций и сетей РФ;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СНиП 12-01-2004 «Организация строительства»;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ГОСТ Р 59053-2020 «Охрана окружающей среды. Охрана и рациональное использование вод. Термины и определения»;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ГОСТ Р 59061-2020 «Охрана окружающей среды. Загрязнение атмосферного воздуха. Термины и определения»;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- Правила противопожарного режима в РФ, утвержденные Постановлением Правительства РФ от 16.09.2020 №1479 «О противопожарном режиме».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550" w:hRule="atLeast"/>
        </w:trPr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17.2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Обеспечить выполнение требований Правил по охране труда при эксплуатации электроустановок (Приказ от 15 декабря 2021 № </w:t>
            </w: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903н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 – в ред. Приказа о Минтруде России от 19.02.2016 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en-US" w:eastAsia="ru-RU" w:bidi="ar-SA"/>
              </w:rPr>
              <w:t>N</w:t>
            </w: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 74н) в части организации допуска работников монтажной организации к работам в электроустановках АО «ДРСК» в качестве командированного персонала.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17.3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Обеспечение Подрядчиком внутреннего строительного контроля в соответствие с требованиями Постановления Правительства РФ от 21.06.2010 № 468 «О порядке проведения строительного контроля при осуществлении строительства, реконструкции и капитального ремонта объектов капитального строительства».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результатам работ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28.1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обеспечивает выполнение работ в срок в соответствии с утверждённым договором графиком, по согласованной рабочей документации на строительство объекта в рамках данных технических требований с соблюдением действующих нормативно-технических документов регламентирующих строительную деятельность.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jc w:val="center"/>
              <w:rPr>
                <w:sz w:val="20"/>
                <w:szCs w:val="20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порядку приемки результатов работ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выполнении строительно-монтажных работ Подрядчиком обеспечивается выполнение, мероприятий, согласно Положения о проведении строительного контроля при осуществлении строительства, технического перевооружения и капитального ремонта объектов капитального строительства, утвержденным Постановлением Правительства Российской Федерации от 21.06.2010 № 468.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1418" w:leader="none"/>
              </w:tabs>
              <w:suppressAutoHyphens w:val="true"/>
              <w:spacing w:before="0" w:after="0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29.2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Представителям Заказчика должен быть обеспечен беспрепятственный доступ на строительную площадку в течение всего периода производства работ. Указания технического надзора Заказчика являются обязательными и подлежат беспрекословному выполнению.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29.3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 обнаружении факта нарушений технологии производства работ, отступлений от проекта, ППР, требований ТУ, применении материалов, не соответствующих ГОСТам и ТУ, работы прекращаются по указанию лица, осуществляющего технический надзор, и устанавливается срок устранения нарушения.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29.4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обязан письменно уведомлять Заказчика о необходимости проведения освидетельствования и / или приемки Скрытых работ. Указанное уведомление должно быть получено Заказчиком заблаговременно, но не позднее, чем за 5 (пять) рабочих дней до начала освидетельствования. В случае если Подрядчиком произведено закрытие Скрытых работ без их освидетельствования представителем Заказчика, то Подрядчик, по указанию Заказчика, обязан открыть любую часть Скрытых работ для их освидетельствования, а затем произвести всю необходимую восстановительную работу за свой счет, за исключением случаев, когда освидетельствование не было произведено ввиду неявки представителя Заказчика, надлежащим образом уведомленного о месте и времени проведения освидетельствования и/или приемки Скрытых работ.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29.5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 завершении выполнения работ, Подрядчик в течение 5 (пяти) рабочих дней представляет Заказчику подписанный со своей стороны в 2 (двух) экземплярах Акт освидетельствования выполненных работ по форме Приложения № 8 к проекту Договора, с приложением Приемо-сдаточной и Исполнительной документации в 3 (трех) экземплярах.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08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29.6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К Актам освидетельствования выполненных работ подрядной организацией прилагается комплект исполнительно-технической документации на предъявленные к приемке работы (акты на скрытые работы, исполнительные схемы, протоколы РЗА, паспорта на оборудование и конструкции, сертификаты соответствия на материалы, наряды допуска персонала подрядчика/субподрядчика, уведомления о допуске персонала с приложением его согласия на обработку персональных данных, копий приказов о приёме на работу или иных документов, подтверждающих договорные отношения персонала с Подрядчиком, уведомления о допуске техники с указанием гос. регистрационных номеров с приложением копий ПТС и ПСМ, либо копий документов, подтверждающих право аренды техники или владение ей на ином законном основании, информация о вводном и первичном инструктажах работников подрядчика/субподрядчика и т.п.) и фотоотчёт (с указанием даты съемки) фиксирующий процесс работ и техники контрагента, подтверждающий фактическое исполнение по представленным для приемки выполненным работам.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Согласие с требованием 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29.7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Приемка законченного строительством (реконструкцией) объекта осуществляется назначаемой Заказчиком приемочной комиссией в течение 10 дней с момента письменного уведомления Подрядчика о готовности объекта и оформляется «Актом приемки законченного строительством объекта» (КС-11).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29.8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Подрядчик при предъявлении законченного строительством объекта приемочной комиссии предоставляет оформленный надлежащим образом полный пакет исполнительно-технической документации в составе: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комплект согласованной Заказчиком рабочей документации на проведение работ, предусмотренный договором подряда, с надписями о соответствии выполненных работ этой документации или внесенными в них изменениями, и подписями (заверенными печатью Подрядной организации), сделанными лицами, ответственными за производство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технические условия, инструкции, сертификаты, технические паспорта и другие документы, удостоверяющие качество оборудования, материалов, конструкций и деталей, примененных при производстве работ;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акты об освидетельствовании скрытых работ и акты о промежуточной приемке отдельных ответственных конструкций; акты об индивидуальных и комплексных испытаниях смонтированного оборудования;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•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ab/>
              <w:t>общий журнал работ, исполнительные съемки, другая документация, предусмотренная нормативными документами;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Обязательства подрядной организацией считаются выполненными после предоставления Заказчику полного пакета исполнительно-технической документации, предусмотренной действующими нормами.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Исполнительная документация оформляется в 3 экземплярах: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 экземпляр передается во Октябрьский РЭС структурного подразделения «Центральные ЭС» филиала «ПЭС»;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 экземпляр в структурное подразделение «Центральные ЭС» филиала «ПЭС» по акту приемки-передачи;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- 1 экземпляр в отдел организации строительства, технического надзора и управления инвестициями филиала АО «ДРСК» «ПЭС» с подтверждающим документом, отражающим факт приемки исполнительной документации СП и ОРЭС.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4818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310.1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стандартизации продукции: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Поставляемая продукция должна соответствовать требованиям действующих на территории Российской федерации стандартов, ГОСТ и ТУ. Материалы должны соответствовать требованиям «Правил устройства электроустановок» (ПУЭ) (действующие издания) и требованиям стандартов МЭК и ГОСТ, в т.ч. ГОСТ 15543.1-89 «Изделия электротехнические. Общие требования в части стойкости к климатическим внешним воздействующим факторам».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310.2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kern w:val="0"/>
                <w:sz w:val="24"/>
                <w:szCs w:val="24"/>
                <w:lang w:val="ru-RU" w:eastAsia="ru-RU" w:bidi="ar-SA"/>
              </w:rPr>
              <w:t>Требования к соблюдению НТД: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 случае если какой-либо из указанных в настоящих технических требованиях нормативный документ был отменен в связи с выпуском новой редакции стандарта, то Подрядчику необходимо применять ГОСТ или нормативный документ, действующий на момент производства работ.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hanging="0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/>
                <w:i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0"/>
                <w:lang w:val="ru-RU" w:eastAsia="ru-RU" w:bidi="ar-SA"/>
              </w:rPr>
              <w:t>4.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соблюдению положений нормативной и иной обязательной для Подрядчика документации, определяемой видами работ (помимо указанных в других разделах ТТ)</w:t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5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13" w:right="-102" w:firstLine="567"/>
              <w:contextualSpacing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411.1</w:t>
            </w:r>
          </w:p>
        </w:tc>
        <w:tc>
          <w:tcPr>
            <w:tcW w:w="4818" w:type="dxa"/>
            <w:gridSpan w:val="2"/>
            <w:tcBorders/>
          </w:tcPr>
          <w:p>
            <w:pPr>
              <w:pStyle w:val="Annotationtext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  <w:shd w:fill="FFFF00" w:val="clear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fill="FFFF00" w:val="clear"/>
                <w:lang w:val="ru-RU" w:eastAsia="ru-RU" w:bidi="ar-SA"/>
              </w:rPr>
              <w:t>Требование к участнику в приложении № 1 к настоящим ТТ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685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ind w:left="-106" w:right="-111" w:firstLine="567"/>
              <w:jc w:val="left"/>
              <w:rPr>
                <w:bCs/>
                <w:i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</w:r>
          </w:p>
        </w:tc>
        <w:tc>
          <w:tcPr>
            <w:tcW w:w="2280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0" w:after="0"/>
              <w:ind w:left="-109" w:right="-107" w:firstLine="567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4"/>
          <w:headerReference w:type="first" r:id="rId5"/>
          <w:type w:val="nextPage"/>
          <w:pgSz w:w="11906" w:h="16838"/>
          <w:pgMar w:left="851" w:right="851" w:gutter="0" w:header="680" w:top="737" w:footer="0" w:bottom="992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1"/>
        <w:keepLines/>
        <w:numPr>
          <w:ilvl w:val="0"/>
          <w:numId w:val="0"/>
        </w:numPr>
        <w:ind w:left="0" w:hanging="0"/>
        <w:rPr>
          <w:sz w:val="24"/>
          <w:szCs w:val="24"/>
          <w:lang w:val="ru-RU"/>
        </w:rPr>
      </w:pPr>
      <w:bookmarkStart w:id="10" w:name="_Toc54646411"/>
      <w:bookmarkStart w:id="11" w:name="_Toc53393312"/>
      <w:r>
        <w:rPr>
          <w:sz w:val="24"/>
          <w:szCs w:val="24"/>
          <w:lang w:val="ru-RU"/>
        </w:rPr>
        <w:t>3.</w:t>
        <w:tab/>
        <w:t>Требования к документации по ценообразованию</w:t>
      </w:r>
      <w:bookmarkEnd w:id="11"/>
      <w:r>
        <w:rPr>
          <w:sz w:val="24"/>
          <w:szCs w:val="24"/>
          <w:lang w:val="ru-RU"/>
        </w:rPr>
        <w:t xml:space="preserve"> на этапе закупки</w:t>
      </w:r>
      <w:bookmarkEnd w:id="10"/>
    </w:p>
    <w:p>
      <w:pPr>
        <w:pStyle w:val="Normal"/>
        <w:rPr>
          <w:sz w:val="24"/>
          <w:szCs w:val="24"/>
          <w:lang w:eastAsia="x-none"/>
        </w:rPr>
      </w:pPr>
      <w:r>
        <w:rPr>
          <w:sz w:val="24"/>
          <w:szCs w:val="24"/>
          <w:lang w:eastAsia="x-none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ab/>
      </w:r>
      <w:r>
        <w:rPr>
          <w:color w:val="000000" w:themeColor="text1"/>
          <w:sz w:val="24"/>
          <w:szCs w:val="24"/>
        </w:rPr>
        <w:t>Для обоснования стоимости заявки Участник должен представить Коммерческое предложение в соответствии с «Требованиями к ценообразованию при формировании Коммерческого предложения в составе заявки участника» Сметная документация в состав заявки Участника не включается.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1"/>
        <w:numPr>
          <w:ilvl w:val="0"/>
          <w:numId w:val="5"/>
        </w:numPr>
        <w:ind w:left="0" w:hanging="0"/>
        <w:jc w:val="left"/>
        <w:rPr>
          <w:sz w:val="24"/>
          <w:szCs w:val="24"/>
        </w:rPr>
      </w:pPr>
      <w:bookmarkStart w:id="12" w:name="_Toc54279845"/>
      <w:bookmarkStart w:id="13" w:name="_Toc54618152"/>
      <w:bookmarkStart w:id="14" w:name="_Toc54643138"/>
      <w:r>
        <w:rPr>
          <w:sz w:val="24"/>
          <w:szCs w:val="24"/>
        </w:rPr>
        <w:t>Требования к документации по ценообразованию на этапе заключения</w:t>
      </w:r>
      <w:r>
        <w:rPr>
          <w:sz w:val="24"/>
          <w:szCs w:val="24"/>
          <w:lang w:val="ru-RU"/>
        </w:rPr>
        <w:t xml:space="preserve"> (исполнения)</w:t>
      </w:r>
      <w:r>
        <w:rPr>
          <w:sz w:val="24"/>
          <w:szCs w:val="24"/>
        </w:rPr>
        <w:t xml:space="preserve"> договора</w:t>
      </w:r>
      <w:bookmarkEnd w:id="12"/>
      <w:bookmarkEnd w:id="13"/>
      <w:bookmarkEnd w:id="14"/>
    </w:p>
    <w:p>
      <w:pPr>
        <w:pStyle w:val="Normal"/>
        <w:tabs>
          <w:tab w:val="clear" w:pos="708"/>
          <w:tab w:val="left" w:pos="284" w:leader="none"/>
        </w:tabs>
        <w:jc w:val="both"/>
        <w:rPr>
          <w:color w:val="000000" w:themeColor="text1"/>
          <w:sz w:val="24"/>
          <w:szCs w:val="24"/>
          <w:lang w:val="x-none"/>
        </w:rPr>
      </w:pPr>
      <w:r>
        <w:rPr>
          <w:color w:val="000000" w:themeColor="text1"/>
          <w:sz w:val="24"/>
          <w:szCs w:val="24"/>
          <w:lang w:val="x-none"/>
        </w:rPr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4.1 Сметная документация составлена Заказчиком в рамках определения начальной (максимальной) цены договора и включается в состав договора с применением понижающего коэффициента, предложенного победителем закупочной процедуры. Понижающий коэффициент начисляется в локальных сметах единым индексом в итогах (после начисления лимитированных затрат в случае составления одной сметы)</w:t>
      </w:r>
    </w:p>
    <w:p>
      <w:pPr>
        <w:pStyle w:val="Normal"/>
        <w:tabs>
          <w:tab w:val="clear" w:pos="708"/>
          <w:tab w:val="left" w:pos="284" w:leader="none"/>
        </w:tabs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4.2. Внесение изменений в сметную документацию Заказчика, кроме применения понижающего коэффициента в соответствии с п. 3, не допускается.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b/>
          <w:bCs/>
          <w:sz w:val="24"/>
          <w:szCs w:val="24"/>
          <w:lang w:val="x-none" w:eastAsia="ar-SA"/>
        </w:rPr>
      </w:pPr>
      <w:r>
        <w:rPr>
          <w:b/>
          <w:bCs/>
          <w:sz w:val="24"/>
          <w:szCs w:val="24"/>
          <w:lang w:val="x-none" w:eastAsia="ar-SA"/>
        </w:rPr>
        <w:t>Приложения: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Приложение №1  </w:t>
      </w:r>
      <w:r>
        <w:rPr>
          <w:color w:val="000000" w:themeColor="text1"/>
          <w:sz w:val="24"/>
          <w:szCs w:val="24"/>
          <w:shd w:fill="FFFF00" w:val="clear"/>
        </w:rPr>
        <w:t>Требования к участнику;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Приложение №2. Требования к сметным расчётам.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</w:r>
    </w:p>
    <w:p>
      <w:pPr>
        <w:pStyle w:val="Normal"/>
        <w:shd w:val="clear" w:color="auto" w:fill="FFFFFF"/>
        <w:tabs>
          <w:tab w:val="clear" w:pos="708"/>
          <w:tab w:val="left" w:pos="8275" w:leader="none"/>
        </w:tabs>
        <w:spacing w:before="0" w:after="0"/>
        <w:ind w:firstLine="499"/>
        <w:contextualSpacing/>
        <w:jc w:val="both"/>
        <w:rPr>
          <w:b/>
          <w:i/>
          <w:i/>
          <w:iCs/>
          <w:sz w:val="26"/>
          <w:szCs w:val="26"/>
        </w:rPr>
      </w:pPr>
      <w:r>
        <w:rPr>
          <w:b/>
          <w:i/>
          <w:iCs/>
          <w:sz w:val="26"/>
          <w:szCs w:val="26"/>
        </w:rPr>
        <w:t xml:space="preserve">                                </w:t>
      </w:r>
    </w:p>
    <w:p>
      <w:pPr>
        <w:pStyle w:val="Normal"/>
        <w:widowControl w:val="false"/>
        <w:tabs>
          <w:tab w:val="clear" w:pos="708"/>
          <w:tab w:val="left" w:pos="284" w:leader="none"/>
        </w:tabs>
        <w:suppressAutoHyphens w:val="true"/>
        <w:rPr>
          <w:sz w:val="24"/>
          <w:szCs w:val="24"/>
        </w:rPr>
      </w:pPr>
      <w:r>
        <w:rPr/>
      </w:r>
    </w:p>
    <w:sectPr>
      <w:headerReference w:type="default" r:id="rId6"/>
      <w:headerReference w:type="first" r:id="rId7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Arial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ahoma">
    <w:charset w:val="cc"/>
    <w:family w:val="roman"/>
    <w:pitch w:val="variable"/>
  </w:font>
  <w:font w:name="Arial Unicode MS">
    <w:charset w:val="cc"/>
    <w:family w:val="roman"/>
    <w:pitch w:val="variable"/>
  </w:font>
  <w:font w:name="Verdana">
    <w:charset w:val="cc"/>
    <w:family w:val="roman"/>
    <w:pitch w:val="variable"/>
  </w:font>
  <w:font w:name="Garamond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20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22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33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504" w:hanging="504"/>
      </w:pPr>
      <w:rPr>
        <w:b w:val="fals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  <w:sz w:val="24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readOnly" w:cryptProviderType="rsaAES" w:cryptAlgorithmClass="hash" w:cryptAlgorithmType="typeAny" w:cryptAlgorithmSid="" w:cryptSpinCount="0" w:hash="" w:salt=""/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uiPriority="99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autoRedefine/>
    <w:qFormat/>
    <w:rsid w:val="00556ae7"/>
    <w:pPr>
      <w:keepNext w:val="true"/>
      <w:ind w:left="0" w:firstLine="567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Символ сноски"/>
    <w:qFormat/>
    <w:rsid w:val="00d561d9"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-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556ae7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7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8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9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0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1" w:customStyle="1">
    <w:name w:val="Электронная подпись Знак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qFormat/>
    <w:locked/>
    <w:rsid w:val="00d22f6d"/>
    <w:rPr>
      <w:sz w:val="28"/>
    </w:rPr>
  </w:style>
  <w:style w:type="character" w:styleId="Style12" w:customStyle="1">
    <w:name w:val="Текст сноски Знак"/>
    <w:uiPriority w:val="99"/>
    <w:qFormat/>
    <w:rsid w:val="00d22f6d"/>
    <w:rPr/>
  </w:style>
  <w:style w:type="character" w:styleId="Style13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4" w:customStyle="1">
    <w:name w:val="Абзац списка Знак"/>
    <w:link w:val="ListParagraph"/>
    <w:qFormat/>
    <w:locked/>
    <w:rsid w:val="00310eb4"/>
    <w:rPr>
      <w:rFonts w:eastAsia="Calibri"/>
      <w:sz w:val="24"/>
      <w:szCs w:val="24"/>
    </w:rPr>
  </w:style>
  <w:style w:type="character" w:styleId="Style15" w:customStyle="1">
    <w:name w:val="комментарий"/>
    <w:qFormat/>
    <w:rsid w:val="0025139e"/>
    <w:rPr>
      <w:b/>
      <w:i/>
      <w:shd w:fill="FFFF99" w:val="clear"/>
    </w:rPr>
  </w:style>
  <w:style w:type="character" w:styleId="Style16" w:customStyle="1">
    <w:name w:val="Подподпункт Знак"/>
    <w:link w:val="Style27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7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8" w:customStyle="1">
    <w:name w:val="Текст примечания Знак"/>
    <w:link w:val="Annotationtext"/>
    <w:uiPriority w:val="99"/>
    <w:semiHidden/>
    <w:qFormat/>
    <w:rsid w:val="00dc0f7d"/>
    <w:rPr/>
  </w:style>
  <w:style w:type="character" w:styleId="Style19" w:customStyle="1">
    <w:name w:val="Текст концевой сноски Знак"/>
    <w:basedOn w:val="DefaultParagraphFont"/>
    <w:qFormat/>
    <w:rsid w:val="003879d4"/>
    <w:rPr/>
  </w:style>
  <w:style w:type="character" w:styleId="Style20">
    <w:name w:val="Символ концевой сноски"/>
    <w:qFormat/>
    <w:rsid w:val="003879d4"/>
    <w:rPr>
      <w:vertAlign w:val="superscript"/>
    </w:rPr>
  </w:style>
  <w:style w:type="character" w:styleId="Style21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3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22">
    <w:name w:val="Ссылка указателя"/>
    <w:qFormat/>
    <w:rPr/>
  </w:style>
  <w:style w:type="paragraph" w:styleId="Style23">
    <w:name w:val="Заголовок"/>
    <w:basedOn w:val="Normal"/>
    <w:next w:val="Style24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Style24">
    <w:name w:val="Body Text"/>
    <w:basedOn w:val="Normal"/>
    <w:link w:val="Style6"/>
    <w:rsid w:val="0076353a"/>
    <w:pPr>
      <w:spacing w:before="0" w:after="120"/>
    </w:pPr>
    <w:rPr/>
  </w:style>
  <w:style w:type="paragraph" w:styleId="Style25">
    <w:name w:val="List"/>
    <w:basedOn w:val="Style24"/>
    <w:pPr/>
    <w:rPr>
      <w:rFonts w:cs="Lohit Devanagari"/>
    </w:rPr>
  </w:style>
  <w:style w:type="paragraph" w:styleId="Style26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7">
    <w:name w:val="Указатель"/>
    <w:basedOn w:val="Normal"/>
    <w:qFormat/>
    <w:pPr>
      <w:suppressLineNumbers/>
    </w:pPr>
    <w:rPr>
      <w:rFonts w:cs="Lohit Devanagari"/>
    </w:rPr>
  </w:style>
  <w:style w:type="paragraph" w:styleId="Style2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9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0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1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2">
    <w:name w:val="Колонтитул"/>
    <w:basedOn w:val="Normal"/>
    <w:qFormat/>
    <w:pPr/>
    <w:rPr/>
  </w:style>
  <w:style w:type="paragraph" w:styleId="Style33">
    <w:name w:val="Header"/>
    <w:basedOn w:val="Normal"/>
    <w:link w:val="Style8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4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5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6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uppressAutoHyphens w:val="true"/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Normal"/>
    <w:next w:val="Normal"/>
    <w:autoRedefine/>
    <w:uiPriority w:val="39"/>
    <w:rsid w:val="001567af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5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7" w:customStyle="1">
    <w:name w:val="Раздел регламента"/>
    <w:basedOn w:val="Normal"/>
    <w:qFormat/>
    <w:rsid w:val="00e228fa"/>
    <w:pPr/>
    <w:rPr/>
  </w:style>
  <w:style w:type="paragraph" w:styleId="Style38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9"/>
    <w:uiPriority w:val="99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8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39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0">
    <w:name w:val="Subtitle"/>
    <w:basedOn w:val="Normal"/>
    <w:next w:val="Normal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1">
    <w:name w:val="Index Heading"/>
    <w:basedOn w:val="Style23"/>
    <w:pPr/>
    <w:rPr/>
  </w:style>
  <w:style w:type="paragraph" w:styleId="Style42">
    <w:name w:val="TOC Heading"/>
    <w:basedOn w:val="1"/>
    <w:next w:val="Normal"/>
    <w:uiPriority w:val="39"/>
    <w:qFormat/>
    <w:rsid w:val="00d22f6d"/>
    <w:pPr>
      <w:keepLines/>
      <w:spacing w:before="480" w:after="0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3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4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9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5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6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7" w:customStyle="1">
    <w:name w:val="Подподпункт"/>
    <w:basedOn w:val="Style36"/>
    <w:link w:val="Style7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8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-1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1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49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0" w:customStyle="1">
    <w:name w:val="Стиль Заголовок 1 + по ширине"/>
    <w:basedOn w:val="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uppressAutoHyphens w:val="true"/>
      <w:spacing w:before="480" w:after="240"/>
      <w:ind w:left="567" w:hanging="567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0">
    <w:name w:val="Endnote Text"/>
    <w:basedOn w:val="Normal"/>
    <w:link w:val="Style10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1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1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2">
    <w:name w:val="Содержимое врезки"/>
    <w:basedOn w:val="Normal"/>
    <w:qFormat/>
    <w:pPr/>
    <w:rPr/>
  </w:style>
  <w:style w:type="paragraph" w:styleId="Style53">
    <w:name w:val="Содержимое таблицы"/>
    <w:basedOn w:val="Normal"/>
    <w:qFormat/>
    <w:pPr>
      <w:widowControl w:val="false"/>
      <w:suppressLineNumbers/>
    </w:pPr>
    <w:rPr/>
  </w:style>
  <w:style w:type="paragraph" w:styleId="Style54">
    <w:name w:val="Заголовок таблицы"/>
    <w:basedOn w:val="Style53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2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5F1AC-33DE-4A03-8C0F-59AB2643E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1990</TotalTime>
  <Application>LibreOffice/7.5.5.2$Windows_X86_64 LibreOffice_project/ca8fe7424262805f223b9a2334bc7181abbcbf5e</Application>
  <AppVersion>15.0000</AppVersion>
  <Pages>21</Pages>
  <Words>3953</Words>
  <Characters>28293</Characters>
  <CharactersWithSpaces>31989</CharactersWithSpaces>
  <Paragraphs>337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2023-06-14T05:24:00Z</dcterms:created>
  <dc:creator>Елькин А.Ю.</dc:creator>
  <dc:description/>
  <dc:language>ru-RU</dc:language>
  <cp:lastModifiedBy/>
  <cp:lastPrinted>2006-07-26T14:04:00Z</cp:lastPrinted>
  <dcterms:modified xsi:type="dcterms:W3CDTF">2026-10-06T14:55:55Z</dcterms:modified>
  <cp:revision>45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