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highlight w:val="white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28.14.20.290 Поставка запасных частей для капитального ремонта турбин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Филиала ПАО «РусГидро» - «Жигулевская ГЭС»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center"/>
        <w:rPr>
          <w:sz w:val="26"/>
          <w:szCs w:val="26"/>
        </w:rPr>
      </w:pPr>
      <w:r>
        <w:rPr>
          <w:sz w:val="26"/>
          <w:szCs w:val="26"/>
        </w:rPr>
        <w:t>(ЗИП к задвижке клиновой с гидроприводом ПТ11090-600М т/ф 31с742р (фл)).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3310_298557957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12_298557957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14_298557957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16_298557957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4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18_298557957">
            <w:r>
              <w:rPr>
                <w:webHidden/>
                <w:rStyle w:val="Style14"/>
                <w:vanish w:val="false"/>
              </w:rPr>
              <w:t>1.4. Существующее положение</w:t>
              <w:tab/>
              <w:t>4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20_298557957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22_298557957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3324_298557957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26_298557957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28_298557957">
            <w:r>
              <w:rPr>
                <w:webHidden/>
                <w:rStyle w:val="Style14"/>
                <w:vanish w:val="false"/>
              </w:rPr>
              <w:t>Таблица 1.2 Технические характеристики оборудования</w:t>
              <w:tab/>
              <w:t>4</w:t>
            </w:r>
          </w:hyperlink>
        </w:p>
        <w:p>
          <w:pPr>
            <w:pStyle w:val="TOC3"/>
            <w:tabs>
              <w:tab w:val="clear" w:pos="720"/>
              <w:tab w:val="right" w:pos="9921" w:leader="dot"/>
            </w:tabs>
            <w:rPr/>
          </w:pPr>
          <w:hyperlink w:anchor="__RefHeading___Toc3334_298557957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36_298557957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720"/>
              <w:tab w:val="right" w:pos="9921" w:leader="dot"/>
            </w:tabs>
            <w:rPr/>
          </w:pPr>
          <w:hyperlink w:anchor="__RefHeading___Toc3338_298557957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40_298557957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6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42_298557957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11</w:t>
            </w:r>
          </w:hyperlink>
        </w:p>
        <w:p>
          <w:pPr>
            <w:pStyle w:val="TOC1"/>
            <w:tabs>
              <w:tab w:val="clear" w:pos="720"/>
              <w:tab w:val="right" w:pos="9921" w:leader="dot"/>
            </w:tabs>
            <w:rPr/>
          </w:pPr>
          <w:hyperlink w:anchor="__RefHeading___Toc3344_298557957">
            <w:r>
              <w:rPr>
                <w:webHidden/>
                <w:rStyle w:val="Style14"/>
                <w:vanish w:val="false"/>
              </w:rPr>
              <w:t xml:space="preserve">4. </w:t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20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sz w:val="22"/>
          <w:szCs w:val="22"/>
        </w:rPr>
      </w:r>
    </w:p>
    <w:p>
      <w:pPr>
        <w:pStyle w:val="TOC1"/>
        <w:tabs>
          <w:tab w:val="clear" w:pos="720"/>
          <w:tab w:val="left" w:pos="560" w:leader="none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color w:val="auto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color w:val="auto"/>
          <w:sz w:val="22"/>
          <w:szCs w:val="22"/>
        </w:rPr>
      </w:r>
    </w:p>
    <w:p>
      <w:pPr>
        <w:pStyle w:val="Heading2"/>
        <w:rPr>
          <w:b w:val="false"/>
          <w:i/>
          <w:i/>
        </w:rPr>
      </w:pPr>
      <w:r>
        <w:rPr>
          <w:b w:val="false"/>
          <w:i/>
        </w:rPr>
      </w:r>
      <w:r>
        <w:br w:type="page"/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caps/>
          <w:lang w:val="ru-RU"/>
        </w:rPr>
      </w:pPr>
      <w:bookmarkStart w:id="0" w:name="__RefHeading___Toc3310_298557957"/>
      <w:bookmarkStart w:id="1" w:name="_Toc136857107"/>
      <w:bookmarkStart w:id="2" w:name="_Toc51339692"/>
      <w:bookmarkEnd w:id="0"/>
      <w:bookmarkEnd w:id="2"/>
      <w:r>
        <w:rPr>
          <w:lang w:val="ru-RU"/>
        </w:rPr>
        <w:t>Общие сведения</w:t>
      </w:r>
      <w:bookmarkEnd w:id="1"/>
    </w:p>
    <w:p>
      <w:pPr>
        <w:pStyle w:val="Heading4"/>
        <w:numPr>
          <w:ilvl w:val="1"/>
          <w:numId w:val="1"/>
        </w:numPr>
        <w:rPr/>
      </w:pPr>
      <w:bookmarkStart w:id="3" w:name="__RefHeading___Toc3312_298557957"/>
      <w:bookmarkStart w:id="4" w:name="_Toc136857108"/>
      <w:bookmarkStart w:id="5" w:name="_Toc46743505"/>
      <w:bookmarkEnd w:id="3"/>
      <w:bookmarkEnd w:id="5"/>
      <w:r>
        <w:rPr/>
        <w:t>Обозначения и сокращения</w:t>
      </w:r>
      <w:bookmarkEnd w:id="4"/>
    </w:p>
    <w:p>
      <w:pPr>
        <w:pStyle w:val="Normal"/>
        <w:rPr>
          <w:rStyle w:val="Style8"/>
          <w:bCs/>
          <w:sz w:val="24"/>
          <w:szCs w:val="24"/>
        </w:rPr>
      </w:pPr>
      <w:r>
        <w:rPr>
          <w:bCs/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Cs w:val="24"/>
                <w:lang w:val="en-US"/>
              </w:rPr>
              <w:t>ФАС</w:t>
            </w:r>
          </w:p>
        </w:tc>
        <w:tc>
          <w:tcPr>
            <w:tcW w:w="79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Федеральная антимонопольная служба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rStyle w:val="Style8"/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ГЭС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rStyle w:val="Style8"/>
                <w:shd w:fill="FFFFFF" w:val="clear"/>
                <w:lang w:val="en-US"/>
              </w:rPr>
            </w:pPr>
            <w:r>
              <w:rPr>
                <w:shd w:fill="FFFFFF" w:val="clear"/>
                <w:lang w:val="en-US"/>
              </w:rPr>
              <w:t>Ду600</w:t>
            </w:r>
          </w:p>
        </w:tc>
        <w:tc>
          <w:tcPr>
            <w:tcW w:w="799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  <w:lang w:val="en-US"/>
              </w:rPr>
            </w:pPr>
            <w:r>
              <w:rPr>
                <w:bCs/>
                <w:iCs/>
                <w:sz w:val="24"/>
                <w:szCs w:val="24"/>
                <w:lang w:val="en-US"/>
              </w:rPr>
              <w:t>Диаметр условного прохода 600 мм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1"/>
        </w:numPr>
        <w:rPr/>
      </w:pPr>
      <w:bookmarkStart w:id="6" w:name="__RefHeading___Toc3314_298557957"/>
      <w:bookmarkStart w:id="7" w:name="_Toc136857109"/>
      <w:bookmarkStart w:id="8" w:name="_Toc46743506"/>
      <w:bookmarkEnd w:id="6"/>
      <w:bookmarkEnd w:id="8"/>
      <w:r>
        <w:rPr/>
        <w:t>Наименование закупаемой продукции</w:t>
      </w:r>
      <w:bookmarkEnd w:id="7"/>
    </w:p>
    <w:p>
      <w:pPr>
        <w:pStyle w:val="Normal"/>
        <w:widowControl w:val="false"/>
        <w:tabs>
          <w:tab w:val="clear" w:pos="720"/>
          <w:tab w:val="left" w:pos="426" w:leader="none"/>
        </w:tabs>
        <w:suppressAutoHyphens w:val="true"/>
        <w:bidi w:val="0"/>
        <w:spacing w:before="120" w:after="120"/>
        <w:ind w:hanging="0" w:left="0" w:right="0"/>
        <w:jc w:val="both"/>
        <w:rPr/>
      </w:pPr>
      <w:r>
        <w:rPr>
          <w:sz w:val="24"/>
          <w:szCs w:val="24"/>
        </w:rPr>
        <w:t>28.14.20.290 Поставка запасных частей для капитального ремонта турбин Филиала</w:t>
        <w:br/>
        <w:t xml:space="preserve">ПАО «РусГидро» - «Жигулевская ГЭС» (ЗИП к задвижке клиновой с гидроприводом ПТ11090-600М т/ф 31с742р (фл)). </w:t>
      </w:r>
    </w:p>
    <w:p>
      <w:pPr>
        <w:pStyle w:val="Heading4"/>
        <w:numPr>
          <w:ilvl w:val="1"/>
          <w:numId w:val="1"/>
        </w:numPr>
        <w:spacing w:before="240" w:after="60"/>
        <w:ind w:hanging="431" w:left="431"/>
        <w:rPr/>
      </w:pPr>
      <w:bookmarkStart w:id="9" w:name="__RefHeading___Toc3316_298557957"/>
      <w:bookmarkStart w:id="10" w:name="_Toc136857110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/>
      </w:pPr>
      <w:r>
        <w:rPr>
          <w:sz w:val="24"/>
          <w:szCs w:val="24"/>
        </w:rPr>
        <w:t>Целью приобретения запасных частей является обеспечение работоспособности задвижек осушения проточной части гидроагрегатов и донных водосбросов. Продукция предназначена для исполнения договора подряда 3-РЕМ-2023-ЖиГЭС от 03.11.2023г. «Капитальный и текущий ремонт оборудования, зданий, сооружений филиала ПАО «РусГидро» - «Жигулевская ГЭС» и будет использоваться в качестве давальческих материалов.</w:t>
      </w:r>
    </w:p>
    <w:p>
      <w:pPr>
        <w:pStyle w:val="Heading4"/>
        <w:numPr>
          <w:ilvl w:val="1"/>
          <w:numId w:val="1"/>
        </w:numPr>
        <w:rPr/>
      </w:pPr>
      <w:bookmarkStart w:id="12" w:name="__RefHeading___Toc3318_298557957"/>
      <w:bookmarkStart w:id="13" w:name="_Toc46743508"/>
      <w:bookmarkStart w:id="14" w:name="_Toc136857111"/>
      <w:bookmarkEnd w:id="12"/>
      <w:r>
        <w:rPr/>
        <w:t>Существующее положение</w:t>
      </w:r>
      <w:bookmarkEnd w:id="13"/>
      <w:bookmarkEnd w:id="14"/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Жигулёвская ГЭС расположена по адресу: Российская Федерация, 445350, Самарская область, город Жигулевск, Московское шоссе, дом 2.  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На Филиале эксплуатируются</w:t>
      </w:r>
      <w:r>
        <w:rPr>
          <w:b/>
          <w:bCs/>
          <w:sz w:val="24"/>
          <w:szCs w:val="24"/>
          <w:lang w:eastAsia="en-US"/>
        </w:rPr>
        <w:t xml:space="preserve"> з</w:t>
      </w:r>
      <w:r>
        <w:rPr>
          <w:sz w:val="24"/>
          <w:szCs w:val="24"/>
          <w:lang w:eastAsia="en-US"/>
        </w:rPr>
        <w:t xml:space="preserve">адвижки клиновые с гидроприводом </w:t>
      </w:r>
      <w:r>
        <w:rPr>
          <w:sz w:val="24"/>
          <w:szCs w:val="24"/>
          <w:lang w:val="en-US" w:eastAsia="en-US"/>
        </w:rPr>
        <w:t>DN</w:t>
      </w:r>
      <w:r>
        <w:rPr>
          <w:sz w:val="24"/>
          <w:szCs w:val="24"/>
          <w:lang w:eastAsia="en-US"/>
        </w:rPr>
        <w:t xml:space="preserve">600 </w:t>
      </w:r>
      <w:r>
        <w:rPr>
          <w:sz w:val="24"/>
          <w:szCs w:val="24"/>
          <w:lang w:val="en-US" w:eastAsia="en-US"/>
        </w:rPr>
        <w:t>PN</w:t>
      </w:r>
      <w:r>
        <w:rPr>
          <w:sz w:val="24"/>
          <w:szCs w:val="24"/>
          <w:lang w:eastAsia="en-US"/>
        </w:rPr>
        <w:t>1,0МПа (10 кгс/см²) ПТ11090-600М, т/ф31с742р(Фл), АО “Пензтяжпромарматура” 2007 года изготовления.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За период эксплуатации в результате физического износа утратили свое функциональное назначение: кольца уплотнительные клина задвижки, шток и цилиндр гидропривода.</w:t>
      </w:r>
    </w:p>
    <w:p>
      <w:pPr>
        <w:pStyle w:val="ListParagraph"/>
        <w:widowControl w:val="false"/>
        <w:numPr>
          <w:ilvl w:val="1"/>
          <w:numId w:val="1"/>
        </w:numPr>
        <w:tabs>
          <w:tab w:val="clear" w:pos="720"/>
          <w:tab w:val="left" w:pos="426" w:leader="none"/>
        </w:tabs>
        <w:spacing w:before="120" w:after="240"/>
        <w:contextualSpacing/>
        <w:jc w:val="both"/>
        <w:rPr>
          <w:b/>
          <w:lang w:val="en-US"/>
        </w:rPr>
      </w:pPr>
      <w:r>
        <w:rPr>
          <w:b/>
          <w:lang w:val="en-US"/>
        </w:rPr>
        <w:t>Требования к участнику</w:t>
      </w:r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120" w:after="24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поставщику: отсутствие в реестре недобросовестных поставщиков(подрядчиков) ФАС России.</w:t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  <w:lang w:val="ru-RU"/>
        </w:rPr>
      </w:pPr>
      <w:bookmarkStart w:id="15" w:name="__RefHeading___Toc3320_298557957"/>
      <w:bookmarkStart w:id="16" w:name="_Toc136857112"/>
      <w:bookmarkStart w:id="17" w:name="_Toc51339693"/>
      <w:bookmarkEnd w:id="15"/>
      <w:bookmarkEnd w:id="17"/>
      <w:r>
        <w:rPr>
          <w:iCs/>
        </w:rPr>
        <w:t>Требования к продукции</w:t>
      </w:r>
      <w:bookmarkEnd w:id="16"/>
    </w:p>
    <w:p>
      <w:pPr>
        <w:pStyle w:val="Heading4"/>
        <w:numPr>
          <w:ilvl w:val="1"/>
          <w:numId w:val="1"/>
        </w:numPr>
        <w:rPr/>
      </w:pPr>
      <w:bookmarkStart w:id="18" w:name="__RefHeading___Toc3322_298557957"/>
      <w:bookmarkStart w:id="19" w:name="_Toc136857113"/>
      <w:bookmarkEnd w:id="18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9"/>
    </w:p>
    <w:p>
      <w:pPr>
        <w:pStyle w:val="Heading3"/>
        <w:numPr>
          <w:ilvl w:val="2"/>
          <w:numId w:val="1"/>
        </w:numPr>
        <w:rPr/>
      </w:pPr>
      <w:bookmarkStart w:id="20" w:name="__RefHeading___Toc3324_298557957"/>
      <w:bookmarkStart w:id="21" w:name="_Toc136857114"/>
      <w:bookmarkEnd w:id="20"/>
      <w:r>
        <w:rPr>
          <w:lang w:val="ru-RU"/>
        </w:rPr>
        <w:t>Перечень и объем закупаемой продукции</w:t>
      </w:r>
      <w:bookmarkEnd w:id="21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lang w:val="ru-RU"/>
        </w:rPr>
      </w:pPr>
      <w:bookmarkStart w:id="22" w:name="__RefHeading___Toc3326_298557957"/>
      <w:bookmarkStart w:id="23" w:name="_Toc136857115"/>
      <w:bookmarkStart w:id="24" w:name="_Toc51339695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4"/>
      <w:r>
        <w:rPr>
          <w:sz w:val="24"/>
          <w:szCs w:val="24"/>
          <w:lang w:val="ru-RU"/>
        </w:rPr>
        <w:t>и объем закупаемой продукции</w:t>
      </w:r>
      <w:bookmarkEnd w:id="23"/>
    </w:p>
    <w:tbl>
      <w:tblPr>
        <w:tblW w:w="9765" w:type="dxa"/>
        <w:jc w:val="left"/>
        <w:tblInd w:w="300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0"/>
        <w:gridCol w:w="2983"/>
        <w:gridCol w:w="3541"/>
        <w:gridCol w:w="1278"/>
        <w:gridCol w:w="1423"/>
      </w:tblGrid>
      <w:tr>
        <w:trPr>
          <w:tblHeader w:val="true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3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Тип, марка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>
          <w:tblHeader w:val="true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2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ЗИП к задвижке клиновой с гидроприводом ПТ11090-600М т/ф 31с742р (фл) </w:t>
            </w:r>
          </w:p>
        </w:tc>
        <w:tc>
          <w:tcPr>
            <w:tcW w:w="3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ПТ11090-600М т/ф31с742р(фл) </w:t>
            </w: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состав: 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>ПТ11090-600Г Кольцо-2шт; ПТ11090-600МА Цилиндр-1шт; 0718.402413.508 Шток -1шт</w:t>
            </w:r>
            <w:r>
              <w:rPr>
                <w:sz w:val="24"/>
                <w:szCs w:val="24"/>
                <w:lang w:eastAsia="en-US"/>
              </w:rPr>
              <w:br/>
              <w:t>АО “Пензтяжпромарматура”</w:t>
            </w:r>
          </w:p>
        </w:tc>
        <w:tc>
          <w:tcPr>
            <w:tcW w:w="1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</w:tr>
    </w:tbl>
    <w:p>
      <w:pPr>
        <w:pStyle w:val="Normal"/>
        <w:ind w:hanging="0" w:left="57"/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</w:r>
    </w:p>
    <w:p>
      <w:pPr>
        <w:pStyle w:val="Heading1"/>
        <w:ind w:hanging="504" w:left="567"/>
        <w:rPr>
          <w:sz w:val="24"/>
          <w:lang w:val="en-US"/>
        </w:rPr>
      </w:pPr>
      <w:bookmarkStart w:id="25" w:name="__RefHeading___Toc3328_298557957"/>
      <w:bookmarkStart w:id="26" w:name="_Toc136857116"/>
      <w:bookmarkEnd w:id="25"/>
      <w:r>
        <w:rPr>
          <w:sz w:val="24"/>
        </w:rPr>
        <w:t xml:space="preserve">Таблица 1.2 Технические характеристики </w:t>
      </w:r>
      <w:r>
        <w:rPr>
          <w:sz w:val="24"/>
          <w:lang w:val="en-US"/>
        </w:rPr>
        <w:t>оборудования</w:t>
      </w:r>
      <w:bookmarkEnd w:id="26"/>
    </w:p>
    <w:p>
      <w:pPr>
        <w:pStyle w:val="Normal"/>
        <w:ind w:hanging="0" w:left="71"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</w:r>
    </w:p>
    <w:tbl>
      <w:tblPr>
        <w:tblW w:w="9613" w:type="dxa"/>
        <w:jc w:val="left"/>
        <w:tblInd w:w="3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800"/>
        <w:gridCol w:w="5812"/>
      </w:tblGrid>
      <w:tr>
        <w:trPr>
          <w:trHeight w:val="450" w:hRule="atLeast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sz w:val="20"/>
                <w:szCs w:val="28"/>
              </w:rPr>
            </w:pPr>
            <w:bookmarkStart w:id="27" w:name="__RefHeading___Toc3330_298557957"/>
            <w:bookmarkStart w:id="28" w:name="_Toc136856985"/>
            <w:bookmarkStart w:id="29" w:name="_Toc136857117"/>
            <w:bookmarkEnd w:id="27"/>
            <w:r>
              <w:rPr>
                <w:b/>
                <w:bCs/>
                <w:sz w:val="24"/>
                <w:szCs w:val="28"/>
              </w:rPr>
              <w:t>Наименование параметра</w:t>
            </w:r>
            <w:bookmarkEnd w:id="28"/>
            <w:bookmarkEnd w:id="29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</w:numPr>
              <w:jc w:val="center"/>
              <w:rPr>
                <w:sz w:val="20"/>
                <w:szCs w:val="28"/>
              </w:rPr>
            </w:pPr>
            <w:bookmarkStart w:id="30" w:name="__RefHeading___Toc3332_298557957"/>
            <w:bookmarkStart w:id="31" w:name="_Toc136857118"/>
            <w:bookmarkStart w:id="32" w:name="_Toc136856986"/>
            <w:bookmarkEnd w:id="30"/>
            <w:r>
              <w:rPr>
                <w:b/>
                <w:bCs/>
                <w:sz w:val="24"/>
                <w:szCs w:val="28"/>
              </w:rPr>
              <w:t>Значение параметра</w:t>
            </w:r>
            <w:bookmarkEnd w:id="31"/>
            <w:bookmarkEnd w:id="32"/>
          </w:p>
        </w:tc>
      </w:tr>
      <w:tr>
        <w:trPr>
          <w:trHeight w:val="77" w:hRule="atLeast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1. </w:t>
            </w:r>
            <w:r>
              <w:rPr>
                <w:sz w:val="24"/>
                <w:szCs w:val="24"/>
                <w:lang w:val="en-US" w:eastAsia="en-US"/>
              </w:rPr>
              <w:t>Обозначение изделия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ПТ11090-600М, т/ф31с742р(фл)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2. </w:t>
            </w:r>
            <w:r>
              <w:rPr>
                <w:sz w:val="24"/>
                <w:szCs w:val="24"/>
                <w:lang w:val="en-US" w:eastAsia="en-US"/>
              </w:rPr>
              <w:t>Проход условный DN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600</w:t>
            </w:r>
          </w:p>
        </w:tc>
      </w:tr>
      <w:tr>
        <w:trPr>
          <w:trHeight w:val="375" w:hRule="atLeast"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3. Давление номинальное </w:t>
            </w:r>
            <w:r>
              <w:rPr>
                <w:sz w:val="24"/>
                <w:szCs w:val="24"/>
                <w:lang w:val="en-US" w:eastAsia="en-US"/>
              </w:rPr>
              <w:t>PN</w:t>
            </w:r>
            <w:r>
              <w:rPr>
                <w:sz w:val="24"/>
                <w:szCs w:val="24"/>
                <w:lang w:eastAsia="en-US"/>
              </w:rPr>
              <w:t>, МПа (кгс/см²)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1.0(10)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4. Температура рабочей среды </w:t>
            </w:r>
            <w:r>
              <w:rPr>
                <w:sz w:val="24"/>
                <w:szCs w:val="24"/>
                <w:lang w:val="en-US" w:eastAsia="en-US"/>
              </w:rPr>
              <w:t>t</w:t>
            </w:r>
            <w:r>
              <w:rPr>
                <w:sz w:val="24"/>
                <w:szCs w:val="24"/>
                <w:lang w:eastAsia="en-US"/>
              </w:rPr>
              <w:t>,ºС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≤</w:t>
            </w:r>
            <w:r>
              <w:rPr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sz w:val="24"/>
                <w:szCs w:val="24"/>
                <w:lang w:val="en-US" w:eastAsia="en-US"/>
              </w:rPr>
              <w:t>+80ºС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en-US"/>
              </w:rPr>
              <w:t xml:space="preserve">5. </w:t>
            </w:r>
            <w:r>
              <w:rPr>
                <w:sz w:val="24"/>
                <w:szCs w:val="24"/>
                <w:lang w:val="en-US" w:eastAsia="en-US"/>
              </w:rPr>
              <w:t>Коэффициент гидравлического сопротивления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0.1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6. </w:t>
            </w:r>
            <w:r>
              <w:rPr>
                <w:sz w:val="24"/>
                <w:szCs w:val="24"/>
                <w:lang w:val="en-US" w:eastAsia="en-US"/>
              </w:rPr>
              <w:t>Расположение ходового узла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С выдвижным шпинделем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 w:eastAsia="en-US"/>
              </w:rPr>
              <w:t>7</w:t>
            </w:r>
            <w:r>
              <w:rPr>
                <w:sz w:val="24"/>
                <w:szCs w:val="24"/>
                <w:lang w:eastAsia="en-US"/>
              </w:rPr>
              <w:t>. Тип присоединения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Фланцевое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8</w:t>
            </w:r>
            <w:r>
              <w:rPr>
                <w:sz w:val="24"/>
                <w:szCs w:val="24"/>
                <w:lang w:eastAsia="en-US"/>
              </w:rPr>
              <w:t>. Тип управления/ управляющая среда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Гидропривод/ вода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9</w:t>
            </w:r>
            <w:r>
              <w:rPr>
                <w:sz w:val="24"/>
                <w:szCs w:val="24"/>
                <w:lang w:eastAsia="en-US"/>
              </w:rPr>
              <w:t>. Тип уплотнения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Гуммированный клин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</w:t>
            </w:r>
            <w:r>
              <w:rPr>
                <w:sz w:val="24"/>
                <w:szCs w:val="24"/>
                <w:lang w:eastAsia="en-US"/>
              </w:rPr>
              <w:t>. Управляющее давление на гидроприводе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Открывание – 0.45 Н*м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Закрывание – до 0.4 Н*м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11. Климатические условия эксплуатации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У</w:t>
            </w:r>
          </w:p>
        </w:tc>
      </w:tr>
      <w:tr>
        <w:trPr/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12. Допустимые протечки в затворе по ГОСТ 9544-93, см³/мин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</w:tr>
      <w:tr>
        <w:trPr/>
        <w:tc>
          <w:tcPr>
            <w:tcW w:w="3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13. Длинна цилиндра гидропривода </w:t>
            </w: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>ПТ11090-600МА</w:t>
            </w:r>
          </w:p>
        </w:tc>
        <w:tc>
          <w:tcPr>
            <w:tcW w:w="58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Не менее 800 мм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hanging="0" w:left="57"/>
        <w:jc w:val="both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</w:r>
    </w:p>
    <w:p>
      <w:pPr>
        <w:pStyle w:val="Heading3"/>
        <w:numPr>
          <w:ilvl w:val="2"/>
          <w:numId w:val="1"/>
        </w:numPr>
        <w:rPr>
          <w:lang w:val="ru-RU"/>
        </w:rPr>
      </w:pPr>
      <w:bookmarkStart w:id="33" w:name="__RefHeading___Toc3334_298557957"/>
      <w:bookmarkStart w:id="34" w:name="_Toc136857119"/>
      <w:bookmarkStart w:id="35" w:name="_Toc51339696"/>
      <w:bookmarkEnd w:id="33"/>
      <w:r>
        <w:rPr>
          <w:lang w:val="ru-RU"/>
        </w:rPr>
        <w:t xml:space="preserve">Требования </w:t>
      </w:r>
      <w:bookmarkEnd w:id="35"/>
      <w:r>
        <w:rPr>
          <w:lang w:val="ru-RU"/>
        </w:rPr>
        <w:t>к срокам поставки продукции и оказания сопутствующих услуг</w:t>
      </w:r>
      <w:bookmarkEnd w:id="34"/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before="0" w:after="0"/>
        <w:ind w:hanging="0" w:left="113" w:right="0"/>
        <w:jc w:val="left"/>
        <w:rPr>
          <w:sz w:val="24"/>
          <w:szCs w:val="24"/>
        </w:rPr>
      </w:pPr>
      <w:r>
        <w:rPr>
          <w:sz w:val="24"/>
          <w:szCs w:val="24"/>
        </w:rPr>
        <w:t>Поставка продукции осуществляется четырьмя партиями в объеме и в сроки согласно таблицы 2.1.</w:t>
      </w:r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/>
      </w:pPr>
      <w:bookmarkStart w:id="36" w:name="__RefHeading___Toc3336_298557957"/>
      <w:bookmarkStart w:id="37" w:name="_Toc136857120"/>
      <w:bookmarkStart w:id="38" w:name="_Toc50125127"/>
      <w:bookmarkStart w:id="39" w:name="_Toc51339697"/>
      <w:bookmarkStart w:id="40" w:name="_Toc501251261"/>
      <w:bookmarkEnd w:id="36"/>
      <w:bookmarkEnd w:id="4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1" w:name="_Hlk50465284"/>
      <w:r>
        <w:rPr>
          <w:sz w:val="24"/>
          <w:szCs w:val="24"/>
        </w:rPr>
        <w:t xml:space="preserve">Требования по срокам </w:t>
      </w:r>
      <w:bookmarkEnd w:id="38"/>
      <w:bookmarkEnd w:id="39"/>
      <w:bookmarkEnd w:id="41"/>
      <w:r>
        <w:rPr>
          <w:sz w:val="24"/>
          <w:szCs w:val="24"/>
          <w:lang w:val="ru-RU"/>
        </w:rPr>
        <w:t>поставки продукции</w:t>
      </w:r>
      <w:bookmarkEnd w:id="3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51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5"/>
        <w:gridCol w:w="3804"/>
        <w:gridCol w:w="2557"/>
        <w:gridCol w:w="2629"/>
      </w:tblGrid>
      <w:tr>
        <w:trPr>
          <w:tblHeader w:val="true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</w:trPr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8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highlight w:val="none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179" w:hRule="atLeast"/>
        </w:trPr>
        <w:tc>
          <w:tcPr>
            <w:tcW w:w="977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Партия №1</w:t>
            </w:r>
          </w:p>
        </w:tc>
      </w:tr>
      <w:tr>
        <w:trPr>
          <w:trHeight w:val="127" w:hRule="atLeast"/>
        </w:trPr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bidi w:val="0"/>
              <w:spacing w:before="120" w:after="120"/>
              <w:ind w:hanging="0" w:left="57" w:right="0"/>
              <w:jc w:val="both"/>
              <w:rPr/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ЗИП к задвижке клиновой с гидроприводом ПТ11090-600М </w:t>
              <w:br/>
              <w:t xml:space="preserve">т/ф 31с742р (фл) </w:t>
            </w:r>
            <w:r>
              <w:rPr>
                <w:rFonts w:eastAsia="Verdana" w:cs="Verdana"/>
                <w:b/>
                <w:bCs/>
                <w:color w:val="000000"/>
                <w:sz w:val="24"/>
                <w:szCs w:val="24"/>
                <w:lang w:eastAsia="en-US"/>
              </w:rPr>
              <w:t>— 1 шт</w:t>
            </w:r>
          </w:p>
        </w:tc>
        <w:tc>
          <w:tcPr>
            <w:tcW w:w="25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01.02.2028г</w:t>
            </w:r>
          </w:p>
        </w:tc>
      </w:tr>
      <w:tr>
        <w:trPr>
          <w:trHeight w:val="114" w:hRule="atLeast"/>
        </w:trPr>
        <w:tc>
          <w:tcPr>
            <w:tcW w:w="9775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Партия №2</w:t>
            </w:r>
          </w:p>
        </w:tc>
      </w:tr>
      <w:tr>
        <w:trPr>
          <w:trHeight w:val="113" w:hRule="atLeast"/>
        </w:trPr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bidi w:val="0"/>
              <w:spacing w:before="120" w:after="120"/>
              <w:ind w:hanging="0" w:left="57" w:right="0"/>
              <w:jc w:val="both"/>
              <w:rPr/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ЗИП к задвижке клиновой с гидроприводом ПТ11090-600М </w:t>
              <w:br/>
              <w:t xml:space="preserve">т/ф 31с742р (фл) </w:t>
            </w:r>
            <w:r>
              <w:rPr>
                <w:rFonts w:eastAsia="Verdana" w:cs="Verdana"/>
                <w:b/>
                <w:bCs/>
                <w:color w:val="000000"/>
                <w:sz w:val="24"/>
                <w:szCs w:val="24"/>
                <w:lang w:eastAsia="en-US"/>
              </w:rPr>
              <w:t>— 1 шт</w:t>
            </w:r>
          </w:p>
        </w:tc>
        <w:tc>
          <w:tcPr>
            <w:tcW w:w="25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01.06.2028г</w:t>
            </w:r>
          </w:p>
        </w:tc>
      </w:tr>
      <w:tr>
        <w:trPr>
          <w:trHeight w:val="265" w:hRule="atLeast"/>
        </w:trPr>
        <w:tc>
          <w:tcPr>
            <w:tcW w:w="9775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Партия №3</w:t>
            </w:r>
          </w:p>
        </w:tc>
      </w:tr>
      <w:tr>
        <w:trPr>
          <w:trHeight w:val="1134" w:hRule="atLeast"/>
        </w:trPr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bidi w:val="0"/>
              <w:spacing w:before="120" w:after="120"/>
              <w:ind w:hanging="0" w:left="57" w:right="0"/>
              <w:jc w:val="both"/>
              <w:rPr/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ЗИП к задвижке клиновой с гидроприводом ПТ11090-600М </w:t>
              <w:br/>
              <w:t xml:space="preserve">т/ф 31с742р (фл) </w:t>
            </w:r>
            <w:r>
              <w:rPr>
                <w:rFonts w:eastAsia="Verdana" w:cs="Verdana"/>
                <w:b/>
                <w:bCs/>
                <w:color w:val="000000"/>
                <w:sz w:val="24"/>
                <w:szCs w:val="24"/>
                <w:lang w:eastAsia="en-US"/>
              </w:rPr>
              <w:t>— 1 шт</w:t>
            </w:r>
          </w:p>
        </w:tc>
        <w:tc>
          <w:tcPr>
            <w:tcW w:w="25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01.08.2028г</w:t>
            </w:r>
          </w:p>
        </w:tc>
      </w:tr>
      <w:tr>
        <w:trPr>
          <w:trHeight w:val="179" w:hRule="atLeast"/>
        </w:trPr>
        <w:tc>
          <w:tcPr>
            <w:tcW w:w="9775" w:type="dxa"/>
            <w:gridSpan w:val="4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ind w:hanging="0" w:left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Партия №4</w:t>
            </w:r>
          </w:p>
        </w:tc>
      </w:tr>
      <w:tr>
        <w:trPr>
          <w:trHeight w:val="1014" w:hRule="atLeast"/>
        </w:trPr>
        <w:tc>
          <w:tcPr>
            <w:tcW w:w="7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38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bidi w:val="0"/>
              <w:spacing w:before="120" w:after="120"/>
              <w:ind w:hanging="0" w:left="57" w:right="0"/>
              <w:jc w:val="both"/>
              <w:rPr/>
            </w:pPr>
            <w:r>
              <w:rPr>
                <w:rFonts w:eastAsia="Verdana" w:cs="Verdana"/>
                <w:color w:val="000000"/>
                <w:sz w:val="24"/>
                <w:szCs w:val="24"/>
                <w:lang w:eastAsia="en-US"/>
              </w:rPr>
              <w:t xml:space="preserve">ЗИП к задвижке клиновой с гидроприводом ПТ11090-600М </w:t>
              <w:br/>
              <w:t xml:space="preserve">т/ф 31с742р (фл) </w:t>
            </w:r>
            <w:r>
              <w:rPr>
                <w:rFonts w:eastAsia="Verdana" w:cs="Verdana"/>
                <w:b/>
                <w:bCs/>
                <w:color w:val="000000"/>
                <w:sz w:val="24"/>
                <w:szCs w:val="24"/>
                <w:lang w:eastAsia="en-US"/>
              </w:rPr>
              <w:t>— 1 шт</w:t>
            </w:r>
          </w:p>
        </w:tc>
        <w:tc>
          <w:tcPr>
            <w:tcW w:w="255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62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Не позднее 01.10.2028г</w:t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1"/>
        </w:numPr>
        <w:rPr/>
      </w:pPr>
      <w:bookmarkStart w:id="42" w:name="__RefHeading___Toc3338_298557957"/>
      <w:bookmarkStart w:id="43" w:name="_Toc51339698"/>
      <w:bookmarkStart w:id="44" w:name="_Toc136857121"/>
      <w:bookmarkStart w:id="45" w:name="_Toc46743511"/>
      <w:bookmarkEnd w:id="42"/>
      <w:r>
        <w:rPr/>
        <w:t xml:space="preserve">Требования к </w:t>
      </w:r>
      <w:bookmarkEnd w:id="45"/>
      <w:r>
        <w:rPr>
          <w:lang w:val="ru-RU"/>
        </w:rPr>
        <w:t>качеству продукции</w:t>
      </w:r>
      <w:bookmarkEnd w:id="44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6" w:name="__RefHeading___Toc3340_298557957"/>
      <w:bookmarkEnd w:id="46"/>
      <w:r>
        <w:rPr>
          <w:sz w:val="24"/>
          <w:szCs w:val="24"/>
        </w:rPr>
        <w:t xml:space="preserve"> </w:t>
      </w:r>
      <w:bookmarkStart w:id="47" w:name="_Toc13685712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43"/>
      <w:bookmarkEnd w:id="47"/>
      <w:r>
        <w:rPr>
          <w:sz w:val="24"/>
          <w:szCs w:val="24"/>
        </w:rPr>
        <w:t xml:space="preserve"> </w:t>
      </w:r>
    </w:p>
    <w:p>
      <w:pPr>
        <w:pStyle w:val="Normal"/>
        <w:rPr>
          <w:rStyle w:val="Style8"/>
        </w:rPr>
      </w:pPr>
      <w:r>
        <w:rPr/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 (позиция №1 Таблицы 1.1): 28.14.20.290 Поставка запасных частей для капитального ремонта турбин Филиала ПАО «РусГидро» - «Жигулевская ГЭС» (ЗИП к задвижке клиновой с гидроприводом ПТ11090-600М т/ф 31с742р (фл)).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fff5"/>
        <w:tblW w:w="15309" w:type="dxa"/>
        <w:jc w:val="left"/>
        <w:tblInd w:w="146" w:type="dxa"/>
        <w:tblLayout w:type="fixed"/>
        <w:tblCellMar>
          <w:top w:w="0" w:type="dxa"/>
          <w:left w:w="8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1966"/>
        <w:gridCol w:w="29"/>
        <w:gridCol w:w="32"/>
        <w:gridCol w:w="12"/>
        <w:gridCol w:w="2961"/>
        <w:gridCol w:w="2927"/>
        <w:gridCol w:w="3201"/>
        <w:gridCol w:w="3334"/>
      </w:tblGrid>
      <w:tr>
        <w:trPr/>
        <w:tc>
          <w:tcPr>
            <w:tcW w:w="846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39" w:type="dxa"/>
            <w:gridSpan w:val="4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61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12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334" w:type="dxa"/>
            <w:vMerge w:val="restart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46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39" w:type="dxa"/>
            <w:gridSpan w:val="4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61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334" w:type="dxa"/>
            <w:vMerge w:val="continue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39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2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0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334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эквивалентов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/>
            </w:pPr>
            <w:r>
              <w:rPr>
                <w:rStyle w:val="Style8"/>
                <w:rFonts w:eastAsia="Times New Roman" w:cs="Times New Roman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Поставка эквивалента недопустима в связи с тем, что закупаемый товар будет использоваться во взаимодействии с товарами, уже использующимися заказчиком (в соответствии с конструкторской документацией, технической эксплуатационной документацией данные товары несовместимы с товарами,  произведенными иными производителями)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27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066" w:leader="none"/>
              </w:tabs>
              <w:suppressAutoHyphens w:val="true"/>
              <w:spacing w:lineRule="auto" w:line="276" w:before="0" w:after="200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73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1066" w:leader="none"/>
              </w:tabs>
              <w:suppressAutoHyphens w:val="true"/>
              <w:spacing w:lineRule="auto" w:line="276" w:before="0" w:after="200"/>
              <w:ind w:hanging="0" w:left="74"/>
              <w:contextualSpacing/>
              <w:jc w:val="both"/>
              <w:rPr>
                <w:color w:val="auto"/>
                <w:sz w:val="24"/>
                <w:szCs w:val="24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жизненного цикла Систем с учетом всех сторон, вовлеченных в процессы жизненного цикла (разработчиков, заказчиков, поставщиков продуктов и услуг, эксплуатирующих и надзорных подразделений Общества).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9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val="en-US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en-US" w:eastAsia="ru-RU" w:bidi="ar-SA"/>
              </w:rPr>
              <w:t>Требования к конструкции</w:t>
            </w:r>
          </w:p>
        </w:tc>
        <w:tc>
          <w:tcPr>
            <w:tcW w:w="3005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Конструкция поставляемой продукции должна соответствовать заявленным согласно перечня в табл.1.2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96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3034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поставляемой продукции должны соответствовать заявленным согласно перечня в табл.1.2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Погрузка, доставка, разгрузка и перемещение Товара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Продукция должна быть доставлена поставщиком по адресу: Российская Федерация, 445350, Самарская область, город Жигулевск, Московское шоссе, дом 2. Приемка продукции в рабочие дни с 08.00 до 15.00 по местному времени. Информация о транспорте (марка, гос.номер), на котором осуществляется доставка, а также ФИО и паспортные данные водителя и сопровождающих лиц (при наличии) для оформления допуска на территорию предоставляется не позднее предыдущего рабочего дня до прибытия транспорта, до 15.00. Допуск транспорта на территорию заказчика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и пропуск</w:t>
            </w:r>
          </w:p>
          <w:p>
            <w:pPr>
              <w:pStyle w:val="Normal"/>
              <w:widowControl w:val="false"/>
              <w:rPr>
                <w:highlight w:val="none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осуществляется без попутного груза.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эксплуатации, обеспечению и утилизации</w:t>
            </w:r>
          </w:p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4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4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296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firstLine="284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Срок гарантии на поставленную продукцию не менее 12 месяцев.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20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039" w:type="dxa"/>
            <w:gridSpan w:val="4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  <w:highlight w:val="green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296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 (перечень документов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определяется заводом изготовителем),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сертификаты качества,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технические паспорта,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руководства по эксплуатации,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протоколы заводских испытаний на русском языке (обязательно), товарную накладную унифицированной формы ТОРГ 12 в 2 экз.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сопутствующим услугам: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шефмонтажу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шефналадке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прочим услугам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6" w:type="dxa"/>
            <w:tcBorders/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5000" w:type="dxa"/>
            <w:gridSpan w:val="5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9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0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33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lang w:val="ru-RU"/>
        </w:rPr>
      </w:pPr>
      <w:bookmarkStart w:id="48" w:name="__RefHeading___Toc3342_298557957"/>
      <w:bookmarkStart w:id="49" w:name="_Toc136857123"/>
      <w:bookmarkStart w:id="50" w:name="_Toc53393312"/>
      <w:bookmarkEnd w:id="48"/>
      <w:r>
        <w:rPr>
          <w:lang w:val="ru-RU"/>
        </w:rPr>
        <w:t>Требования к документации по ценообразованию</w:t>
      </w:r>
      <w:bookmarkEnd w:id="50"/>
      <w:r>
        <w:rPr>
          <w:lang w:val="ru-RU"/>
        </w:rPr>
        <w:t xml:space="preserve"> на этапе закупки</w:t>
      </w:r>
      <w:bookmarkEnd w:id="49"/>
    </w:p>
    <w:p>
      <w:pPr>
        <w:pStyle w:val="Normal"/>
        <w:widowControl w:val="false"/>
        <w:tabs>
          <w:tab w:val="clear" w:pos="720"/>
          <w:tab w:val="left" w:pos="426" w:leader="none"/>
        </w:tabs>
        <w:spacing w:before="60" w:after="0"/>
        <w:jc w:val="both"/>
        <w:rPr>
          <w:rStyle w:val="Style8"/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bCs/>
          <w:iCs/>
          <w:sz w:val="24"/>
          <w:szCs w:val="24"/>
          <w:lang w:eastAsia="x-none"/>
        </w:rPr>
        <w:t xml:space="preserve">В обоснование стоимости своей заявки Поставщик предоставляет Коммерческое предложение по форме </w:t>
      </w:r>
      <w:bookmarkStart w:id="51" w:name="_Hlk88325985"/>
      <w:r>
        <w:rPr>
          <w:bCs/>
          <w:iCs/>
          <w:sz w:val="24"/>
          <w:szCs w:val="24"/>
          <w:lang w:eastAsia="x-none"/>
        </w:rPr>
        <w:t>(с учетом прилагаемой к ней инструкции по заполнению)</w:t>
      </w:r>
      <w:bookmarkEnd w:id="51"/>
      <w:r>
        <w:rPr>
          <w:bCs/>
          <w:iCs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Normal"/>
        <w:numPr>
          <w:ilvl w:val="1"/>
          <w:numId w:val="5"/>
        </w:numPr>
        <w:spacing w:before="0" w:after="120"/>
        <w:jc w:val="both"/>
        <w:rPr>
          <w:sz w:val="24"/>
          <w:szCs w:val="24"/>
        </w:rPr>
      </w:pPr>
      <w:r>
        <w:rPr>
          <w:rFonts w:eastAsia="Calibri"/>
          <w:iCs/>
          <w:sz w:val="24"/>
          <w:szCs w:val="24"/>
          <w:lang w:val="x-none" w:eastAsia="x-none"/>
        </w:rPr>
        <w:t>Вместе с Коммерческим предложением Поставщик должен предоставить в составе заявки спецификацию поставляемого оборудования по форме, приведенной в Приложении № 1 к настоящим Техническим требованиям (в случае закупки оборудования (материалов)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</w:p>
    <w:p>
      <w:pPr>
        <w:pStyle w:val="Normal"/>
        <w:spacing w:before="0" w:after="120"/>
        <w:jc w:val="both"/>
        <w:rPr>
          <w:rFonts w:eastAsia="Calibri"/>
          <w:i/>
          <w:i/>
          <w:iCs/>
          <w:sz w:val="24"/>
          <w:szCs w:val="24"/>
          <w:lang w:val="x-none" w:eastAsia="x-none"/>
        </w:rPr>
      </w:pPr>
      <w:r>
        <w:rPr>
          <w:rFonts w:eastAsia="Calibri"/>
          <w:i/>
          <w:iCs/>
          <w:sz w:val="24"/>
          <w:szCs w:val="24"/>
          <w:lang w:val="x-none" w:eastAsia="x-none"/>
        </w:rPr>
      </w:r>
    </w:p>
    <w:p>
      <w:pPr>
        <w:pStyle w:val="Heading1"/>
        <w:keepLines/>
        <w:numPr>
          <w:ilvl w:val="0"/>
          <w:numId w:val="1"/>
        </w:numPr>
        <w:ind w:hanging="357" w:left="357"/>
        <w:jc w:val="center"/>
        <w:rPr>
          <w:iCs/>
          <w:caps/>
        </w:rPr>
      </w:pPr>
      <w:bookmarkStart w:id="52" w:name="__RefHeading___Toc3344_298557957"/>
      <w:bookmarkStart w:id="53" w:name="_Toc136857124"/>
      <w:bookmarkEnd w:id="52"/>
      <w:r>
        <w:rPr>
          <w:iCs/>
        </w:rPr>
        <w:t>Приложения</w:t>
      </w:r>
      <w:bookmarkEnd w:id="53"/>
    </w:p>
    <w:p>
      <w:pPr>
        <w:pStyle w:val="Heading1"/>
        <w:keepLines/>
        <w:tabs>
          <w:tab w:val="clear" w:pos="0"/>
        </w:tabs>
        <w:ind w:hanging="0" w:left="0"/>
        <w:rPr>
          <w:iCs/>
        </w:rPr>
      </w:pPr>
      <w:r>
        <w:rPr>
          <w:iCs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sz w:val="24"/>
          <w:szCs w:val="24"/>
        </w:rPr>
      </w:pPr>
      <w:bookmarkStart w:id="54" w:name="__RefHeading___Toc3346_298557957"/>
      <w:bookmarkStart w:id="55" w:name="_Toc136857125"/>
      <w:bookmarkStart w:id="56" w:name="_Toc130454102"/>
      <w:bookmarkEnd w:id="54"/>
      <w:r>
        <w:rPr>
          <w:b w:val="false"/>
          <w:iCs/>
          <w:sz w:val="24"/>
          <w:szCs w:val="24"/>
        </w:rPr>
        <w:t>Приложение №1</w:t>
      </w:r>
      <w:r>
        <w:rPr>
          <w:b w:val="false"/>
          <w:iCs/>
          <w:sz w:val="24"/>
          <w:szCs w:val="24"/>
          <w:lang w:val="ru-RU"/>
        </w:rPr>
        <w:t xml:space="preserve">: </w:t>
      </w:r>
      <w:bookmarkStart w:id="57" w:name="_Toc130454103"/>
      <w:bookmarkEnd w:id="56"/>
      <w:r>
        <w:rPr>
          <w:b w:val="false"/>
          <w:iCs/>
          <w:sz w:val="24"/>
          <w:szCs w:val="24"/>
          <w:lang w:val="ru-RU"/>
        </w:rPr>
        <w:t>Спецификация поставляемой продукции</w:t>
      </w:r>
      <w:bookmarkEnd w:id="55"/>
      <w:bookmarkEnd w:id="57"/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b w:val="false"/>
          <w:iCs/>
          <w:lang w:val="ru-RU"/>
        </w:rPr>
      </w:pPr>
      <w:r>
        <w:rPr>
          <w:b w:val="false"/>
          <w:iCs/>
          <w:lang w:val="ru-RU"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sz w:val="24"/>
          <w:szCs w:val="24"/>
        </w:rPr>
      </w:pPr>
      <w:bookmarkStart w:id="58" w:name="__RefHeading___Toc3348_298557957"/>
      <w:bookmarkStart w:id="59" w:name="_Toc130454105"/>
      <w:bookmarkStart w:id="60" w:name="_Toc136857126"/>
      <w:bookmarkEnd w:id="58"/>
      <w:r>
        <w:rPr>
          <w:sz w:val="24"/>
          <w:szCs w:val="24"/>
        </w:rPr>
        <w:t>Приложение №2: Перечень и объем закупаемой продукции</w:t>
      </w:r>
      <w:bookmarkEnd w:id="59"/>
      <w:bookmarkEnd w:id="60"/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suppressAutoHyphens w:val="true"/>
        <w:bidi w:val="0"/>
        <w:spacing w:before="0" w:after="0"/>
        <w:ind w:firstLine="1134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992" w:gutter="0" w:header="680" w:top="851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effect w:val="none"/>
        <w:szCs w:val="24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qFormat/>
    <w:rsid w:val="00ea61a8"/>
    <w:pPr>
      <w:tabs>
        <w:tab w:val="clear" w:pos="0"/>
      </w:tabs>
      <w:ind w:hanging="0" w:left="0"/>
      <w:outlineLvl w:val="1"/>
    </w:pPr>
    <w:rPr/>
  </w:style>
  <w:style w:type="paragraph" w:styleId="Heading3">
    <w:name w:val="Heading 3"/>
    <w:basedOn w:val="Normal"/>
    <w:link w:val="31"/>
    <w:autoRedefine/>
    <w:qFormat/>
    <w:rsid w:val="00035e96"/>
    <w:pPr>
      <w:keepNext w:val="true"/>
      <w:tabs>
        <w:tab w:val="clear" w:pos="720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basedOn w:val="DefaultParagraphFont"/>
    <w:uiPriority w:val="99"/>
    <w:unhideWhenUsed/>
    <w:rsid w:val="002e4e1c"/>
    <w:rPr>
      <w:color w:val="0563C1" w:themeColor="hyperlink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Заголовок 1 Знак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i/>
      <w:shd w:fill="FFFF99" w:val="clear"/>
    </w:rPr>
  </w:style>
  <w:style w:type="character" w:styleId="Style9" w:customStyle="1">
    <w:name w:val="Подподпункт Знак"/>
    <w:qFormat/>
    <w:locked/>
    <w:rsid w:val="0025139e"/>
    <w:rPr>
      <w:sz w:val="26"/>
      <w:szCs w:val="26"/>
    </w:rPr>
  </w:style>
  <w:style w:type="character" w:styleId="31" w:customStyle="1">
    <w:name w:val="Заголовок 3 Знак1"/>
    <w:qFormat/>
    <w:rsid w:val="00b56f46"/>
    <w:rPr>
      <w:rFonts w:eastAsia="Calibri"/>
      <w:b/>
      <w:color w:val="00000A"/>
      <w:sz w:val="24"/>
      <w:szCs w:val="24"/>
      <w:lang w:val="x-none" w:eastAsia="x-none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главление 3 Знак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Символы концевой сноски"/>
    <w:qFormat/>
    <w:rPr/>
  </w:style>
  <w:style w:type="character" w:styleId="WW8Num25z0" w:customStyle="1">
    <w:name w:val="WW8Num25z0"/>
    <w:qFormat/>
    <w:rPr>
      <w:b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FootnoteText">
    <w:name w:val="Footnote Text"/>
    <w:basedOn w:val="Normal"/>
    <w:pPr/>
    <w:rPr/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qFormat/>
    <w:rsid w:val="0076353a"/>
    <w:pPr>
      <w:tabs>
        <w:tab w:val="clear" w:pos="720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3" w:customStyle="1">
    <w:name w:val="Пункт2"/>
    <w:basedOn w:val="Normal"/>
    <w:qFormat/>
    <w:rsid w:val="0076353a"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link w:val="32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4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uiPriority w:val="39"/>
    <w:qFormat/>
    <w:rsid w:val="00d22f6d"/>
    <w:pPr>
      <w:keepLines/>
      <w:tabs>
        <w:tab w:val="clear" w:pos="0"/>
      </w:tabs>
      <w:spacing w:before="480" w:after="60"/>
      <w:ind w:hanging="0" w:left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Основной текст с отступом 3 Знак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5" w:customStyle="1">
    <w:name w:val="Нумерованный список ур2"/>
    <w:basedOn w:val="Normal"/>
    <w:link w:val="22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20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6" w:customStyle="1">
    <w:name w:val="УРОВЕНЬ_Абзац_тип2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EndnoteText">
    <w:name w:val="Endnote Text"/>
    <w:basedOn w:val="Normal"/>
    <w:qFormat/>
    <w:rsid w:val="003879d4"/>
    <w:pPr/>
    <w:rPr>
      <w:sz w:val="20"/>
      <w:szCs w:val="20"/>
    </w:rPr>
  </w:style>
  <w:style w:type="paragraph" w:styleId="27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hanging="0" w:left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таблицы"/>
    <w:basedOn w:val="Normal"/>
    <w:qFormat/>
    <w:pPr/>
    <w:rPr/>
  </w:style>
  <w:style w:type="paragraph" w:styleId="Style35" w:customStyle="1">
    <w:name w:val="Заголовок таблицы"/>
    <w:basedOn w:val="Style34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8" w:customStyle="1">
    <w:name w:val="Стиль2"/>
    <w:uiPriority w:val="99"/>
    <w:qFormat/>
    <w:rsid w:val="006629c9"/>
  </w:style>
  <w:style w:type="numbering" w:styleId="WW8Num25" w:customStyle="1">
    <w:name w:val="WW8Num25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F12F0-960B-4A4E-81B1-2BE329DD4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Application>AlterOffice/2026.2.0.0$Linux_X86_64 LibreOffice_project/bc4ef1adf80b36c7a6365f8ed6cbf29021361edd</Application>
  <AppVersion>15.0000</AppVersion>
  <Pages>11</Pages>
  <Words>1228</Words>
  <Characters>8235</Characters>
  <CharactersWithSpaces>9207</CharactersWithSpaces>
  <Paragraphs>260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2023-06-05T07:38:00Z</dcterms:created>
  <dc:creator>Быстров Олег Геннадьевич</dc:creator>
  <dc:description/>
  <dc:language>ru-RU</dc:language>
  <cp:lastModifiedBy>ilyichevdu@corp.gidroogk.com</cp:lastModifiedBy>
  <cp:lastPrinted>2023-06-05T07:25:00Z</cp:lastPrinted>
  <dcterms:modified xsi:type="dcterms:W3CDTF">2026-10-05T15:16:16Z</dcterms:modified>
  <cp:revision>36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