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highlight w:val="white"/>
        </w:rPr>
      </w:pPr>
      <w:r>
        <w:rPr>
          <w:highlight w:val="white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28.13.32.120 </w:t>
      </w:r>
      <w:r>
        <w:rPr>
          <w:sz w:val="26"/>
          <w:szCs w:val="26"/>
        </w:rPr>
        <w:t xml:space="preserve">Поставка запасных частей для ремонта компрессорного оборудования </w:t>
      </w:r>
      <w:r>
        <w:rPr>
          <w:bCs/>
          <w:sz w:val="26"/>
          <w:szCs w:val="26"/>
          <w:shd w:fill="FFFFFF" w:val="clear"/>
        </w:rPr>
        <w:t xml:space="preserve">Филиала ПАО «РусГидро» - </w:t>
      </w:r>
      <w:r>
        <w:rPr>
          <w:sz w:val="26"/>
          <w:szCs w:val="26"/>
        </w:rPr>
        <w:t xml:space="preserve">Жигулевской ГЭС 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</w:rPr>
        <w:t>(компрессоры 3ВШ 1,6-3/46М3)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</w:rPr>
            <w:instrText xml:space="preserve"> TOC \z \o "1-4" \u \h</w:instrText>
          </w:r>
          <w:r>
            <w:rPr>
              <w:webHidden/>
              <w:rStyle w:val="Style14"/>
            </w:rPr>
            <w:fldChar w:fldCharType="separate"/>
          </w:r>
          <w:hyperlink w:anchor="__RefHeading___Toc7893_4263782815">
            <w:r>
              <w:rPr>
                <w:webHidden/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895_4263782815">
            <w:r>
              <w:rPr>
                <w:webHidden/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897_4263782815">
            <w:r>
              <w:rPr>
                <w:webHidden/>
                <w:rStyle w:val="Style14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899_4263782815">
            <w:r>
              <w:rPr>
                <w:webHidden/>
                <w:rStyle w:val="Style14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901_4263782815">
            <w:r>
              <w:rPr>
                <w:webHidden/>
                <w:rStyle w:val="Style14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903_4263782815">
            <w:r>
              <w:rPr>
                <w:webHidden/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905_4263782815">
            <w:r>
              <w:rPr>
                <w:webHidden/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327"/>
              <w:tab w:val="right" w:pos="9921" w:leader="dot"/>
            </w:tabs>
            <w:rPr/>
          </w:pPr>
          <w:hyperlink w:anchor="__RefHeading___Toc7907_4263782815">
            <w:r>
              <w:rPr>
                <w:webHidden/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909_4263782815">
            <w:r>
              <w:rPr>
                <w:webHidden/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327"/>
              <w:tab w:val="right" w:pos="9921" w:leader="dot"/>
            </w:tabs>
            <w:rPr/>
          </w:pPr>
          <w:hyperlink w:anchor="__RefHeading___Toc7911_4263782815">
            <w:r>
              <w:rPr>
                <w:webHidden/>
                <w:rStyle w:val="Style14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913_4263782815">
            <w:r>
              <w:rPr>
                <w:webHidden/>
                <w:rStyle w:val="Style14"/>
              </w:rPr>
              <w:t>Таблица 2.1 Требования по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915_4263782815">
            <w:r>
              <w:rPr>
                <w:webHidden/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917_4263782815">
            <w:r>
              <w:rPr>
                <w:webHidden/>
                <w:rStyle w:val="Style14"/>
              </w:rPr>
              <w:t>Таблица 3. Требования к продукции</w:t>
              <w:tab/>
              <w:t>6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919_4263782815">
            <w:r>
              <w:rPr>
                <w:webHidden/>
                <w:rStyle w:val="Style14"/>
              </w:rPr>
              <w:t>3. Требования к документации по ценообразованию на этапе закупки</w:t>
              <w:tab/>
              <w:t>11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921_4263782815">
            <w:r>
              <w:rPr>
                <w:webHidden/>
                <w:rStyle w:val="Style14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327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color w:val="auto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color w:val="auto"/>
          <w:sz w:val="22"/>
          <w:szCs w:val="22"/>
        </w:rPr>
      </w:r>
    </w:p>
    <w:p>
      <w:pPr>
        <w:pStyle w:val="Heading2"/>
        <w:rPr>
          <w:b w:val="false"/>
          <w:i/>
          <w:i/>
        </w:rPr>
      </w:pPr>
      <w:r>
        <w:rPr>
          <w:b w:val="false"/>
          <w:i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caps/>
          <w:lang w:val="ru-RU"/>
        </w:rPr>
      </w:pPr>
      <w:bookmarkStart w:id="0" w:name="__RefHeading___Toc7893_4263782815"/>
      <w:bookmarkStart w:id="1" w:name="_Toc133502991"/>
      <w:bookmarkStart w:id="2" w:name="_Toc51339692"/>
      <w:bookmarkEnd w:id="0"/>
      <w:bookmarkEnd w:id="2"/>
      <w:r>
        <w:rPr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1"/>
        </w:numPr>
        <w:rPr/>
      </w:pPr>
      <w:bookmarkStart w:id="3" w:name="__RefHeading___Toc7895_4263782815"/>
      <w:bookmarkStart w:id="4" w:name="_Toc133502992"/>
      <w:bookmarkStart w:id="5" w:name="_Toc46743505"/>
      <w:bookmarkEnd w:id="3"/>
      <w:bookmarkEnd w:id="5"/>
      <w:r>
        <w:rPr/>
        <w:t>Обозначения и сокращения</w:t>
      </w:r>
      <w:bookmarkEnd w:id="4"/>
    </w:p>
    <w:p>
      <w:pPr>
        <w:pStyle w:val="Normal"/>
        <w:rPr>
          <w:rStyle w:val="Style8"/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Cs w:val="24"/>
                <w:lang w:val="en-US"/>
              </w:rPr>
              <w:t>ФАС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Федеральная антимонопольная служба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rStyle w:val="Style8"/>
                <w:shd w:fill="FFFFFF" w:val="clear"/>
                <w:lang w:val="en-US"/>
              </w:rPr>
            </w:pPr>
            <w:r>
              <w:rPr>
                <w:shd w:fill="FFFFFF" w:val="clear"/>
                <w:lang w:val="en-US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КВД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Компрессор высокого давления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/>
      </w:pPr>
      <w:bookmarkStart w:id="6" w:name="__RefHeading___Toc7897_4263782815"/>
      <w:bookmarkStart w:id="7" w:name="_Toc133502993"/>
      <w:bookmarkStart w:id="8" w:name="_Toc46743506"/>
      <w:bookmarkEnd w:id="6"/>
      <w:bookmarkEnd w:id="8"/>
      <w:r>
        <w:rPr/>
        <w:t>Наименование закупаемой продукции</w:t>
      </w:r>
      <w:bookmarkEnd w:id="7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ind w:hanging="0" w:right="-144"/>
        <w:rPr>
          <w:sz w:val="24"/>
          <w:szCs w:val="24"/>
        </w:rPr>
      </w:pPr>
      <w:r>
        <w:rPr>
          <w:sz w:val="24"/>
          <w:szCs w:val="24"/>
        </w:rPr>
        <w:t>28.13.32.120 Поставка запасных частей для ремонта компрессорного оборудования Филиала ПАО "РусГидро"-"Жигулевская ГЭС" (компрессоры 3ВШ 1,6-3/46М3)</w:t>
      </w:r>
    </w:p>
    <w:p>
      <w:pPr>
        <w:pStyle w:val="Heading4"/>
        <w:numPr>
          <w:ilvl w:val="1"/>
          <w:numId w:val="1"/>
        </w:numPr>
        <w:spacing w:before="240" w:after="60"/>
        <w:ind w:hanging="431" w:left="431"/>
        <w:rPr/>
      </w:pPr>
      <w:bookmarkStart w:id="9" w:name="__RefHeading___Toc7899_4263782815"/>
      <w:bookmarkStart w:id="10" w:name="_Toc133502994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/>
      </w:pPr>
      <w:r>
        <w:rPr>
          <w:sz w:val="24"/>
          <w:szCs w:val="24"/>
        </w:rPr>
        <w:t>Для обеспечения работоспособности компрессоров 3ВШ 1,6-3/46М3. Продукция предназначена для исполнения договора подряда 3-РЕМ-2023-ЖиГЭС от 03.11.2023г. «Капитальный и текущий ремонт оборудования, зданий, сооружений филиала ПАО «РусГидро» - «Жигулевская ГЭС» и будет использоваться в качестве давальческих материалов.</w:t>
      </w:r>
    </w:p>
    <w:p>
      <w:pPr>
        <w:pStyle w:val="Heading4"/>
        <w:numPr>
          <w:ilvl w:val="1"/>
          <w:numId w:val="1"/>
        </w:numPr>
        <w:rPr/>
      </w:pPr>
      <w:bookmarkStart w:id="12" w:name="__RefHeading___Toc7901_4263782815"/>
      <w:bookmarkStart w:id="13" w:name="_Toc46743508"/>
      <w:bookmarkStart w:id="14" w:name="_Toc133502995"/>
      <w:bookmarkEnd w:id="12"/>
      <w:r>
        <w:rPr/>
        <w:t>Существующее положение</w:t>
      </w:r>
      <w:bookmarkEnd w:id="13"/>
      <w:bookmarkEnd w:id="14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Жигулёвская ГЭС расположена по адресу: Российская Федерация, 445350, Самарская область, город Жигулевск, Московское шоссе, дом 2.  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На Филиале эксплуатируются</w:t>
      </w:r>
      <w:r>
        <w:rPr>
          <w:b/>
          <w:bCs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четыре компрессора высокого давления типа ЗВШ-1.6-3/46М3 расположенные на отм.32 2 блока (КВД-2Б), 3 блока (КВД-3Б), 5 блока (КВД-5Б), 7 блока (КВД-7Б) производства ОАО «НПАО ВНИИкомпрессормаш». С момента ввода в эксплуатацию в 2005 году регулярное проведение текущих ремонтов позволяет поддерживать оборудование в исправном состоянии.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Для обеспечения работоспособности компрессоров 3ВШ 1,6-3/46М3 необходимо в период проведения текущего ремонта использовать запчасти и материалы, указанные в таблице 1.1.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327"/>
          <w:tab w:val="left" w:pos="426" w:leader="none"/>
        </w:tabs>
        <w:spacing w:lineRule="auto" w:line="240" w:before="120" w:after="240"/>
        <w:contextualSpacing/>
        <w:jc w:val="both"/>
        <w:rPr/>
      </w:pPr>
      <w:r>
        <w:rPr>
          <w:b/>
          <w:lang w:val="en-US"/>
        </w:rPr>
        <w:t>Требования к участнику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lineRule="auto" w:line="240"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участнику закупки: отсутствие в реестре недобросовестных поставщиков(подрядчиков) ФАС России.</w:t>
      </w:r>
    </w:p>
    <w:p>
      <w:pPr>
        <w:pStyle w:val="Heading1"/>
        <w:keepLines/>
        <w:numPr>
          <w:ilvl w:val="0"/>
          <w:numId w:val="1"/>
        </w:numPr>
        <w:spacing w:lineRule="auto" w:line="240"/>
        <w:ind w:hanging="357" w:left="357"/>
        <w:jc w:val="center"/>
        <w:rPr/>
      </w:pPr>
      <w:bookmarkStart w:id="15" w:name="__RefHeading___Toc7903_4263782815"/>
      <w:bookmarkStart w:id="16" w:name="_Toc133502996"/>
      <w:bookmarkStart w:id="17" w:name="_Toc51339693"/>
      <w:bookmarkEnd w:id="15"/>
      <w:bookmarkEnd w:id="17"/>
      <w:r>
        <w:rPr>
          <w:iCs/>
        </w:rPr>
        <w:t>Требования к продукции</w:t>
      </w:r>
      <w:bookmarkEnd w:id="16"/>
    </w:p>
    <w:p>
      <w:pPr>
        <w:pStyle w:val="Heading4"/>
        <w:numPr>
          <w:ilvl w:val="1"/>
          <w:numId w:val="1"/>
        </w:numPr>
        <w:spacing w:lineRule="auto" w:line="240"/>
        <w:rPr/>
      </w:pPr>
      <w:bookmarkStart w:id="18" w:name="__RefHeading___Toc7905_4263782815"/>
      <w:bookmarkStart w:id="19" w:name="_Toc133502997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1"/>
        </w:numPr>
        <w:rPr/>
      </w:pPr>
      <w:bookmarkStart w:id="20" w:name="__RefHeading___Toc7907_4263782815"/>
      <w:bookmarkStart w:id="21" w:name="_Toc133502998"/>
      <w:bookmarkEnd w:id="20"/>
      <w:r>
        <w:rPr>
          <w:lang w:val="ru-RU"/>
        </w:rPr>
        <w:t>Перечень и объем закупаемой продукции</w:t>
      </w:r>
      <w:bookmarkEnd w:id="21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22" w:name="__RefHeading___Toc7909_4263782815"/>
      <w:bookmarkStart w:id="23" w:name="_Toc133502999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tbl>
      <w:tblPr>
        <w:tblW w:w="9765" w:type="dxa"/>
        <w:jc w:val="left"/>
        <w:tblInd w:w="30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3"/>
        <w:gridCol w:w="6502"/>
        <w:gridCol w:w="1305"/>
        <w:gridCol w:w="1394"/>
      </w:tblGrid>
      <w:tr>
        <w:trPr>
          <w:tblHeader w:val="true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blHeader w:val="true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Головка клапанная 2 ступени (43.42.22.019.01.00.005) или эквивалент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502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Клапан комбинированный 2 ступени ВТ-330.192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3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502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Клапан комбинированный 3 ступени 304-98-34-00Н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3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502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Фильтрующий элемент 60.3 ОСТ 26-2088-81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3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502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Фильтрующий элемент 18-12С12-1 ТУ 63.6621-80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3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502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Масло TAIF Mezzo VDL150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3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</w:tbl>
    <w:p>
      <w:pPr>
        <w:pStyle w:val="Normal"/>
        <w:ind w:hanging="0" w:left="57"/>
        <w:jc w:val="both"/>
        <w:rPr>
          <w:sz w:val="12"/>
          <w:szCs w:val="12"/>
          <w:lang w:val="en-US"/>
        </w:rPr>
      </w:pPr>
      <w:r>
        <w:rPr>
          <w:sz w:val="12"/>
          <w:szCs w:val="12"/>
          <w:lang w:val="en-US"/>
        </w:rPr>
      </w:r>
      <w:r>
        <w:br w:type="page"/>
      </w:r>
    </w:p>
    <w:p>
      <w:pPr>
        <w:pStyle w:val="Normal"/>
        <w:ind w:hanging="0" w:left="57"/>
        <w:jc w:val="both"/>
        <w:rPr>
          <w:lang w:val="en-US"/>
        </w:rPr>
      </w:pPr>
      <w:r>
        <w:rPr>
          <w:b/>
          <w:sz w:val="24"/>
          <w:szCs w:val="24"/>
          <w:lang w:eastAsia="en-US"/>
        </w:rPr>
        <w:t xml:space="preserve">Таблица 1.2 Технические характеристики </w:t>
      </w:r>
      <w:r>
        <w:rPr>
          <w:b/>
          <w:sz w:val="24"/>
          <w:szCs w:val="24"/>
          <w:lang w:val="en-US" w:eastAsia="en-US"/>
        </w:rPr>
        <w:t>оборудования</w:t>
      </w:r>
    </w:p>
    <w:p>
      <w:pPr>
        <w:pStyle w:val="Normal"/>
        <w:ind w:hanging="0" w:left="7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tbl>
      <w:tblPr>
        <w:tblW w:w="9866" w:type="dxa"/>
        <w:jc w:val="left"/>
        <w:tblInd w:w="1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0"/>
        <w:gridCol w:w="3028"/>
        <w:gridCol w:w="2612"/>
        <w:gridCol w:w="3565"/>
      </w:tblGrid>
      <w:tr>
        <w:trPr>
          <w:trHeight w:val="450" w:hRule="atLeast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Значение параметра</w:t>
            </w:r>
          </w:p>
        </w:tc>
      </w:tr>
      <w:tr>
        <w:trPr/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>
        <w:trPr/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Головка клапанная 2 ступени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en-US"/>
              </w:rPr>
              <w:t>Для поршневых компрессоров 3ВШ 1,6-3/46М3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43.42.22.019.01.00.005</w:t>
            </w:r>
          </w:p>
        </w:tc>
      </w:tr>
      <w:tr>
        <w:trPr/>
        <w:tc>
          <w:tcPr>
            <w:tcW w:w="66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02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комбинированный 2 ступени</w:t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en-US"/>
              </w:rPr>
              <w:t>Для поршневых компрессоров 3ВШ 1,6-3/46М3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ВТ-330.192</w:t>
            </w:r>
          </w:p>
        </w:tc>
      </w:tr>
      <w:tr>
        <w:trPr/>
        <w:tc>
          <w:tcPr>
            <w:tcW w:w="66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02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комбинированный 3 ступени</w:t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en-US"/>
              </w:rPr>
              <w:t>Для поршневых компрессоров 3ВШ 1,6-3/46М3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304-98-34-00Н</w:t>
            </w:r>
          </w:p>
        </w:tc>
      </w:tr>
      <w:tr>
        <w:trPr/>
        <w:tc>
          <w:tcPr>
            <w:tcW w:w="66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02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Фильтрующий элемент</w:t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en-US"/>
              </w:rPr>
              <w:t>Для поршневых компрессоров 3ВШ 1,6-3/46М3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60.3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Соответствие стандарту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ОСТ 26-2088-81</w:t>
            </w:r>
          </w:p>
        </w:tc>
      </w:tr>
      <w:tr>
        <w:trPr/>
        <w:tc>
          <w:tcPr>
            <w:tcW w:w="66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02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Фильтрующий элемент</w:t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en-US"/>
              </w:rPr>
              <w:t>Для поршневых компрессоров 3ВШ 1,6-3/46М3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18-12С12-1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Соответствие стандарту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ТУ 63.6621-80</w:t>
            </w:r>
          </w:p>
        </w:tc>
      </w:tr>
      <w:tr>
        <w:trPr/>
        <w:tc>
          <w:tcPr>
            <w:tcW w:w="66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02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TAIF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Mezzo VDL150</w:t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eastAsia="en-US"/>
              </w:rPr>
              <w:t>Для поршневых компрессоров 3ВШ 1,6-3/46М3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Спецификации и одобрения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DIN 51506 (VDL), ISO 6743-3A</w:t>
            </w:r>
          </w:p>
        </w:tc>
      </w:tr>
      <w:tr>
        <w:trPr/>
        <w:tc>
          <w:tcPr>
            <w:tcW w:w="6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Производитель</w:t>
            </w:r>
          </w:p>
        </w:tc>
        <w:tc>
          <w:tcPr>
            <w:tcW w:w="3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TAIF</w:t>
            </w:r>
          </w:p>
        </w:tc>
      </w:tr>
    </w:tbl>
    <w:p>
      <w:pPr>
        <w:pStyle w:val="Heading3"/>
        <w:numPr>
          <w:ilvl w:val="2"/>
          <w:numId w:val="1"/>
        </w:numPr>
        <w:rPr>
          <w:lang w:val="ru-RU"/>
        </w:rPr>
      </w:pPr>
      <w:bookmarkStart w:id="25" w:name="__RefHeading___Toc7911_4263782815"/>
      <w:bookmarkStart w:id="26" w:name="_Toc133503002"/>
      <w:bookmarkStart w:id="27" w:name="_Toc51339696"/>
      <w:bookmarkEnd w:id="25"/>
      <w:r>
        <w:rPr>
          <w:lang w:val="ru-RU"/>
        </w:rPr>
        <w:t xml:space="preserve">Требования </w:t>
      </w:r>
      <w:bookmarkEnd w:id="27"/>
      <w:r>
        <w:rPr>
          <w:lang w:val="ru-RU"/>
        </w:rPr>
        <w:t>к срокам поставки продукции и оказания сопутствующих услуг</w:t>
      </w:r>
      <w:bookmarkEnd w:id="26"/>
    </w:p>
    <w:p>
      <w:pPr>
        <w:pStyle w:val="Normal"/>
        <w:numPr>
          <w:ilvl w:val="0"/>
        </w:numPr>
        <w:rPr>
          <w:b w:val="false"/>
          <w:bCs w:val="false"/>
        </w:rPr>
      </w:pPr>
      <w:r>
        <w:rPr>
          <w:sz w:val="24"/>
          <w:szCs w:val="24"/>
        </w:rPr>
        <w:t>Поставка продукции осуществляется одной партией в объеме и в сроки согласно таблицы 2.1.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28" w:name="__RefHeading___Toc7913_4263782815"/>
      <w:bookmarkStart w:id="29" w:name="_Toc133503003"/>
      <w:bookmarkStart w:id="30" w:name="_Toc51339697"/>
      <w:bookmarkStart w:id="31" w:name="_Toc50125127"/>
      <w:bookmarkStart w:id="32" w:name="_Toc501251261"/>
      <w:bookmarkEnd w:id="28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3" w:name="_Hlk50465284"/>
      <w:r>
        <w:rPr>
          <w:sz w:val="24"/>
          <w:szCs w:val="24"/>
        </w:rPr>
        <w:t xml:space="preserve">Требования по срокам </w:t>
      </w:r>
      <w:bookmarkEnd w:id="30"/>
      <w:bookmarkEnd w:id="31"/>
      <w:bookmarkEnd w:id="33"/>
      <w:r>
        <w:rPr>
          <w:sz w:val="24"/>
          <w:szCs w:val="24"/>
          <w:lang w:val="ru-RU"/>
        </w:rPr>
        <w:t>поставки продукции</w:t>
      </w:r>
      <w:bookmarkEnd w:id="29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51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5"/>
        <w:gridCol w:w="3803"/>
        <w:gridCol w:w="2558"/>
        <w:gridCol w:w="2629"/>
      </w:tblGrid>
      <w:tr>
        <w:trPr>
          <w:tblHeader w:val="true"/>
        </w:trPr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blHeader w:val="true"/>
        </w:trPr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Головка клапанная 2 ступени (43.42.22.019.01.00.005)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01.09.2028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комбинированный 2 ступени ВТ-330.192</w:t>
            </w:r>
          </w:p>
        </w:tc>
        <w:tc>
          <w:tcPr>
            <w:tcW w:w="25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01.09.2028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комбинированный 3 ступени 304-98-34-00Н</w:t>
            </w:r>
          </w:p>
        </w:tc>
        <w:tc>
          <w:tcPr>
            <w:tcW w:w="25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01.09.2028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Фильтрующий элемент 60.3 ОСТ 26-2088-81</w:t>
            </w:r>
          </w:p>
        </w:tc>
        <w:tc>
          <w:tcPr>
            <w:tcW w:w="25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01.09.2028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Фильтрующий элемент 18-12С12-1 ТУ 63.6621-80</w:t>
            </w:r>
          </w:p>
        </w:tc>
        <w:tc>
          <w:tcPr>
            <w:tcW w:w="25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01.09.2028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TAIF Mezzo VDL150</w:t>
            </w:r>
          </w:p>
        </w:tc>
        <w:tc>
          <w:tcPr>
            <w:tcW w:w="25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01.09.2028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34" w:name="__RefHeading___Toc7915_4263782815"/>
      <w:bookmarkStart w:id="35" w:name="_Toc51339698"/>
      <w:bookmarkStart w:id="36" w:name="_Toc133503004"/>
      <w:bookmarkStart w:id="37" w:name="_Toc46743511"/>
      <w:bookmarkEnd w:id="34"/>
      <w:r>
        <w:rPr/>
        <w:t xml:space="preserve">Требования к </w:t>
      </w:r>
      <w:bookmarkEnd w:id="37"/>
      <w:r>
        <w:rPr>
          <w:lang w:val="ru-RU"/>
        </w:rPr>
        <w:t>качеству продукции</w:t>
      </w:r>
      <w:bookmarkEnd w:id="36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38" w:name="__RefHeading___Toc7917_4263782815"/>
      <w:bookmarkStart w:id="39" w:name="_Toc133503005"/>
      <w:bookmarkEnd w:id="3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5"/>
      <w:bookmarkEnd w:id="39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</w:rPr>
      </w:pPr>
      <w:r>
        <w:rPr/>
      </w:r>
    </w:p>
    <w:p>
      <w:pPr>
        <w:pStyle w:val="Normal"/>
        <w:jc w:val="both"/>
        <w:rPr>
          <w:sz w:val="26"/>
          <w:szCs w:val="26"/>
        </w:rPr>
      </w:pPr>
      <w:r>
        <w:rPr>
          <w:b/>
          <w:bCs/>
          <w:iCs/>
          <w:sz w:val="24"/>
          <w:szCs w:val="24"/>
        </w:rPr>
        <w:t>Наименование продукции (позиции №1-№6 Таблицы 1.1): 28.13.32.120 Поставка запасных частей для ремонта компрессорного оборудования Филиала ПАО "РусГидро"-"Жигулевская ГЭС" (компрессоры 3ВШ 1,6-3/46М3)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ffa"/>
        <w:tblW w:w="15309" w:type="dxa"/>
        <w:jc w:val="left"/>
        <w:tblInd w:w="146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1995"/>
        <w:gridCol w:w="32"/>
        <w:gridCol w:w="12"/>
        <w:gridCol w:w="2961"/>
        <w:gridCol w:w="2927"/>
        <w:gridCol w:w="3201"/>
        <w:gridCol w:w="3334"/>
      </w:tblGrid>
      <w:tr>
        <w:trPr/>
        <w:tc>
          <w:tcPr>
            <w:tcW w:w="84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39" w:type="dxa"/>
            <w:gridSpan w:val="3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61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12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33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39" w:type="dxa"/>
            <w:gridSpan w:val="3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6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33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3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6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3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сроку годности на продукцию с ограниченным сроком годности</w:t>
            </w:r>
          </w:p>
        </w:tc>
        <w:tc>
          <w:tcPr>
            <w:tcW w:w="29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Остаточный срок годности поставляемой продукции в момент поставки должен составлять не менее 12 месяцев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эквивалентов</w:t>
            </w:r>
          </w:p>
        </w:tc>
        <w:tc>
          <w:tcPr>
            <w:tcW w:w="29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Возможно использование эквивалентов при условии соответствия функциональности, технических характеристик, установочных размеров запасных частей и работоспособности оборудования составной частью которого они являются без дополнительных трудозатрат. Соответствие требованиям указанных в таблице 1.2.</w:t>
            </w:r>
          </w:p>
        </w:tc>
        <w:tc>
          <w:tcPr>
            <w:tcW w:w="29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2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1066" w:leader="none"/>
              </w:tabs>
              <w:suppressAutoHyphens w:val="true"/>
              <w:spacing w:lineRule="auto" w:line="276" w:before="0" w:after="200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1066" w:leader="none"/>
              </w:tabs>
              <w:suppressAutoHyphens w:val="true"/>
              <w:spacing w:lineRule="auto" w:line="276" w:before="0" w:after="200"/>
              <w:ind w:hanging="0" w:left="74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жизненного цикла Систем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9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изготовлению и материалам</w:t>
            </w:r>
          </w:p>
        </w:tc>
        <w:tc>
          <w:tcPr>
            <w:tcW w:w="300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Изготовление и материалы поставляемой продукции должна соответствовать заявленным согласно перечня в табл.1.2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Погрузка, доставка, разгрузка и перемещение Товара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быть доставлена поставщиком по адресу: Российская Федерация, 445350, Самарская область, город Жигулевск, Московское шоссе, дом 2. Приемка продукции в рабочие дни с 08.00 до 15.00 по местному времени. Информация о транспорте (марка, гос.номер), на котором осуществляется доставка, а также ФИО и паспортные данные водителя и сопровождающих лиц (при наличии) для оформления допуска на территорию предоставляется не позднее предыдущего рабочего дня до прибытия транспорта, до 15.00. Допуск транспорта на территорию заказчика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 пропуск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осуществляется без попутного груза.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firstLine="284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Срок гарантии на поставленную продукцию не менее 12 месяцев.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Требования к упаковке и таре</w:t>
            </w:r>
          </w:p>
        </w:tc>
        <w:tc>
          <w:tcPr>
            <w:tcW w:w="29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упакована Поставщиком таким образом, чтобы исключить ее порчу и уничтожение 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период доставки и разгрузки до места ее приемки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Заказчиком, а также хранение в неотапливаемом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помещении в течение 2 месяцев.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оборудованием</w:t>
            </w:r>
          </w:p>
        </w:tc>
        <w:tc>
          <w:tcPr>
            <w:tcW w:w="296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 (перечень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определяется заводом изготовителем),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технические паспорта,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протоколы заводских испытаний, а так же товарную накладную унифицированной формы ТОРГ 12/Универсальный передаточный документ в 2 экз. Вся передаваемая документация должна быть на русском языке.</w:t>
            </w:r>
          </w:p>
        </w:tc>
        <w:tc>
          <w:tcPr>
            <w:tcW w:w="29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шефмонтажу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шефналадке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прочим услугам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lang w:val="ru-RU"/>
        </w:rPr>
      </w:pPr>
      <w:bookmarkStart w:id="40" w:name="__RefHeading___Toc7919_4263782815"/>
      <w:bookmarkStart w:id="41" w:name="_Toc133503006"/>
      <w:bookmarkStart w:id="42" w:name="_Toc53393312"/>
      <w:bookmarkEnd w:id="40"/>
      <w:r>
        <w:rPr>
          <w:lang w:val="ru-RU"/>
        </w:rPr>
        <w:t>Требования к документации по ценообразованию</w:t>
      </w:r>
      <w:bookmarkEnd w:id="42"/>
      <w:r>
        <w:rPr>
          <w:lang w:val="ru-RU"/>
        </w:rPr>
        <w:t xml:space="preserve"> на этапе закупки</w:t>
      </w:r>
      <w:bookmarkEnd w:id="41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60" w:after="0"/>
        <w:jc w:val="both"/>
        <w:rPr>
          <w:rStyle w:val="Style8"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p>
      <w:pPr>
        <w:pStyle w:val="Normal"/>
        <w:numPr>
          <w:ilvl w:val="1"/>
          <w:numId w:val="5"/>
        </w:numPr>
        <w:spacing w:before="0" w:after="120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 xml:space="preserve">В обоснование стоимости своей заявки Поставщик предоставляет Коммерческое предложение по форме </w:t>
      </w:r>
      <w:bookmarkStart w:id="43" w:name="_Hlk88325985"/>
      <w:r>
        <w:rPr>
          <w:bCs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43"/>
      <w:r>
        <w:rPr>
          <w:bCs/>
          <w:iCs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Normal"/>
        <w:numPr>
          <w:ilvl w:val="1"/>
          <w:numId w:val="5"/>
        </w:numPr>
        <w:spacing w:before="0" w:after="120"/>
        <w:jc w:val="both"/>
        <w:rPr>
          <w:sz w:val="24"/>
          <w:szCs w:val="24"/>
        </w:rPr>
      </w:pPr>
      <w:r>
        <w:rPr>
          <w:rFonts w:eastAsia="Calibri"/>
          <w:iCs/>
          <w:sz w:val="24"/>
          <w:szCs w:val="24"/>
          <w:lang w:val="x-none" w:eastAsia="x-none"/>
        </w:rPr>
        <w:t>Вместе с Коммерческим предложением Поставщик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</w:p>
    <w:p>
      <w:pPr>
        <w:pStyle w:val="Normal"/>
        <w:spacing w:before="0" w:after="120"/>
        <w:jc w:val="both"/>
        <w:rPr>
          <w:rFonts w:eastAsia="Calibri"/>
          <w:i/>
          <w:i/>
          <w:iCs/>
          <w:sz w:val="24"/>
          <w:szCs w:val="24"/>
          <w:lang w:val="x-none" w:eastAsia="x-none"/>
        </w:rPr>
      </w:pPr>
      <w:r>
        <w:rPr>
          <w:rFonts w:eastAsia="Calibri"/>
          <w:i/>
          <w:iCs/>
          <w:sz w:val="24"/>
          <w:szCs w:val="24"/>
          <w:lang w:val="x-none" w:eastAsia="x-none"/>
        </w:rPr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iCs/>
          <w:caps/>
        </w:rPr>
      </w:pPr>
      <w:bookmarkStart w:id="44" w:name="__RefHeading___Toc7921_4263782815"/>
      <w:bookmarkStart w:id="45" w:name="_Toc133503007"/>
      <w:bookmarkEnd w:id="44"/>
      <w:r>
        <w:rPr>
          <w:iCs/>
        </w:rPr>
        <w:t>Приложения</w:t>
      </w:r>
      <w:bookmarkEnd w:id="45"/>
    </w:p>
    <w:p>
      <w:pPr>
        <w:pStyle w:val="Heading1"/>
        <w:keepLines/>
        <w:tabs>
          <w:tab w:val="clear" w:pos="0"/>
        </w:tabs>
        <w:ind w:hanging="0" w:left="0"/>
        <w:rPr>
          <w:iCs/>
        </w:rPr>
      </w:pPr>
      <w:r>
        <w:rPr>
          <w:iCs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0"/>
        <w:jc w:val="left"/>
        <w:rPr>
          <w:sz w:val="24"/>
          <w:szCs w:val="24"/>
        </w:rPr>
      </w:pPr>
      <w:bookmarkStart w:id="46" w:name="_Toc133503008"/>
      <w:bookmarkStart w:id="47" w:name="_Toc130454102"/>
      <w:r>
        <w:rPr>
          <w:b w:val="false"/>
          <w:iCs/>
          <w:sz w:val="24"/>
          <w:szCs w:val="24"/>
        </w:rPr>
        <w:t>Приложение №1</w:t>
      </w:r>
      <w:r>
        <w:rPr>
          <w:b w:val="false"/>
          <w:iCs/>
          <w:sz w:val="24"/>
          <w:szCs w:val="24"/>
          <w:lang w:val="ru-RU"/>
        </w:rPr>
        <w:t xml:space="preserve">: </w:t>
      </w:r>
      <w:bookmarkStart w:id="48" w:name="_Toc130454103"/>
      <w:bookmarkEnd w:id="47"/>
      <w:r>
        <w:rPr>
          <w:b w:val="false"/>
          <w:iCs/>
          <w:sz w:val="24"/>
          <w:szCs w:val="24"/>
          <w:lang w:val="ru-RU"/>
        </w:rPr>
        <w:t>Спецификация поставляемой продукции</w:t>
      </w:r>
      <w:bookmarkEnd w:id="46"/>
      <w:bookmarkEnd w:id="48"/>
    </w:p>
    <w:p>
      <w:pPr>
        <w:pStyle w:val="Normal"/>
        <w:widowControl/>
        <w:suppressAutoHyphens w:val="true"/>
        <w:bidi w:val="0"/>
        <w:spacing w:before="0" w:after="0"/>
        <w:ind w:hanging="0" w:left="1134" w:right="0"/>
        <w:jc w:val="left"/>
        <w:rPr>
          <w:b w:val="false"/>
          <w:iCs/>
          <w:lang w:val="ru-RU"/>
        </w:rPr>
      </w:pPr>
      <w:r>
        <w:rPr>
          <w:b w:val="false"/>
          <w:iCs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34" w:right="0"/>
        <w:jc w:val="left"/>
        <w:rPr>
          <w:sz w:val="24"/>
          <w:szCs w:val="24"/>
        </w:rPr>
      </w:pPr>
      <w:bookmarkStart w:id="49" w:name="_Toc133503010"/>
      <w:bookmarkStart w:id="50" w:name="_Toc130454105"/>
      <w:r>
        <w:rPr>
          <w:sz w:val="24"/>
          <w:szCs w:val="24"/>
        </w:rPr>
        <w:t>Приложение №2: Перечень и объем закупаемой продукции</w:t>
      </w:r>
      <w:bookmarkEnd w:id="49"/>
      <w:bookmarkEnd w:id="50"/>
    </w:p>
    <w:p>
      <w:pPr>
        <w:pStyle w:val="Heading1"/>
        <w:keepLines/>
        <w:tabs>
          <w:tab w:val="clear" w:pos="0"/>
        </w:tabs>
        <w:spacing w:before="120" w:after="60"/>
        <w:ind w:hanging="425" w:left="1134"/>
        <w:rPr>
          <w:b w:val="false"/>
          <w:iCs/>
          <w:sz w:val="24"/>
          <w:szCs w:val="24"/>
          <w:lang w:val="ru-RU"/>
        </w:rPr>
      </w:pPr>
      <w:r>
        <w:rPr>
          <w:b w:val="false"/>
          <w:iCs/>
          <w:sz w:val="24"/>
          <w:szCs w:val="24"/>
          <w:lang w:val="ru-RU"/>
        </w:rPr>
      </w:r>
    </w:p>
    <w:p>
      <w:pPr>
        <w:pStyle w:val="Heading1"/>
        <w:tabs>
          <w:tab w:val="clear" w:pos="0"/>
        </w:tabs>
        <w:spacing w:before="120" w:after="60"/>
        <w:ind w:hanging="425" w:left="1134"/>
        <w:rPr>
          <w:b w:val="false"/>
          <w:iCs/>
          <w:sz w:val="24"/>
          <w:szCs w:val="24"/>
          <w:lang w:val="ru-RU"/>
        </w:rPr>
      </w:pPr>
      <w:r>
        <w:rPr>
          <w:b w:val="false"/>
          <w:iCs/>
          <w:sz w:val="24"/>
          <w:szCs w:val="24"/>
          <w:lang w:val="ru-RU"/>
        </w:rPr>
      </w:r>
    </w:p>
    <w:p>
      <w:pPr>
        <w:pStyle w:val="Heading1"/>
        <w:tabs>
          <w:tab w:val="clear" w:pos="0"/>
        </w:tabs>
        <w:spacing w:before="120" w:after="60"/>
        <w:ind w:hanging="425" w:left="1134"/>
        <w:rPr>
          <w:b w:val="false"/>
          <w:iCs/>
          <w:sz w:val="24"/>
          <w:szCs w:val="24"/>
          <w:lang w:val="ru-RU"/>
        </w:rPr>
      </w:pPr>
      <w:r>
        <w:rPr>
          <w:b w:val="false"/>
          <w:iCs/>
          <w:sz w:val="24"/>
          <w:szCs w:val="24"/>
          <w:lang w:val="ru-RU"/>
        </w:rPr>
      </w:r>
    </w:p>
    <w:p>
      <w:pPr>
        <w:pStyle w:val="Normal"/>
        <w:rPr/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992" w:gutter="0" w:header="680" w:top="851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32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link w:val="1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rsid w:val="00ea61a8"/>
    <w:pPr>
      <w:tabs>
        <w:tab w:val="clear" w:pos="0"/>
      </w:tabs>
      <w:ind w:hanging="0" w:left="0"/>
      <w:outlineLvl w:val="1"/>
    </w:pPr>
    <w:rPr/>
  </w:style>
  <w:style w:type="paragraph" w:styleId="Heading3">
    <w:name w:val="Heading 3"/>
    <w:basedOn w:val="Normal"/>
    <w:link w:val="31"/>
    <w:autoRedefine/>
    <w:qFormat/>
    <w:rsid w:val="00035e96"/>
    <w:pPr>
      <w:keepNext w:val="true"/>
      <w:tabs>
        <w:tab w:val="clear" w:pos="327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basedOn w:val="DefaultParagraphFont"/>
    <w:uiPriority w:val="99"/>
    <w:unhideWhenUsed/>
    <w:qFormat/>
    <w:rsid w:val="00f730dc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Заголовок 3 Знак1"/>
    <w:qFormat/>
    <w:rsid w:val="00b56f46"/>
    <w:rPr>
      <w:rFonts w:eastAsia="Calibri"/>
      <w:b/>
      <w:color w:val="00000A"/>
      <w:sz w:val="24"/>
      <w:szCs w:val="24"/>
      <w:lang w:val="x-none" w:eastAsia="x-none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главление 3 Знак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ы концевой сноски"/>
    <w:qFormat/>
    <w:rPr/>
  </w:style>
  <w:style w:type="character" w:styleId="WW8Num25z0" w:customStyle="1">
    <w:name w:val="WW8Num25z0"/>
    <w:qFormat/>
    <w:rPr>
      <w:b/>
    </w:rPr>
  </w:style>
  <w:style w:type="character" w:styleId="Style16" w:customStyle="1">
    <w:name w:val="Символ нумерации"/>
    <w:qFormat/>
    <w:rPr/>
  </w:style>
  <w:style w:type="character" w:styleId="Style17" w:customStyle="1">
    <w:name w:val="Маркеры"/>
    <w:qFormat/>
    <w:rPr>
      <w:rFonts w:ascii="OpenSymbol" w:hAnsi="OpenSymbol" w:eastAsia="OpenSymbol" w:cs="OpenSymbol"/>
    </w:rPr>
  </w:style>
  <w:style w:type="character" w:styleId="Style18" w:customStyle="1">
    <w:name w:val="Текст выноски Знак"/>
    <w:basedOn w:val="DefaultParagraphFon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-" w:customStyle="1">
    <w:name w:val="УРОВЕНЬ_-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character" w:styleId="112" w:customStyle="1">
    <w:name w:val="УРОВЕНЬ_1.1. Знак"/>
    <w:qFormat/>
    <w:rPr>
      <w:rFonts w:ascii="Times New Roman" w:hAnsi="Times New Roman" w:eastAsia="Calibri" w:cs="Times New Roman"/>
      <w:b/>
      <w:sz w:val="26"/>
      <w:szCs w:val="28"/>
    </w:rPr>
  </w:style>
  <w:style w:type="character" w:styleId="33" w:customStyle="1">
    <w:name w:val="УРОВЕНЬ_Абзац_тип3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character" w:styleId="23" w:customStyle="1">
    <w:name w:val="УРОВЕНЬ_Абзац_тип2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character" w:styleId="Hyperlink">
    <w:name w:val="Hyperlink"/>
    <w:rPr>
      <w:color w:val="000080"/>
      <w:u w:val="single"/>
    </w:rPr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9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 w:customStyle="1">
    <w:name w:val="caption11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pPr/>
    <w:rPr/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qFormat/>
    <w:rsid w:val="0076353a"/>
    <w:pPr>
      <w:tabs>
        <w:tab w:val="clear" w:pos="327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qFormat/>
    <w:rsid w:val="0076353a"/>
    <w:pPr>
      <w:keepNext w:val="true"/>
      <w:tabs>
        <w:tab w:val="clear" w:pos="327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link w:val="32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uiPriority w:val="39"/>
    <w:qFormat/>
    <w:rsid w:val="00d22f6d"/>
    <w:pPr>
      <w:keepLines/>
      <w:tabs>
        <w:tab w:val="clear" w:pos="0"/>
      </w:tabs>
      <w:spacing w:before="480" w:after="60"/>
      <w:ind w:hanging="0" w:left="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Основной текст с отступом 3 Знак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link w:val="22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327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3" w:customStyle="1">
    <w:name w:val="Подподпункт"/>
    <w:basedOn w:val="Style25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1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7" w:customStyle="1">
    <w:name w:val="Содержимое таблицы"/>
    <w:basedOn w:val="Normal"/>
    <w:qFormat/>
    <w:pPr/>
    <w:rPr/>
  </w:style>
  <w:style w:type="paragraph" w:styleId="Style38" w:customStyle="1">
    <w:name w:val="Заголовок таблицы"/>
    <w:basedOn w:val="Style37"/>
    <w:qFormat/>
    <w:pPr/>
    <w:rPr/>
  </w:style>
  <w:style w:type="paragraph" w:styleId="110" w:customStyle="1">
    <w:name w:val="УРОВЕНЬ_Абзац_тип1"/>
    <w:basedOn w:val="ListParagraph"/>
    <w:qFormat/>
    <w:pPr>
      <w:numPr>
        <w:ilvl w:val="5"/>
        <w:numId w:val="3"/>
      </w:numPr>
      <w:spacing w:lineRule="exact" w:line="360" w:before="120" w:after="0"/>
      <w:contextualSpacing w:val="false"/>
    </w:pPr>
    <w:rPr>
      <w:sz w:val="26"/>
      <w:lang w:eastAsia="en-US"/>
    </w:rPr>
  </w:style>
  <w:style w:type="paragraph" w:styleId="1111" w:customStyle="1">
    <w:name w:val="УРОВЕНЬ_1.1.1."/>
    <w:basedOn w:val="ListParagraph"/>
    <w:qFormat/>
    <w:pPr>
      <w:numPr>
        <w:ilvl w:val="2"/>
        <w:numId w:val="3"/>
      </w:numPr>
      <w:spacing w:lineRule="exact" w:line="360" w:before="120" w:after="0"/>
      <w:contextualSpacing w:val="false"/>
      <w:outlineLvl w:val="2"/>
    </w:pPr>
    <w:rPr>
      <w:sz w:val="26"/>
      <w:lang w:eastAsia="en-US"/>
    </w:rPr>
  </w:style>
  <w:style w:type="paragraph" w:styleId="113" w:customStyle="1">
    <w:name w:val="УРОВЕНЬ_1.1."/>
    <w:basedOn w:val="ListParagraph"/>
    <w:qFormat/>
    <w:pPr>
      <w:keepNext w:val="true"/>
      <w:numPr>
        <w:ilvl w:val="1"/>
        <w:numId w:val="3"/>
      </w:numPr>
      <w:spacing w:lineRule="exact" w:line="360" w:before="240" w:after="0"/>
      <w:contextualSpacing w:val="false"/>
      <w:outlineLvl w:val="1"/>
    </w:pPr>
    <w:rPr>
      <w:b/>
      <w:sz w:val="26"/>
      <w:lang w:eastAsia="en-US"/>
    </w:rPr>
  </w:style>
  <w:style w:type="paragraph" w:styleId="Indexheading2" w:customStyle="1">
    <w:name w:val="index heading2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4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25" w:customStyle="1">
    <w:name w:val="WW8Num25"/>
    <w:qFormat/>
  </w:style>
  <w:style w:type="numbering" w:styleId="821902621" w:customStyle="1">
    <w:name w:val="821902621"/>
    <w:qFormat/>
  </w:style>
  <w:style w:type="numbering" w:styleId="32917521331" w:customStyle="1">
    <w:name w:val="329175213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E4978-97F2-4F6D-B573-BA240469B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Application>AlterOffice/2026.2.0.0$Linux_X86_64 LibreOffice_project/bc4ef1adf80b36c7a6365f8ed6cbf29021361edd</Application>
  <AppVersion>15.0000</AppVersion>
  <Pages>11</Pages>
  <Words>1276</Words>
  <Characters>8677</Characters>
  <CharactersWithSpaces>9645</CharactersWithSpaces>
  <Paragraphs>301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2023-04-28T06:34:00Z</dcterms:created>
  <dc:creator>Быстров Олег Геннадьевич</dc:creator>
  <dc:description/>
  <dc:language>ru-RU</dc:language>
  <cp:lastModifiedBy>ilyichevdu@corp.gidroogk.com</cp:lastModifiedBy>
  <dcterms:modified xsi:type="dcterms:W3CDTF">2026-10-05T14:48:02Z</dcterms:modified>
  <cp:revision>62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