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7.xml" ContentType="application/vnd.openxmlformats-officedocument.wordprocessingml.footer+xml"/>
  <Override PartName="/word/_rels/document.xml.rels" ContentType="application/vnd.openxmlformats-package.relationships+xml"/>
  <Override PartName="/word/footer6.xml" ContentType="application/vnd.openxmlformats-officedocument.wordprocessingml.foot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contextualSpacing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ОКПД2 71.12.40.120.  Организация поверки автоматизированной информационно-измерительной системы коммерческого учета электроэнергии (АИИС КУЭ) Филиала ПАО «РусГидро» - «Бурейская ГЭС, ПС 220/35/6 кВ «Куруктачи», трансформаторов тока ВСТ и ТВ-220.</w:t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54643694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695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Обозначения и сокращения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696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Наименование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697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Цель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698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 xml:space="preserve">Существующее положение 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5464369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700">
            <w:r>
              <w:rPr>
                <w:webHidden/>
                <w:rStyle w:val="Style14"/>
                <w:iCs/>
                <w:vanish w:val="false"/>
              </w:rPr>
              <w:t>1.5.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 xml:space="preserve"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 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54643702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703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объемам и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54643704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перечню и объему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5464370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54643706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 xml:space="preserve">Требования к </w:t>
            </w:r>
          </w:hyperlink>
          <w:r>
            <w:rPr>
              <w:color w:val="000000"/>
            </w:rPr>
            <w:t>срокам</w:t>
          </w:r>
          <w:hyperlink w:anchor="_Toc5464370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 xml:space="preserve"> оказания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5464370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708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качеству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5464370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right" w:pos="9911" w:leader="dot"/>
        </w:tabs>
        <w:rPr>
          <w:rFonts w:ascii="Calibri" w:hAnsi="Calibri" w:eastAsia="新細明體" w:cs="Arial" w:asciiTheme="minorHAnsi" w:cstheme="minorBidi" w:eastAsiaTheme="minorEastAsia" w:hAnsiTheme="minorHAnsi"/>
          <w:b w:val="false"/>
          <w:bCs w:val="false"/>
        </w:rPr>
      </w:pPr>
      <w:r>
        <w:rPr>
          <w:rFonts w:eastAsia="新細明體" w:cs="Arial" w:cstheme="minorBidi" w:eastAsiaTheme="minorEastAsia" w:ascii="Calibri" w:hAnsi="Calibri"/>
          <w:b w:val="false"/>
          <w:bCs w:val="false"/>
        </w:rPr>
      </w:r>
    </w:p>
    <w:p>
      <w:pPr>
        <w:pStyle w:val="Heading2"/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0" w:name="_Toc54643694"/>
      <w:r>
        <w:rPr>
          <w:lang w:val="ru-RU"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rPr/>
      </w:pPr>
      <w:bookmarkStart w:id="1" w:name="_Toc54643695"/>
      <w:bookmarkStart w:id="2" w:name="_Toc46743505"/>
      <w:r>
        <w:rPr/>
        <w:t>Обозначения и сокращения</w:t>
      </w:r>
      <w:bookmarkEnd w:id="1"/>
      <w:bookmarkEnd w:id="2"/>
    </w:p>
    <w:p>
      <w:pPr>
        <w:pStyle w:val="Normal"/>
        <w:shd w:val="clear" w:color="auto" w:fill="FFFFFF"/>
        <w:rPr>
          <w:rStyle w:val="Style8"/>
          <w:b w:val="false"/>
          <w:bCs/>
          <w:sz w:val="24"/>
          <w:szCs w:val="24"/>
        </w:rPr>
      </w:pPr>
      <w:r>
        <w:rPr>
          <w:b w:val="false"/>
          <w:bCs/>
          <w:sz w:val="24"/>
          <w:szCs w:val="24"/>
        </w:rPr>
      </w:r>
    </w:p>
    <w:tbl>
      <w:tblPr>
        <w:tblW w:w="978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89"/>
        <w:gridCol w:w="7690"/>
      </w:tblGrid>
      <w:tr>
        <w:trPr>
          <w:cantSplit w:val="true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</w:t>
            </w:r>
          </w:p>
        </w:tc>
        <w:tc>
          <w:tcPr>
            <w:tcW w:w="7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Средство измерения</w:t>
            </w:r>
          </w:p>
        </w:tc>
      </w:tr>
      <w:tr>
        <w:trPr>
          <w:cantSplit w:val="true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ГЭС</w:t>
            </w:r>
          </w:p>
        </w:tc>
        <w:tc>
          <w:tcPr>
            <w:tcW w:w="7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ПАО</w:t>
            </w:r>
          </w:p>
        </w:tc>
        <w:tc>
          <w:tcPr>
            <w:tcW w:w="7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Публичное акционерное общество</w:t>
            </w:r>
          </w:p>
        </w:tc>
      </w:tr>
      <w:tr>
        <w:trPr>
          <w:cantSplit w:val="true"/>
        </w:trPr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АИИС КУЭ</w:t>
            </w:r>
          </w:p>
        </w:tc>
        <w:tc>
          <w:tcPr>
            <w:tcW w:w="7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Автоматизированная — информационно измерительная система коммерческого учета электроэнергии</w:t>
            </w:r>
          </w:p>
        </w:tc>
      </w:tr>
      <w:tr>
        <w:trPr>
          <w:cantSplit w:val="true"/>
        </w:trPr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Трансформатор тока</w:t>
            </w:r>
          </w:p>
        </w:tc>
      </w:tr>
      <w:tr>
        <w:trPr>
          <w:cantSplit w:val="true"/>
        </w:trPr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ИК</w:t>
            </w:r>
          </w:p>
        </w:tc>
        <w:tc>
          <w:tcPr>
            <w:tcW w:w="7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Измерительный канал</w:t>
            </w:r>
          </w:p>
        </w:tc>
      </w:tr>
      <w:tr>
        <w:trPr>
          <w:cantSplit w:val="true"/>
        </w:trPr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</w:t>
            </w:r>
          </w:p>
        </w:tc>
        <w:tc>
          <w:tcPr>
            <w:tcW w:w="7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Юридическое или физическое лицо, ставшее победителем конкурентной процедуры, с которым заключён договор на оказание услуг в соответствии с настоящими техническими требованиями</w:t>
            </w:r>
          </w:p>
        </w:tc>
      </w:tr>
      <w:tr>
        <w:trPr>
          <w:cantSplit w:val="true"/>
        </w:trPr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</w:t>
            </w:r>
          </w:p>
        </w:tc>
        <w:tc>
          <w:tcPr>
            <w:tcW w:w="7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Юридическое или физическое лицо, заключившее с Исполнителем договор об оказании услуг в соответствии с настоящими техническими требованиями</w:t>
            </w:r>
          </w:p>
        </w:tc>
      </w:tr>
      <w:tr>
        <w:trPr>
          <w:cantSplit w:val="true"/>
        </w:trPr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  <w:tc>
          <w:tcPr>
            <w:tcW w:w="7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Исполнитель, явным образом принявший участие в закупке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3" w:name="_Toc46743506"/>
      <w:bookmarkStart w:id="4" w:name="_Toc54643696"/>
      <w:r>
        <w:rPr/>
        <w:t>Наименование закупаемой продукции</w:t>
      </w:r>
      <w:bookmarkEnd w:id="3"/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0"/>
        <w:ind w:firstLine="426"/>
        <w:contextualSpacing/>
        <w:jc w:val="both"/>
        <w:rPr>
          <w:bCs/>
          <w:color w:val="000000"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ОКПД2 71.12.40.120.</w:t>
      </w:r>
      <w:r>
        <w:rPr>
          <w:rFonts w:eastAsia="Calibri"/>
          <w:b w:val="false"/>
          <w:bCs w:val="false"/>
          <w:sz w:val="24"/>
          <w:szCs w:val="24"/>
          <w:lang w:eastAsia="x-none"/>
        </w:rPr>
        <w:t xml:space="preserve">  </w:t>
      </w:r>
      <w:r>
        <w:rPr>
          <w:rFonts w:eastAsia="Calibri"/>
          <w:b w:val="false"/>
          <w:bCs w:val="false"/>
          <w:sz w:val="26"/>
          <w:szCs w:val="26"/>
          <w:lang w:eastAsia="x-none"/>
        </w:rPr>
        <w:t>Организация поверки автоматизированной информационно-измерительной системы коммерческого учета электроэнергии (АИИС КУЭ) Филиала ПАО «РусГидро» - «Бурейская ГЭС, ПС 220/35/6 кВ «Куруктачи», трансформаторов тока ВСТ и ТВ-220.</w:t>
      </w:r>
      <w:bookmarkStart w:id="5" w:name="_Toc46743507"/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6" w:name="_Toc54643697"/>
      <w:r>
        <w:rPr/>
        <w:t xml:space="preserve">Цель </w:t>
      </w:r>
      <w:bookmarkEnd w:id="5"/>
      <w:r>
        <w:rPr>
          <w:lang w:val="ru-RU"/>
        </w:rPr>
        <w:t>оказания услуг</w:t>
      </w:r>
      <w:bookmarkEnd w:id="6"/>
    </w:p>
    <w:p>
      <w:pPr>
        <w:pStyle w:val="BodyText"/>
        <w:tabs>
          <w:tab w:val="clear" w:pos="708"/>
          <w:tab w:val="left" w:pos="-142" w:leader="none"/>
          <w:tab w:val="left" w:pos="284" w:leader="none"/>
        </w:tabs>
        <w:spacing w:before="0" w:after="0"/>
        <w:ind w:firstLine="851" w:left="-142"/>
        <w:jc w:val="both"/>
        <w:rPr/>
      </w:pPr>
      <w:r>
        <w:rPr>
          <w:bCs/>
          <w:sz w:val="24"/>
          <w:szCs w:val="24"/>
        </w:rPr>
        <w:t xml:space="preserve">Целью оказания услуг является проведение  поверки АИИС КУЭ </w:t>
      </w:r>
      <w:r>
        <w:rPr>
          <w:rFonts w:eastAsia="Calibri"/>
          <w:b w:val="false"/>
          <w:bCs w:val="false"/>
          <w:sz w:val="26"/>
          <w:szCs w:val="26"/>
          <w:lang w:eastAsia="x-none"/>
        </w:rPr>
        <w:t>Филиала ПАО «РусГидро» - «Бурейская ГЭС», ПС 220/35/6 кВ «Куруктачи», трансформаторов тока ВСТ и ТВ-220</w:t>
      </w:r>
      <w:r>
        <w:rPr>
          <w:bCs/>
          <w:sz w:val="24"/>
          <w:szCs w:val="24"/>
        </w:rPr>
        <w:t xml:space="preserve"> с применением эталонов и поверочного оборудования Исполнителя на месте установки поверяемого оборудования на объекте, в соответс</w:t>
      </w:r>
      <w:r>
        <w:rPr>
          <w:bCs/>
          <w:sz w:val="24"/>
          <w:szCs w:val="24"/>
        </w:rPr>
        <w:t xml:space="preserve">твии с Таблицей </w:t>
      </w:r>
      <w:r>
        <w:rPr>
          <w:bCs/>
          <w:sz w:val="24"/>
          <w:szCs w:val="24"/>
        </w:rPr>
        <w:t xml:space="preserve"> №1.</w:t>
      </w:r>
    </w:p>
    <w:p>
      <w:pPr>
        <w:pStyle w:val="Heading4"/>
        <w:numPr>
          <w:ilvl w:val="1"/>
          <w:numId w:val="3"/>
        </w:numPr>
        <w:rPr/>
      </w:pPr>
      <w:bookmarkStart w:id="7" w:name="_Toc54643698"/>
      <w:bookmarkStart w:id="8" w:name="_Toc46743508"/>
      <w:r>
        <w:rPr/>
        <w:t>Существующее положение</w:t>
      </w:r>
      <w:bookmarkEnd w:id="8"/>
      <w:r>
        <w:rPr>
          <w:lang w:val="ru-RU"/>
        </w:rPr>
        <w:t xml:space="preserve"> </w:t>
      </w:r>
      <w:bookmarkEnd w:id="7"/>
    </w:p>
    <w:p>
      <w:pPr>
        <w:pStyle w:val="BodyText"/>
        <w:widowControl w:val="false"/>
        <w:tabs>
          <w:tab w:val="clear" w:pos="708"/>
          <w:tab w:val="left" w:pos="-142" w:leader="none"/>
          <w:tab w:val="left" w:pos="284" w:leader="none"/>
        </w:tabs>
        <w:ind w:firstLine="851"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АИИС КУЭ </w:t>
      </w:r>
      <w:r>
        <w:rPr>
          <w:rFonts w:eastAsia="Calibri"/>
          <w:b w:val="false"/>
          <w:bCs w:val="false"/>
          <w:sz w:val="26"/>
          <w:szCs w:val="26"/>
          <w:lang w:eastAsia="x-none"/>
        </w:rPr>
        <w:t>Филиала ПАО «РусГидро» - «Бурейская ГЭС</w:t>
      </w:r>
      <w:r>
        <w:rPr>
          <w:sz w:val="24"/>
          <w:szCs w:val="24"/>
        </w:rPr>
        <w:t xml:space="preserve">», дата предыдущей поверки 30.03.2023г.                                                                            </w:t>
      </w:r>
    </w:p>
    <w:p>
      <w:pPr>
        <w:pStyle w:val="Normal"/>
        <w:tabs>
          <w:tab w:val="clear" w:pos="708"/>
          <w:tab w:val="left" w:pos="993" w:leader="none"/>
        </w:tabs>
        <w:ind w:firstLine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Система АИИС КУЭ обеспечена технической и метрологической документацией, внесена в Государственный реестр средств измерений под № </w:t>
      </w:r>
      <w:r>
        <w:rPr>
          <w:rStyle w:val="Style8"/>
          <w:b w:val="false"/>
          <w:bCs/>
          <w:i w:val="false"/>
          <w:iCs/>
          <w:sz w:val="24"/>
          <w:szCs w:val="24"/>
          <w:shd w:fill="FFFFFF" w:val="clear"/>
        </w:rPr>
        <w:t>79437-20</w:t>
      </w:r>
      <w:r>
        <w:rPr>
          <w:rStyle w:val="Style8"/>
          <w:b w:val="false"/>
          <w:bCs/>
          <w:i w:val="false"/>
          <w:sz w:val="24"/>
          <w:szCs w:val="24"/>
          <w:shd w:fill="FFFFFF" w:val="clear"/>
        </w:rPr>
        <w:t>.</w:t>
      </w:r>
      <w:r>
        <w:rPr>
          <w:rFonts w:cs="Calibri"/>
          <w:sz w:val="24"/>
          <w:szCs w:val="24"/>
        </w:rPr>
        <w:t xml:space="preserve"> </w:t>
      </w:r>
    </w:p>
    <w:p>
      <w:pPr>
        <w:pStyle w:val="BodyText"/>
        <w:widowControl w:val="false"/>
        <w:tabs>
          <w:tab w:val="clear" w:pos="708"/>
          <w:tab w:val="left" w:pos="-142" w:leader="none"/>
          <w:tab w:val="left" w:pos="284" w:leader="none"/>
        </w:tabs>
        <w:ind w:firstLine="851"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АИИС КУЭ </w:t>
      </w:r>
      <w:r>
        <w:rPr>
          <w:rFonts w:eastAsia="Calibri"/>
          <w:b w:val="false"/>
          <w:bCs w:val="false"/>
          <w:sz w:val="26"/>
          <w:szCs w:val="26"/>
          <w:lang w:eastAsia="x-none"/>
        </w:rPr>
        <w:t>Филиала ПС 220/35/6 кВ «Куруктачи»</w:t>
      </w:r>
      <w:r>
        <w:rPr>
          <w:rFonts w:eastAsia="Calibri"/>
          <w:b w:val="false"/>
          <w:bCs w:val="false"/>
          <w:sz w:val="24"/>
          <w:szCs w:val="24"/>
          <w:lang w:eastAsia="x-none"/>
        </w:rPr>
        <w:t>, д</w:t>
      </w:r>
      <w:r>
        <w:rPr>
          <w:sz w:val="24"/>
          <w:szCs w:val="24"/>
        </w:rPr>
        <w:t xml:space="preserve">ата предыдущей поверки 10.04.2023г.                                                                            </w:t>
      </w:r>
    </w:p>
    <w:p>
      <w:pPr>
        <w:pStyle w:val="Normal"/>
        <w:tabs>
          <w:tab w:val="clear" w:pos="708"/>
          <w:tab w:val="left" w:pos="993" w:leader="none"/>
        </w:tabs>
        <w:ind w:firstLine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Система АИИС КУЭ обеспечена технической и метрологической документацией, внесена в Государственный реестр средств измерений под № </w:t>
      </w:r>
      <w:r>
        <w:rPr>
          <w:rStyle w:val="Style8"/>
          <w:rFonts w:eastAsia="Calibri" w:cs="Calibri"/>
          <w:b w:val="false"/>
          <w:bCs w:val="false"/>
          <w:i w:val="false"/>
          <w:iCs/>
          <w:sz w:val="24"/>
          <w:szCs w:val="24"/>
          <w:shd w:fill="FFFFFF" w:val="clear"/>
          <w:lang w:eastAsia="x-none"/>
        </w:rPr>
        <w:t>63632-16</w:t>
      </w:r>
      <w:r>
        <w:rPr>
          <w:rStyle w:val="Style8"/>
          <w:rFonts w:cs="Calibri"/>
          <w:b w:val="false"/>
          <w:bCs/>
          <w:i w:val="false"/>
          <w:sz w:val="24"/>
          <w:szCs w:val="24"/>
          <w:shd w:fill="FFFFFF" w:val="clear"/>
        </w:rPr>
        <w:t>.</w:t>
      </w:r>
      <w:r>
        <w:rPr>
          <w:rFonts w:cs="Calibri"/>
          <w:sz w:val="24"/>
          <w:szCs w:val="24"/>
        </w:rPr>
        <w:t xml:space="preserve"> </w:t>
      </w:r>
    </w:p>
    <w:p>
      <w:pPr>
        <w:pStyle w:val="Normal"/>
        <w:tabs>
          <w:tab w:val="clear" w:pos="708"/>
          <w:tab w:val="left" w:pos="993" w:leader="none"/>
        </w:tabs>
        <w:ind w:firstLine="426"/>
        <w:jc w:val="both"/>
        <w:rPr>
          <w:rFonts w:cs="Calibri"/>
          <w:sz w:val="24"/>
          <w:szCs w:val="24"/>
        </w:rPr>
      </w:pPr>
      <w:r>
        <w:rPr/>
      </w:r>
    </w:p>
    <w:p>
      <w:pPr>
        <w:pStyle w:val="Normal"/>
        <w:tabs>
          <w:tab w:val="clear" w:pos="708"/>
          <w:tab w:val="left" w:pos="993" w:leader="none"/>
        </w:tabs>
        <w:ind w:firstLine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Трансформаторы тока ТВ-220 и ВСТ являются средствами измерений 10 и 15 ИК соответственно АИИС КУЭ </w:t>
      </w:r>
      <w:r>
        <w:rPr>
          <w:rFonts w:eastAsia="Calibri" w:cs="Calibri"/>
          <w:b w:val="false"/>
          <w:bCs w:val="false"/>
          <w:sz w:val="26"/>
          <w:szCs w:val="26"/>
          <w:lang w:eastAsia="x-none"/>
        </w:rPr>
        <w:t>Филиала ПАО «РусГидро» - «Бурейская ГЭС</w:t>
      </w:r>
      <w:r>
        <w:rPr>
          <w:rFonts w:cs="Calibri"/>
          <w:sz w:val="24"/>
          <w:szCs w:val="24"/>
        </w:rPr>
        <w:t>».</w:t>
      </w:r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9" w:name="_Toc54643699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9"/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70"/>
        <w:gridCol w:w="2430"/>
        <w:gridCol w:w="2805"/>
        <w:gridCol w:w="4112"/>
      </w:tblGrid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881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АИИС КУЭ </w:t>
            </w:r>
            <w:r>
              <w:rPr>
                <w:rFonts w:eastAsia="Calibri"/>
                <w:b w:val="false"/>
                <w:bCs w:val="false"/>
                <w:iCs/>
                <w:sz w:val="24"/>
                <w:szCs w:val="24"/>
                <w:lang w:eastAsia="x-none"/>
              </w:rPr>
              <w:t>Филиала ПАО «РусГидро» - «Бурейская ГЭС,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рег. № 79437-20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widowControl w:val="false"/>
              <w:spacing w:before="0" w:after="12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Филиал ПАО «РусГидро» - «Бурейская ГЭС», 676730, Амурская область, Бурейский район, пгт. Талакан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АИИС КУЭ </w:t>
            </w:r>
            <w:r>
              <w:rPr>
                <w:rFonts w:eastAsia="Calibri"/>
                <w:b w:val="false"/>
                <w:bCs w:val="false"/>
                <w:iCs/>
                <w:sz w:val="24"/>
                <w:szCs w:val="24"/>
                <w:lang w:eastAsia="x-none"/>
              </w:rPr>
              <w:t>Филиала ПАО «РусГидро» - «Бурейская ГЭС</w:t>
            </w:r>
            <w:r>
              <w:rPr>
                <w:iCs/>
                <w:sz w:val="24"/>
                <w:szCs w:val="24"/>
              </w:rPr>
              <w:t>, средства измерения Филиала (1 шт.)</w:t>
            </w:r>
          </w:p>
        </w:tc>
      </w:tr>
      <w:tr>
        <w:trPr>
          <w:trHeight w:val="881" w:hRule="atLeast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4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0"/>
              <w:ind w:firstLine="426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sz w:val="24"/>
                <w:szCs w:val="24"/>
                <w:lang w:eastAsia="x-none"/>
              </w:rPr>
              <w:t xml:space="preserve">АИИС КУЭ ПС 220/35/6 кВ «Куруктачи»,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0"/>
              <w:ind w:firstLine="426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sz w:val="24"/>
                <w:szCs w:val="24"/>
                <w:lang w:eastAsia="x-none"/>
              </w:rPr>
              <w:t>рег. № 63632-16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widowControl w:val="false"/>
              <w:spacing w:before="0" w:after="12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Филиал ПАО «РусГидро» - «Бурейская ГЭС», </w:t>
            </w:r>
            <w:r>
              <w:rPr>
                <w:sz w:val="24"/>
                <w:szCs w:val="24"/>
              </w:rPr>
              <w:t>676730, Амурская область, Бурейский район, пгт. Талакан</w:t>
            </w:r>
          </w:p>
        </w:tc>
        <w:tc>
          <w:tcPr>
            <w:tcW w:w="4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0"/>
              <w:ind w:firstLine="426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sz w:val="24"/>
                <w:szCs w:val="24"/>
                <w:lang w:eastAsia="x-none"/>
              </w:rPr>
              <w:t xml:space="preserve">АИИС КУЭ ПС 220/35/6 кВ «Куруктачи», </w:t>
            </w:r>
            <w:r>
              <w:rPr>
                <w:rFonts w:eastAsia="Calibri"/>
                <w:b w:val="false"/>
                <w:bCs w:val="false"/>
                <w:iCs/>
                <w:sz w:val="24"/>
                <w:szCs w:val="24"/>
                <w:lang w:eastAsia="x-none"/>
              </w:rPr>
              <w:t>средства измерения Филиала (1 шт.)</w:t>
            </w:r>
          </w:p>
        </w:tc>
      </w:tr>
      <w:tr>
        <w:trPr>
          <w:trHeight w:val="881" w:hRule="atLeast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4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Трансформатор тока </w:t>
            </w:r>
          </w:p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ТВ-220,</w:t>
            </w:r>
          </w:p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рег. № 20644-03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widowControl w:val="false"/>
              <w:spacing w:before="0" w:after="12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Филиал ПАО «РусГидро» - «Бурейская ГЭС», </w:t>
            </w:r>
            <w:r>
              <w:rPr>
                <w:sz w:val="24"/>
                <w:szCs w:val="24"/>
              </w:rPr>
              <w:t>676730, Амурская область, Бурейский район, пгт. Талакан</w:t>
            </w:r>
          </w:p>
        </w:tc>
        <w:tc>
          <w:tcPr>
            <w:tcW w:w="4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Трансформатор тока </w:t>
            </w:r>
          </w:p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ТВ-220 (1 шт.)</w:t>
            </w:r>
          </w:p>
        </w:tc>
      </w:tr>
      <w:tr>
        <w:trPr>
          <w:trHeight w:val="881" w:hRule="atLeast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4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Трансформатор тока встроенный ВСТ, </w:t>
            </w:r>
          </w:p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рег. №  </w:t>
            </w:r>
            <w:r>
              <w:rPr>
                <w:rFonts w:cs="Times New Roman"/>
                <w:iCs/>
                <w:sz w:val="24"/>
                <w:szCs w:val="24"/>
                <w:lang w:eastAsia="ru-RU"/>
              </w:rPr>
              <w:t>28930-05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widowControl w:val="false"/>
              <w:spacing w:before="0" w:after="12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Филиал ПАО «РусГидро» - «Бурейская ГЭС», </w:t>
            </w:r>
            <w:r>
              <w:rPr>
                <w:sz w:val="24"/>
                <w:szCs w:val="24"/>
              </w:rPr>
              <w:t>676730, Амурская область, Бурейский район, пгт. Талакан</w:t>
            </w:r>
          </w:p>
        </w:tc>
        <w:tc>
          <w:tcPr>
            <w:tcW w:w="4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Трансформатор тока встроенный ВСТ (3 шт.)</w:t>
            </w:r>
          </w:p>
        </w:tc>
      </w:tr>
    </w:tbl>
    <w:p>
      <w:pPr>
        <w:pStyle w:val="Heading4"/>
        <w:numPr>
          <w:ilvl w:val="1"/>
          <w:numId w:val="3"/>
        </w:numPr>
        <w:rPr/>
      </w:pPr>
      <w:bookmarkStart w:id="10" w:name="_Toc46743509"/>
      <w:bookmarkStart w:id="11" w:name="_Hlk49857604"/>
      <w:bookmarkStart w:id="12" w:name="_Toc54643700"/>
      <w:r>
        <w:rPr/>
        <w:t xml:space="preserve">Информация в отношении исполнения договора, </w:t>
      </w:r>
      <w:bookmarkStart w:id="13" w:name="_Hlk46492347"/>
      <w:r>
        <w:rPr/>
        <w:t xml:space="preserve">которая должна быть учтена при подготовке заявки </w:t>
      </w:r>
      <w:bookmarkEnd w:id="13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0"/>
      <w:bookmarkEnd w:id="11"/>
      <w:r>
        <w:rPr>
          <w:lang w:val="ru-RU"/>
        </w:rPr>
        <w:t xml:space="preserve"> </w:t>
      </w:r>
      <w:bookmarkEnd w:id="12"/>
    </w:p>
    <w:p>
      <w:pPr>
        <w:pStyle w:val="ListParagraph"/>
        <w:widowControl w:val="false"/>
        <w:tabs>
          <w:tab w:val="clear" w:pos="708"/>
          <w:tab w:val="left" w:pos="426" w:leader="none"/>
        </w:tabs>
        <w:spacing w:before="120" w:after="240"/>
        <w:ind w:firstLine="680" w:left="57"/>
        <w:contextualSpacing w:val="false"/>
        <w:jc w:val="both"/>
        <w:rPr/>
      </w:pPr>
      <w:bookmarkStart w:id="14" w:name="_Hlk48209761"/>
      <w:bookmarkEnd w:id="14"/>
      <w:r>
        <w:rPr>
          <w:rStyle w:val="Style8"/>
          <w:b w:val="false"/>
          <w:i w:val="false"/>
          <w:sz w:val="24"/>
          <w:szCs w:val="24"/>
          <w:shd w:fill="FFFFFF" w:val="clear"/>
        </w:rPr>
        <w:t xml:space="preserve">Объём работ, который выполняется на территории Заказчика, необходимо выполнять в соответствие </w:t>
      </w:r>
      <w:r>
        <w:rPr>
          <w:rStyle w:val="Style8"/>
          <w:b w:val="false"/>
          <w:i w:val="false"/>
          <w:color w:val="000000"/>
          <w:sz w:val="24"/>
          <w:szCs w:val="24"/>
          <w:shd w:fill="FFFFFF" w:val="clear"/>
        </w:rPr>
        <w:t>«Методикой допуска персонала подрядных организаций к выполнению работ на объектах Общества» и с учётом требований действующих правил по охране труда и Политики ПАО «РусГидро» в области охраны труда.</w:t>
      </w:r>
      <w:bookmarkStart w:id="15" w:name="_Toc50125126"/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16" w:name="_Toc51339693"/>
      <w:bookmarkStart w:id="17" w:name="_Toc54643702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16"/>
      <w:bookmarkEnd w:id="17"/>
    </w:p>
    <w:p>
      <w:pPr>
        <w:pStyle w:val="Heading4"/>
        <w:numPr>
          <w:ilvl w:val="1"/>
          <w:numId w:val="3"/>
        </w:numPr>
        <w:rPr/>
      </w:pPr>
      <w:bookmarkStart w:id="18" w:name="_Toc54643703"/>
      <w:r>
        <w:rPr/>
        <w:t xml:space="preserve">Требования к  срокам </w:t>
      </w:r>
      <w:r>
        <w:rPr>
          <w:lang w:val="ru-RU"/>
        </w:rPr>
        <w:t>оказания услуг</w:t>
      </w:r>
      <w:bookmarkEnd w:id="18"/>
    </w:p>
    <w:p>
      <w:pPr>
        <w:pStyle w:val="Heading3"/>
        <w:numPr>
          <w:ilvl w:val="0"/>
          <w:numId w:val="0"/>
        </w:numPr>
        <w:ind w:hanging="0" w:left="1224"/>
        <w:rPr>
          <w:lang w:val="ru-RU"/>
        </w:rPr>
      </w:pPr>
      <w:r>
        <w:rPr/>
      </w:r>
      <w:bookmarkStart w:id="19" w:name="_Toc54643704"/>
      <w:bookmarkStart w:id="20" w:name="_Toc54643704"/>
      <w:bookmarkEnd w:id="20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21" w:name="_Toc51339696"/>
      <w:bookmarkStart w:id="22" w:name="_Toc50125127"/>
      <w:bookmarkStart w:id="23" w:name="_Toc51339697"/>
      <w:bookmarkStart w:id="24" w:name="_Toc54643706"/>
      <w:bookmarkStart w:id="25" w:name="_Toc54643707"/>
      <w:bookmarkEnd w:id="15"/>
      <w:bookmarkEnd w:id="21"/>
      <w:bookmarkEnd w:id="2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26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2"/>
      <w:bookmarkEnd w:id="23"/>
      <w:bookmarkEnd w:id="26"/>
      <w:r>
        <w:rPr>
          <w:sz w:val="24"/>
          <w:szCs w:val="24"/>
          <w:lang w:val="ru-RU"/>
        </w:rPr>
        <w:t>оказания услуг</w:t>
      </w:r>
      <w:bookmarkEnd w:id="25"/>
    </w:p>
    <w:tbl>
      <w:tblPr>
        <w:tblW w:w="981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78"/>
        <w:gridCol w:w="3405"/>
        <w:gridCol w:w="2477"/>
        <w:gridCol w:w="3149"/>
      </w:tblGrid>
      <w:tr>
        <w:trPr/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FFFFFF" w:val="clear"/>
              </w:rPr>
              <w:t xml:space="preserve">1.Организация очередной поверки АИИС КУЭ </w:t>
            </w:r>
            <w:r>
              <w:rPr>
                <w:rStyle w:val="Style8"/>
                <w:rFonts w:eastAsia="Calibri"/>
                <w:b w:val="false"/>
                <w:bCs w:val="false"/>
                <w:i w:val="false"/>
                <w:sz w:val="26"/>
                <w:szCs w:val="26"/>
                <w:shd w:fill="FFFFFF" w:val="clear"/>
                <w:lang w:eastAsia="x-none"/>
              </w:rPr>
              <w:t>Филиала ПАО «РусГидро» - «Бурейская ГЭС, ПС 220/35/6 кВ «Куруктачи», трансформаторов тока ВСТ(3 шт.) и ТВ-220.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договора.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30.11.2026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27" w:name="_Toc54643709"/>
      <w:bookmarkStart w:id="28" w:name="_Toc51339698"/>
      <w:bookmarkStart w:id="29" w:name="_Toc54643708"/>
      <w:bookmarkStart w:id="30" w:name="_Toc46743511"/>
      <w:r>
        <w:rPr/>
        <w:t xml:space="preserve">Требования к </w:t>
      </w:r>
      <w:bookmarkEnd w:id="30"/>
      <w:r>
        <w:rPr>
          <w:lang w:val="ru-RU"/>
        </w:rPr>
        <w:t>качеству услуг</w:t>
      </w:r>
      <w:bookmarkEnd w:id="29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28"/>
      <w:r>
        <w:rPr>
          <w:sz w:val="24"/>
          <w:szCs w:val="24"/>
          <w:lang w:val="ru-RU"/>
        </w:rPr>
        <w:t>качеству услуг</w:t>
      </w:r>
      <w:bookmarkEnd w:id="27"/>
      <w:r>
        <w:rPr>
          <w:sz w:val="24"/>
          <w:szCs w:val="24"/>
        </w:rPr>
        <w:t xml:space="preserve"> </w:t>
      </w:r>
    </w:p>
    <w:p>
      <w:pPr>
        <w:pStyle w:val="Normal"/>
        <w:rPr>
          <w:rStyle w:val="Style8"/>
          <w:b w:val="false"/>
        </w:rPr>
      </w:pPr>
      <w:r>
        <w:rPr>
          <w:rStyle w:val="Style8"/>
          <w:b w:val="false"/>
        </w:rPr>
        <w:t xml:space="preserve"> </w:t>
      </w:r>
    </w:p>
    <w:p>
      <w:pPr>
        <w:pStyle w:val="Normal"/>
        <w:rPr>
          <w:i/>
          <w:i/>
          <w:iCs/>
          <w:shd w:fill="FFFF99" w:val="clear"/>
        </w:rPr>
      </w:pPr>
      <w:r>
        <w:rPr>
          <w:b/>
          <w:bCs/>
          <w:sz w:val="24"/>
          <w:szCs w:val="24"/>
        </w:rPr>
        <w:t>Наименование услуг/этапа услуг (позиции № 1</w:t>
      </w:r>
      <w:r>
        <w:rPr>
          <w:b/>
          <w:bCs/>
          <w:sz w:val="24"/>
          <w:szCs w:val="24"/>
          <w:shd w:fill="FFFFFF" w:val="clear"/>
        </w:rPr>
        <w:t>,2</w:t>
      </w:r>
      <w:r>
        <w:rPr>
          <w:rStyle w:val="Style8"/>
          <w:b w:val="false"/>
          <w:bCs/>
          <w:sz w:val="24"/>
          <w:szCs w:val="24"/>
          <w:shd w:fill="FFFFFF" w:val="clear"/>
        </w:rPr>
        <w:t xml:space="preserve"> </w:t>
      </w:r>
      <w:r>
        <w:rPr>
          <w:b/>
          <w:bCs/>
          <w:sz w:val="24"/>
          <w:szCs w:val="24"/>
          <w:shd w:fill="FFFFFF" w:val="clear"/>
        </w:rPr>
        <w:t>Т</w:t>
      </w:r>
      <w:r>
        <w:rPr>
          <w:b/>
          <w:bCs/>
          <w:sz w:val="24"/>
          <w:szCs w:val="24"/>
        </w:rPr>
        <w:t>аблицы 2):</w:t>
      </w:r>
      <w:r>
        <w:rPr>
          <w:b w:val="false"/>
          <w:bCs w:val="false"/>
          <w:sz w:val="24"/>
          <w:szCs w:val="24"/>
        </w:rPr>
        <w:t xml:space="preserve"> </w:t>
      </w:r>
      <w:r>
        <w:rPr>
          <w:rStyle w:val="Style8"/>
          <w:b w:val="false"/>
          <w:bCs/>
          <w:i w:val="false"/>
          <w:sz w:val="24"/>
          <w:szCs w:val="24"/>
          <w:shd w:fill="FFFFFF" w:val="clear"/>
        </w:rPr>
        <w:t xml:space="preserve">Организация очередной поверки АИИС КУЭ </w:t>
      </w:r>
      <w:r>
        <w:rPr>
          <w:rStyle w:val="Style8"/>
          <w:rFonts w:eastAsia="Calibri"/>
          <w:b w:val="false"/>
          <w:bCs w:val="false"/>
          <w:i w:val="false"/>
          <w:sz w:val="26"/>
          <w:szCs w:val="26"/>
          <w:shd w:fill="FFFFFF" w:val="clear"/>
          <w:lang w:eastAsia="x-none"/>
        </w:rPr>
        <w:t>Филиала ПАО «РусГидро» - «Бурейская ГЭС, ПС 220/35/6 кВ «Куруктачи», трансформаторов тока ВСТ и ТВ-220.</w:t>
      </w:r>
    </w:p>
    <w:tbl>
      <w:tblPr>
        <w:tblStyle w:val="affff7"/>
        <w:tblW w:w="1488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83"/>
        <w:gridCol w:w="3153"/>
        <w:gridCol w:w="10549"/>
      </w:tblGrid>
      <w:tr>
        <w:trPr/>
        <w:tc>
          <w:tcPr>
            <w:tcW w:w="11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1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105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/>
        <w:tc>
          <w:tcPr>
            <w:tcW w:w="11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31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1"/>
          </w:p>
        </w:tc>
        <w:tc>
          <w:tcPr>
            <w:tcW w:w="31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05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118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137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</w:tr>
      <w:tr>
        <w:trPr/>
        <w:tc>
          <w:tcPr>
            <w:tcW w:w="118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37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</w:tr>
      <w:tr>
        <w:trPr/>
        <w:tc>
          <w:tcPr>
            <w:tcW w:w="118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315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Соблюдение при выполнении работ норм и правил нормативно-технических документов </w:t>
            </w:r>
          </w:p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both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054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оказании услуг исполнитель должен руководствоваться следующими нормативно-техническими документами: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firstLine="33" w:left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Федеральный Закон Российской Федерации от 26.06.2008 № 102-ФЗ «Об обеспечении единства измерений»;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firstLine="34" w:left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ГОСТ Р 8.596-2002. ГСИ. Метрологическое обеспечение измерительных систем;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firstLine="34" w:left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Правила по охране труда при эксплуатации электроустановок от 15.12.2020 N 903н;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firstLine="34" w:left="0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Порядок проведения поверки средств измерений, требования к знаку поверки и содержанию свидетельства о поверке (утвержден Приказом Минпромторга России 31.07.2020г. №2510).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firstLine="34" w:left="0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Методика допуска персонала подрядных организаций к выполнению работ на объектах Общества (Бурейская ГЭС)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firstLine="34" w:left="0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Правила противопожарного режима в Российской Федерации от 16.09.2020 N 1479;</w:t>
            </w:r>
          </w:p>
        </w:tc>
      </w:tr>
      <w:tr>
        <w:trPr/>
        <w:tc>
          <w:tcPr>
            <w:tcW w:w="118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137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</w:tr>
      <w:tr>
        <w:trPr/>
        <w:tc>
          <w:tcPr>
            <w:tcW w:w="1183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3153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Организационно-технические мероприятия по допуску персонала исполнителя</w:t>
            </w:r>
          </w:p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0549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Допуск персонала исполнителя на территорию филиала ПАО «РусГидро»- «Бурейская ГЭС» должен осуществляться в соответствии с Положением о пропускном и внутриобъектовом режимах .</w:t>
            </w:r>
          </w:p>
        </w:tc>
      </w:tr>
      <w:tr>
        <w:trPr/>
        <w:tc>
          <w:tcPr>
            <w:tcW w:w="118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137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</w:tr>
      <w:tr>
        <w:trPr/>
        <w:tc>
          <w:tcPr>
            <w:tcW w:w="118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315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эталонам и средствам измерения, применяемых при поверке</w:t>
            </w:r>
          </w:p>
        </w:tc>
        <w:tc>
          <w:tcPr>
            <w:tcW w:w="105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Эталоны единиц величин, используемые при поверке, должны соответствовать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Положения об эталонах единиц величин, используемых в сфере государственного регулирования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обеспечения единства измерений, средства измерений, используемые при поверке, должны быть утвержденного типа, проверены и соответствовать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требованиям методик поверки.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8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1370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</w:tr>
      <w:tr>
        <w:trPr/>
        <w:tc>
          <w:tcPr>
            <w:tcW w:w="118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3153" w:type="dxa"/>
            <w:tcBorders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hanging="0" w:left="0"/>
              <w:jc w:val="both"/>
              <w:outlineLvl w:val="0"/>
              <w:rPr>
                <w:bCs/>
                <w:sz w:val="24"/>
                <w:szCs w:val="24"/>
              </w:rPr>
            </w:pPr>
            <w:bookmarkStart w:id="32" w:name="_Toc135210827"/>
            <w:bookmarkStart w:id="33" w:name="_Toc440905981"/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Наличие свидетельства на право проведения работ</w:t>
            </w:r>
            <w:bookmarkEnd w:id="32"/>
            <w:bookmarkEnd w:id="33"/>
          </w:p>
        </w:tc>
        <w:tc>
          <w:tcPr>
            <w:tcW w:w="105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317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Исполнитель или соисполнитель обязан представить: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26" w:leader="none"/>
              </w:tabs>
              <w:suppressAutoHyphens w:val="true"/>
              <w:spacing w:before="0" w:after="0"/>
              <w:ind w:firstLine="317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</w:t>
              <w:tab/>
              <w:t>аттестат аккредитации в области обеспечения единства измерений информационно-измерительных систем;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26" w:leader="none"/>
              </w:tabs>
              <w:suppressAutoHyphens w:val="true"/>
              <w:spacing w:before="0" w:after="0"/>
              <w:ind w:firstLine="317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</w:t>
              <w:tab/>
              <w:t>аттестат аккредитации в области обеспечения единства измерений подтверждающий право проведения аттестации методик (методов) измерений и метрологической экспертизы документов в области электрических величин, выполняемых с помощью измерительных систем;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26" w:leader="none"/>
              </w:tabs>
              <w:suppressAutoHyphens w:val="true"/>
              <w:spacing w:before="0" w:after="0"/>
              <w:ind w:firstLine="317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</w:t>
              <w:tab/>
              <w:t>иные разрешительные документы на право выполнения данного вида работ в соответствии с требованиями действующего законодательства и нормативной документации.</w:t>
            </w:r>
          </w:p>
        </w:tc>
      </w:tr>
      <w:tr>
        <w:trPr/>
        <w:tc>
          <w:tcPr>
            <w:tcW w:w="118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137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18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137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</w:tr>
      <w:tr>
        <w:trPr/>
        <w:tc>
          <w:tcPr>
            <w:tcW w:w="118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315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Результат оказания услуг</w:t>
            </w:r>
          </w:p>
        </w:tc>
        <w:tc>
          <w:tcPr>
            <w:tcW w:w="10549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Результатом оказания услуг является: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Внесение результатов поверки в федеральный информационный фонд по обеспечению единства измерений;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Предоставление отчетных документов по результатам проведенных работ (свидетельства о поверке АИИС КУЭ в печатном виде, извещение о непригодности к применению СИ при отрицательных результатах поверки).</w:t>
            </w:r>
          </w:p>
        </w:tc>
      </w:tr>
      <w:tr>
        <w:trPr/>
        <w:tc>
          <w:tcPr>
            <w:tcW w:w="118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137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  <w:r>
              <w:rPr>
                <w:rStyle w:val="Style8"/>
                <w:rFonts w:eastAsia="Times New Roman" w:cs="Times New Roman"/>
                <w:b w:val="false"/>
                <w:bCs/>
                <w:i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</w:t>
            </w:r>
          </w:p>
        </w:tc>
      </w:tr>
      <w:tr>
        <w:trPr/>
        <w:tc>
          <w:tcPr>
            <w:tcW w:w="118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315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Внесение результатов поверки СИ в ФИФ.</w:t>
            </w:r>
          </w:p>
        </w:tc>
        <w:tc>
          <w:tcPr>
            <w:tcW w:w="1054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оказанных услуг производится после внесения результатов п</w:t>
            </w:r>
            <w:r>
              <w:rPr>
                <w:rFonts w:eastAsia="Times New Roman" w:cs="Calibri"/>
                <w:kern w:val="0"/>
                <w:sz w:val="24"/>
                <w:szCs w:val="24"/>
                <w:lang w:val="ru-RU" w:eastAsia="ru-RU" w:bidi="ar-SA"/>
              </w:rPr>
              <w:t xml:space="preserve">роведения поверки АИИС КУЭ </w:t>
            </w:r>
            <w:r>
              <w:rPr>
                <w:rFonts w:eastAsia="Calibri" w:cs="Calibri"/>
                <w:b w:val="false"/>
                <w:bCs w:val="false"/>
                <w:kern w:val="0"/>
                <w:sz w:val="26"/>
                <w:szCs w:val="26"/>
                <w:lang w:val="ru-RU" w:eastAsia="x-none" w:bidi="ar-SA"/>
              </w:rPr>
              <w:t>Филиала ПАО «РусГидро» - «Бурейская ГЭС, ПС 220/35/6 кВ «Куруктачи», трансформаторов тока ВСТ(3 шт.) и ТВ-220.</w:t>
            </w:r>
          </w:p>
        </w:tc>
      </w:tr>
      <w:tr>
        <w:trPr>
          <w:trHeight w:val="813" w:hRule="atLeast"/>
        </w:trPr>
        <w:tc>
          <w:tcPr>
            <w:tcW w:w="118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137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</w:tr>
      <w:tr>
        <w:trPr/>
        <w:tc>
          <w:tcPr>
            <w:tcW w:w="118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315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Документы, передаваемые заказчику по результатам оказанных услуг</w:t>
            </w:r>
          </w:p>
        </w:tc>
        <w:tc>
          <w:tcPr>
            <w:tcW w:w="10549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Передать Заказчику с актами выполненных работ свидетельства о поверке АИИС КУЭ </w:t>
            </w:r>
            <w:r>
              <w:rPr>
                <w:rFonts w:eastAsia="Calibri" w:cs="Calibri"/>
                <w:b w:val="false"/>
                <w:bCs w:val="false"/>
                <w:kern w:val="0"/>
                <w:sz w:val="26"/>
                <w:szCs w:val="26"/>
                <w:lang w:val="ru-RU" w:eastAsia="x-none" w:bidi="ar-SA"/>
              </w:rPr>
              <w:t>Филиала ПАО «РусГидро» - «Бурейская ГЭС, ПС 220/35/6 кВ «Куруктачи»,  трансформаторов тока ВСТ(3 шт.) и ТВ-220.</w:t>
            </w:r>
          </w:p>
        </w:tc>
      </w:tr>
    </w:tbl>
    <w:p>
      <w:pPr>
        <w:sectPr>
          <w:headerReference w:type="default" r:id="rId8"/>
          <w:headerReference w:type="first" r:id="rId9"/>
          <w:footerReference w:type="default" r:id="rId10"/>
          <w:footerReference w:type="first" r:id="rId11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spacing w:before="120" w:after="60"/>
        <w:ind w:hanging="0" w:left="357"/>
        <w:jc w:val="center"/>
        <w:rPr/>
      </w:pPr>
      <w:r>
        <w:rPr/>
      </w:r>
    </w:p>
    <w:sectPr>
      <w:headerReference w:type="default" r:id="rId12"/>
      <w:headerReference w:type="first" r:id="rId13"/>
      <w:footerReference w:type="default" r:id="rId14"/>
      <w:footerReference w:type="first" r:id="rId15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2574C1B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2574C1B6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6</w:t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  <w:bookmarkStart w:id="34" w:name="_GoBack"/>
    <w:bookmarkStart w:id="35" w:name="_GoBack"/>
    <w:bookmarkEnd w:id="35"/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1288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 w:customStyle="1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5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character" w:styleId="WW8Num10z0" w:customStyle="1">
    <w:name w:val="WW8Num10z0"/>
    <w:qFormat/>
    <w:rPr/>
  </w:style>
  <w:style w:type="character" w:styleId="WW8Num12z0" w:customStyle="1">
    <w:name w:val="WW8Num12z0"/>
    <w:qFormat/>
    <w:rPr>
      <w:rFonts w:ascii="Symbol" w:hAnsi="Symbol" w:cs="Symbol"/>
    </w:rPr>
  </w:style>
  <w:style w:type="character" w:styleId="WW8Num15z0" w:customStyle="1">
    <w:name w:val="WW8Num15z0"/>
    <w:qFormat/>
    <w:rPr>
      <w:rFonts w:ascii="Symbol" w:hAnsi="Symbol" w:cs="Symbol"/>
    </w:rPr>
  </w:style>
  <w:style w:type="character" w:styleId="LineNumber" w:customStyle="1">
    <w:name w:val="Line Number"/>
    <w:rPr/>
  </w:style>
  <w:style w:type="character" w:styleId="23">
    <w:name w:val="Основной шрифт абзаца2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Arial Unicode MS" w:cs="Arial Unicode MS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">
    <w:name w:val="index heading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4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5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6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hanging="0" w:left="720"/>
      <w:contextualSpacing/>
    </w:pPr>
    <w:rPr/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7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lang w:eastAsia="en-US"/>
    </w:rPr>
  </w:style>
  <w:style w:type="paragraph" w:styleId="28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9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numbering" w:styleId="WW8Num10" w:customStyle="1">
    <w:name w:val="WW8Num10"/>
    <w:qFormat/>
  </w:style>
  <w:style w:type="numbering" w:styleId="WW8Num12" w:customStyle="1">
    <w:name w:val="WW8Num12"/>
    <w:qFormat/>
  </w:style>
  <w:style w:type="numbering" w:styleId="WW8Num15" w:customStyle="1">
    <w:name w:val="WW8Num15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footer" Target="footer4.xml"/><Relationship Id="rId11" Type="http://schemas.openxmlformats.org/officeDocument/2006/relationships/footer" Target="footer5.xml"/><Relationship Id="rId12" Type="http://schemas.openxmlformats.org/officeDocument/2006/relationships/header" Target="header6.xml"/><Relationship Id="rId13" Type="http://schemas.openxmlformats.org/officeDocument/2006/relationships/header" Target="header7.xml"/><Relationship Id="rId14" Type="http://schemas.openxmlformats.org/officeDocument/2006/relationships/footer" Target="footer6.xml"/><Relationship Id="rId15" Type="http://schemas.openxmlformats.org/officeDocument/2006/relationships/footer" Target="footer7.xml"/><Relationship Id="rId16" Type="http://schemas.openxmlformats.org/officeDocument/2006/relationships/numbering" Target="numbering.xml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<Relationship Id="rId2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ED88E-0E2C-4FC8-AED4-165678ECB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Application>AlterOffice/2026.2.1.0$Linux_X86_64 LibreOffice_project/f008988ffacaa0b2bf57911c2759d08ca79831df</Application>
  <AppVersion>15.0000</AppVersion>
  <Pages>8</Pages>
  <Words>1138</Words>
  <Characters>7530</Characters>
  <CharactersWithSpaces>8667</CharactersWithSpaces>
  <Paragraphs>164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2023-02-21T05:23:00Z</dcterms:created>
  <dc:creator>Быстров Олег Геннадьевич</dc:creator>
  <dc:description/>
  <dc:language>ru-RU</dc:language>
  <cp:lastModifiedBy>lysenkoea@corp.gidroogk.com</cp:lastModifiedBy>
  <cp:lastPrinted>2023-01-24T13:19:00Z</cp:lastPrinted>
  <dcterms:modified xsi:type="dcterms:W3CDTF">2026-10-06T16:15:43Z</dcterms:modified>
  <cp:revision>151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