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numPr>
          <w:ilvl w:val="0"/>
          <w:numId w:val="0"/>
        </w:numPr>
        <w:spacing w:before="120" w:after="480"/>
        <w:ind w:hanging="0" w:left="0"/>
        <w:jc w:val="center"/>
        <w:rPr>
          <w:rFonts w:ascii="Times New Roman" w:hAnsi="Times New Roman"/>
          <w:sz w:val="28"/>
          <w:szCs w:val="28"/>
        </w:rPr>
      </w:pPr>
      <w:r>
        <w:rPr/>
        <w:drawing>
          <wp:inline distT="0" distB="0" distL="0" distR="0">
            <wp:extent cx="5886450" cy="100012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Запрос коммерческих предложений на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hanging="0" w:left="284"/>
        <w:jc w:val="center"/>
        <w:rPr/>
      </w:pPr>
      <w:r>
        <w:rPr>
          <w:rFonts w:eastAsia="Calibri"/>
          <w:b/>
          <w:bCs/>
          <w:i w:val="false"/>
          <w:iCs w:val="false"/>
          <w:sz w:val="26"/>
          <w:szCs w:val="26"/>
          <w:shd w:fill="FFFFFF" w:val="clear"/>
        </w:rPr>
        <w:t>« ОКПД2 74.90.20.149</w:t>
      </w:r>
      <w:r>
        <w:rPr>
          <w:rStyle w:val="Style8"/>
          <w:rFonts w:eastAsia="Calibri"/>
          <w:bCs/>
          <w:i w:val="false"/>
          <w:iCs w:val="false"/>
          <w:sz w:val="26"/>
          <w:szCs w:val="26"/>
          <w:shd w:fill="auto" w:val="clear"/>
        </w:rPr>
        <w:t xml:space="preserve"> Услуги по комплексному контролю эффективности защиты информации на объектах информатизации </w:t>
      </w:r>
      <w:r>
        <w:rPr>
          <w:rFonts w:eastAsia="Calibri"/>
          <w:b/>
          <w:bCs/>
          <w:i w:val="false"/>
          <w:iCs w:val="false"/>
          <w:caps w:val="false"/>
          <w:smallCaps w:val="false"/>
          <w:color w:val="000000"/>
          <w:spacing w:val="0"/>
          <w:sz w:val="26"/>
          <w:szCs w:val="26"/>
          <w:shd w:fill="FFFFFF" w:val="clear"/>
        </w:rPr>
        <w:t xml:space="preserve">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hanging="0" w:left="284"/>
        <w:jc w:val="center"/>
        <w:rPr/>
      </w:pPr>
      <w:r>
        <w:rPr>
          <w:rFonts w:eastAsia="Calibri"/>
          <w:b/>
          <w:bCs/>
          <w:i w:val="false"/>
          <w:iCs w:val="false"/>
          <w:caps w:val="false"/>
          <w:smallCaps w:val="false"/>
          <w:color w:val="000000"/>
          <w:spacing w:val="0"/>
          <w:sz w:val="26"/>
          <w:szCs w:val="26"/>
          <w:shd w:fill="FFFFFF" w:val="clear"/>
        </w:rPr>
        <w:t>Филиал</w:t>
      </w:r>
      <w:r>
        <w:rPr>
          <w:rFonts w:eastAsia="Calibri"/>
          <w:b/>
          <w:bCs/>
          <w:i w:val="false"/>
          <w:iCs w:val="false"/>
          <w:caps w:val="false"/>
          <w:smallCaps w:val="false"/>
          <w:color w:val="000000"/>
          <w:spacing w:val="0"/>
          <w:sz w:val="26"/>
          <w:szCs w:val="26"/>
          <w:shd w:fill="FFFFFF" w:val="clear"/>
        </w:rPr>
        <w:t>у</w:t>
      </w:r>
      <w:r>
        <w:rPr>
          <w:rFonts w:eastAsia="Calibri"/>
          <w:b/>
          <w:bCs/>
          <w:i w:val="false"/>
          <w:iCs w:val="false"/>
          <w:caps w:val="false"/>
          <w:smallCaps w:val="false"/>
          <w:color w:val="000000"/>
          <w:spacing w:val="0"/>
          <w:sz w:val="26"/>
          <w:szCs w:val="26"/>
          <w:shd w:fill="FFFFFF" w:val="clear"/>
        </w:rPr>
        <w:t xml:space="preserve"> ПАО «РусГидро» - «Бурейская ГЭС</w:t>
      </w:r>
      <w:r>
        <w:rPr>
          <w:rStyle w:val="Style8"/>
          <w:rFonts w:eastAsia="Calibri"/>
          <w:b/>
          <w:bCs/>
          <w:i w:val="false"/>
          <w:iCs w:val="false"/>
          <w:sz w:val="26"/>
          <w:szCs w:val="26"/>
          <w:shd w:fill="FFFFFF" w:val="clear"/>
        </w:rPr>
        <w:t>»</w:t>
      </w:r>
      <w:r>
        <w:rPr>
          <w:rFonts w:eastAsia="Calibri"/>
          <w:b/>
          <w:bCs/>
          <w:i w:val="false"/>
          <w:iCs w:val="false"/>
          <w:sz w:val="26"/>
          <w:szCs w:val="26"/>
          <w:shd w:fill="FFFFFF" w:val="clear"/>
        </w:rPr>
        <w:t xml:space="preserve"> </w:t>
      </w:r>
    </w:p>
    <w:p>
      <w:pPr>
        <w:pStyle w:val="Normal"/>
        <w:spacing w:lineRule="auto" w:line="240"/>
        <w:jc w:val="center"/>
        <w:rPr>
          <w:b/>
          <w:bCs/>
        </w:rPr>
      </w:pPr>
      <w:r>
        <w:rPr>
          <w:b/>
          <w:bCs/>
        </w:rPr>
      </w:r>
    </w:p>
    <w:p>
      <w:pPr>
        <w:pStyle w:val="BodyText"/>
        <w:numPr>
          <w:ilvl w:val="0"/>
          <w:numId w:val="0"/>
        </w:numPr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 xml:space="preserve">1. Филиал ПАО «РусГидро» - «Бурейская ГЭС»  (далее – Заказчик) сообщает о проведении анализа коммера право заключения договора </w:t>
      </w:r>
      <w:r>
        <w:rPr>
          <w:rFonts w:eastAsia="Calibri"/>
          <w:b/>
          <w:bCs/>
          <w:i w:val="false"/>
          <w:iCs w:val="false"/>
          <w:sz w:val="26"/>
          <w:szCs w:val="26"/>
          <w:shd w:fill="FFFFFF" w:val="clear"/>
        </w:rPr>
        <w:t>«</w:t>
      </w:r>
      <w:r>
        <w:rPr>
          <w:rStyle w:val="Style8"/>
          <w:rFonts w:eastAsia="Calibri"/>
          <w:bCs/>
          <w:i w:val="false"/>
          <w:iCs w:val="false"/>
          <w:caps w:val="false"/>
          <w:smallCaps w:val="false"/>
          <w:color w:val="000000"/>
          <w:spacing w:val="0"/>
          <w:sz w:val="26"/>
          <w:szCs w:val="26"/>
          <w:shd w:fill="auto" w:val="clear"/>
        </w:rPr>
        <w:t xml:space="preserve">Услуги по комплексному контролю эффективности защиты информации на объектах информатизации </w:t>
      </w:r>
      <w:r>
        <w:rPr>
          <w:rFonts w:eastAsia="Calibri"/>
          <w:b/>
          <w:bCs/>
          <w:i w:val="false"/>
          <w:iCs w:val="false"/>
          <w:caps w:val="false"/>
          <w:smallCaps w:val="false"/>
          <w:color w:val="000000"/>
          <w:spacing w:val="0"/>
          <w:sz w:val="26"/>
          <w:szCs w:val="26"/>
          <w:shd w:fill="FFFFFF" w:val="clear"/>
        </w:rPr>
        <w:t xml:space="preserve"> </w:t>
      </w:r>
      <w:r>
        <w:rPr>
          <w:rStyle w:val="Style8"/>
          <w:rFonts w:eastAsia="Calibri"/>
          <w:b/>
          <w:bCs/>
          <w:i w:val="false"/>
          <w:iCs w:val="false"/>
          <w:sz w:val="26"/>
          <w:szCs w:val="26"/>
          <w:shd w:fill="FFFFFF" w:val="clear"/>
        </w:rPr>
        <w:t>»</w:t>
      </w:r>
      <w:r>
        <w:rPr>
          <w:rFonts w:eastAsia="Calibri"/>
          <w:b/>
          <w:bCs/>
          <w:sz w:val="26"/>
          <w:szCs w:val="26"/>
          <w:shd w:fill="FFFFFF" w:val="clear"/>
        </w:rPr>
        <w:t xml:space="preserve"> </w:t>
      </w:r>
    </w:p>
    <w:p>
      <w:pPr>
        <w:pStyle w:val="BodyText"/>
        <w:numPr>
          <w:ilvl w:val="0"/>
          <w:numId w:val="0"/>
        </w:numPr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 xml:space="preserve">2. Подробные требования к услугам (в том числе, сведения об объеме, месте, сроках их оказания) приведены в приложении 1 к настоящему запросу; </w:t>
      </w:r>
    </w:p>
    <w:p>
      <w:pPr>
        <w:pStyle w:val="BodyText"/>
        <w:numPr>
          <w:ilvl w:val="0"/>
          <w:numId w:val="0"/>
        </w:numPr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>3. 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</w:t>
      </w:r>
    </w:p>
    <w:p>
      <w:pPr>
        <w:pStyle w:val="BodyText"/>
        <w:numPr>
          <w:ilvl w:val="0"/>
          <w:numId w:val="0"/>
        </w:numPr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>4. Ответ с коммерческим предложением должен быть оформлен на официальном бланке Исполнителя и заверен подписью уполномоченного лица, а также печатью организации, и в обязательном порядке содержать следующую информацию: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>- дату направления предложения;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>- полное наименование Исполнителя,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>- юридический адрес, почтовый адрес, ИНН [для юридических лиц] / паспортные данные, адрес регистрации, ИНН (при наличии) [для физических лиц];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>- контактные данные: номер телефона, e-mail, ФИО контактного лица;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>- цену предложения в рублях (без учета НДС и с учетом НДС).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  <w:shd w:fill="FFFF00" w:val="clear"/>
        </w:rPr>
        <w:t xml:space="preserve">6. Срок подачи коммерческих предложений: до 09:00 (МСК) </w:t>
      </w:r>
      <w:r>
        <w:rPr>
          <w:sz w:val="26"/>
          <w:szCs w:val="26"/>
          <w:shd w:fill="FFFF00" w:val="clear"/>
        </w:rPr>
        <w:t>13.10.</w:t>
      </w:r>
      <w:r>
        <w:rPr>
          <w:sz w:val="26"/>
          <w:szCs w:val="26"/>
          <w:shd w:fill="FFFF00" w:val="clear"/>
        </w:rPr>
        <w:t>2026г.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/>
      </w:pPr>
      <w:bookmarkStart w:id="0" w:name="_GoBack"/>
      <w:bookmarkEnd w:id="0"/>
      <w:r>
        <w:rPr>
          <w:sz w:val="26"/>
          <w:szCs w:val="26"/>
        </w:rPr>
        <w:t xml:space="preserve">7. Предложения должны быть направлены в виде сканированной электронной копии и подаются по адресу ЭТП Электронная (торговая) площадка: АО «Российский аукционный дом» </w:t>
      </w:r>
      <w:hyperlink r:id="rId3">
        <w:r>
          <w:rPr>
            <w:rStyle w:val="Hyperlink"/>
            <w:rFonts w:eastAsia="" w:eastAsiaTheme="majorEastAsia"/>
            <w:sz w:val="26"/>
            <w:szCs w:val="26"/>
          </w:rPr>
          <w:t>https://tender.lot-online.ru</w:t>
        </w:r>
      </w:hyperlink>
    </w:p>
    <w:p>
      <w:pPr>
        <w:pStyle w:val="Normal"/>
        <w:keepNext w:val="true"/>
        <w:numPr>
          <w:ilvl w:val="0"/>
          <w:numId w:val="0"/>
        </w:numPr>
        <w:ind w:hanging="0" w:left="0"/>
        <w:jc w:val="lef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0"/>
        </w:numPr>
        <w:spacing w:lineRule="auto" w:line="240"/>
        <w:ind w:hanging="0" w:left="0"/>
        <w:jc w:val="left"/>
        <w:rPr>
          <w:sz w:val="26"/>
          <w:szCs w:val="26"/>
        </w:rPr>
      </w:pPr>
      <w:r>
        <w:rPr>
          <w:sz w:val="26"/>
          <w:szCs w:val="26"/>
        </w:rPr>
        <w:t>Приложения:</w:t>
      </w:r>
    </w:p>
    <w:p>
      <w:pPr>
        <w:pStyle w:val="Normal"/>
        <w:numPr>
          <w:ilvl w:val="0"/>
          <w:numId w:val="0"/>
        </w:numPr>
        <w:spacing w:lineRule="auto" w:line="240"/>
        <w:ind w:hanging="0" w:left="0"/>
        <w:jc w:val="left"/>
        <w:rPr>
          <w:sz w:val="26"/>
          <w:szCs w:val="26"/>
        </w:rPr>
      </w:pPr>
      <w:r>
        <w:rPr>
          <w:sz w:val="26"/>
          <w:szCs w:val="26"/>
        </w:rPr>
        <w:t>1. Техническое задание;</w:t>
      </w:r>
    </w:p>
    <w:p>
      <w:pPr>
        <w:pStyle w:val="Normal"/>
        <w:numPr>
          <w:ilvl w:val="0"/>
          <w:numId w:val="0"/>
        </w:numPr>
        <w:spacing w:lineRule="auto" w:line="240"/>
        <w:ind w:hanging="0" w:left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120" w:after="0"/>
        <w:ind w:hanging="0" w:left="850"/>
        <w:rPr>
          <w:sz w:val="24"/>
          <w:szCs w:val="24"/>
        </w:rPr>
      </w:pPr>
      <w:r>
        <w:rPr>
          <w:sz w:val="24"/>
          <w:szCs w:val="24"/>
        </w:rPr>
      </w:r>
    </w:p>
    <w:sectPr>
      <w:type w:val="nextPage"/>
      <w:pgSz w:w="11906" w:h="16838"/>
      <w:pgMar w:left="1418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d1c15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8d1c15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8d1c15"/>
    <w:pPr>
      <w:keepNext w:val="true"/>
      <w:numPr>
        <w:ilvl w:val="2"/>
        <w:numId w:val="2"/>
      </w:numPr>
      <w:spacing w:lineRule="auto" w:line="240" w:before="120" w:after="12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8d1c1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lineRule="auto" w:line="240" w:before="240" w:after="120"/>
      <w:ind w:firstLine="567" w:left="1134"/>
      <w:outlineLvl w:val="3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qFormat/>
    <w:rsid w:val="008d1c15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8d1c15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6" w:customStyle="1">
    <w:name w:val="Символ сноски"/>
    <w:uiPriority w:val="99"/>
    <w:qFormat/>
    <w:rsid w:val="008d1c1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7" w:customStyle="1">
    <w:name w:val="Текст сноски Знак"/>
    <w:basedOn w:val="DefaultParagraphFont"/>
    <w:uiPriority w:val="99"/>
    <w:qFormat/>
    <w:rsid w:val="008d1c1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комментарий"/>
    <w:qFormat/>
    <w:rsid w:val="008d1c1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8d1c15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Hyperlink">
    <w:name w:val="Hyperlink"/>
    <w:basedOn w:val="DefaultParagraphFont"/>
    <w:uiPriority w:val="99"/>
    <w:unhideWhenUsed/>
    <w:rsid w:val="00225e37"/>
    <w:rPr>
      <w:color w:val="0563C1" w:themeColor="hyperlink"/>
      <w:u w:val="single"/>
    </w:rPr>
  </w:style>
  <w:style w:type="character" w:styleId="Style9">
    <w:name w:val="Основной шрифт абзаца"/>
    <w:qFormat/>
    <w:rPr/>
  </w:style>
  <w:style w:type="character" w:styleId="31">
    <w:name w:val="Основной текст (3)_"/>
    <w:basedOn w:val="Style9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7"/>
      <w:szCs w:val="27"/>
      <w:u w:val="none"/>
    </w:rPr>
  </w:style>
  <w:style w:type="character" w:styleId="32">
    <w:name w:val="Основной текст (3) + Курсив"/>
    <w:basedOn w:val="31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position w:val="0"/>
      <w:sz w:val="27"/>
      <w:sz w:val="27"/>
      <w:szCs w:val="27"/>
      <w:u w:val="none"/>
      <w:vertAlign w:val="baseline"/>
    </w:rPr>
  </w:style>
  <w:style w:type="character" w:styleId="Strong">
    <w:name w:val="Strong"/>
    <w:qFormat/>
    <w:rPr>
      <w:b/>
      <w:bCs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FootnoteText">
    <w:name w:val="Footnote Text"/>
    <w:basedOn w:val="Normal"/>
    <w:link w:val="Style7"/>
    <w:uiPriority w:val="99"/>
    <w:rsid w:val="008d1c15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8d1c15"/>
    <w:pPr>
      <w:numPr>
        <w:ilvl w:val="0"/>
        <w:numId w:val="2"/>
      </w:numPr>
      <w:spacing w:lineRule="auto" w:line="240" w:before="480" w:after="24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tender.lot-online.ru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AlterOffice/2026.2.1.0$Linux_X86_64 LibreOffice_project/f008988ffacaa0b2bf57911c2759d08ca79831df</Application>
  <AppVersion>15.0000</AppVersion>
  <Pages>1</Pages>
  <Words>235</Words>
  <Characters>1582</Characters>
  <CharactersWithSpaces>1809</CharactersWithSpaces>
  <Paragraphs>17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2025-04-01T09:13:00Z</dcterms:created>
  <dc:creator>Лысенко Екатерина Алексеевна</dc:creator>
  <dc:description/>
  <dc:language>ru-RU</dc:language>
  <cp:lastModifiedBy>lysenkoea@corp.gidroogk.com</cp:lastModifiedBy>
  <dcterms:modified xsi:type="dcterms:W3CDTF">2026-10-06T16:51:42Z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