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/>
          <w:b/>
          <w:bCs/>
          <w:i/>
          <w:iCs/>
          <w:sz w:val="26"/>
          <w:szCs w:val="26"/>
        </w:rPr>
        <w:t>«ОКПД2 74.90.20.149</w:t>
      </w:r>
      <w:r>
        <w:rPr>
          <w:rStyle w:val="Style8"/>
          <w:bCs/>
          <w:iCs/>
          <w:shd w:fill="auto" w:val="clear"/>
        </w:rPr>
        <w:t xml:space="preserve"> Услуги по комплексному контролю эффективности защиты информации на объектах информатизации Филиала</w:t>
      </w:r>
      <w:r>
        <w:rPr>
          <w:rFonts w:eastAsia="Calibri"/>
          <w:b/>
          <w:bCs/>
          <w:i/>
          <w:iCs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  <w:lang w:val="en-US"/>
        </w:rPr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Существующее положение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Иные требования и сведения общего характера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/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/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Автоматизированная система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АПК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Административно-производственный корпус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АРМ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Автоматизированное рабочее место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ВП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Выделенное помещение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Государственная тайна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ФСТЭК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Федеральная служба по техническому и экспортному контролю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ОВТ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Объект вычислительной техники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ВТСС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Вспомогательные средства и системы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НДС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Несанкционированный доступ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ПЭМИН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Побочные электромагнитные излучения и наводки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54643696"/>
      <w:bookmarkStart w:id="4" w:name="_Toc46743506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sz w:val="24"/>
        </w:rPr>
      </w:pPr>
      <w:r>
        <w:rPr>
          <w:rFonts w:eastAsia="Calibri"/>
          <w:sz w:val="24"/>
          <w:lang w:eastAsia="x-none"/>
        </w:rPr>
        <w:t>«</w:t>
      </w:r>
      <w:r>
        <w:rPr>
          <w:rFonts w:eastAsia="Calibri"/>
          <w:iCs/>
          <w:sz w:val="24"/>
          <w:szCs w:val="26"/>
          <w:lang w:eastAsia="x-none"/>
        </w:rPr>
        <w:t>ОКПД2 74.90.20.149</w:t>
      </w:r>
      <w:r>
        <w:rPr>
          <w:rStyle w:val="Style8"/>
          <w:b w:val="false"/>
          <w:i w:val="false"/>
          <w:iCs/>
          <w:sz w:val="24"/>
          <w:shd w:fill="auto" w:val="clear"/>
        </w:rPr>
        <w:t xml:space="preserve"> Услуги по комплексному контролю эффективности защиты информации на объектах информатизации Филиала</w:t>
      </w:r>
      <w:r>
        <w:rPr>
          <w:rFonts w:eastAsia="Calibri"/>
          <w:i/>
          <w:sz w:val="24"/>
          <w:lang w:eastAsia="x-none"/>
        </w:rPr>
        <w:t>»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r>
        <w:rPr/>
        <w:t xml:space="preserve"> </w:t>
      </w:r>
      <w:bookmarkEnd w:id="5"/>
    </w:p>
    <w:p>
      <w:pPr>
        <w:pStyle w:val="Normal"/>
        <w:jc w:val="both"/>
        <w:rPr>
          <w:sz w:val="24"/>
        </w:rPr>
      </w:pPr>
      <w:r>
        <w:rPr>
          <w:rStyle w:val="Style8"/>
          <w:b w:val="false"/>
          <w:bCs/>
          <w:i w:val="false"/>
          <w:sz w:val="24"/>
          <w:shd w:fill="auto" w:val="clear"/>
        </w:rPr>
        <w:t>В ходе выполнения работ по оказанию специальных услуг в области информационной безопасности необходимо провести периодический контроль 1 (одного) выделенного помещения (далее - ВП) и 3 (трех) автоматизированных рабочих мест (далее - АРМ) Филиала на соответствие требованиям по безопасности информации, содержащей сведения, составляющие государственную тайну (далее – ГТ), в соответствии с «Требованиями  по  технической защите информации, содержащей сведения, составляющие государственную тайну», утверждены приказом ФСТЭК России от 20.10.2016г. №025) с выдачей заключений по результатам испытаний.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sz w:val="24"/>
        </w:rPr>
      </w:pPr>
      <w:r>
        <w:rPr>
          <w:rStyle w:val="Style8"/>
          <w:b w:val="false"/>
          <w:bCs/>
          <w:i w:val="false"/>
          <w:sz w:val="24"/>
          <w:shd w:fill="auto" w:val="clear"/>
        </w:rPr>
        <w:t>Целью периодического контроля является проверка соответствия ВП и АРМ Филиала требованиям по защите информации, в том числе по следующим каналам утечки информации:</w:t>
      </w:r>
    </w:p>
    <w:p>
      <w:pPr>
        <w:pStyle w:val="Normal"/>
        <w:numPr>
          <w:ilvl w:val="0"/>
          <w:numId w:val="10"/>
        </w:numPr>
        <w:ind w:hanging="360" w:left="851"/>
        <w:jc w:val="both"/>
        <w:rPr>
          <w:iCs/>
          <w:sz w:val="24"/>
        </w:rPr>
      </w:pPr>
      <w:r>
        <w:rPr>
          <w:iCs/>
          <w:sz w:val="24"/>
        </w:rPr>
        <w:t>акустическому излучению информативного речевого сигнала;</w:t>
      </w:r>
    </w:p>
    <w:p>
      <w:pPr>
        <w:pStyle w:val="Normal"/>
        <w:numPr>
          <w:ilvl w:val="0"/>
          <w:numId w:val="10"/>
        </w:numPr>
        <w:ind w:hanging="360" w:left="851"/>
        <w:jc w:val="both"/>
        <w:rPr>
          <w:sz w:val="24"/>
        </w:rPr>
      </w:pPr>
      <w:r>
        <w:rPr>
          <w:iCs/>
          <w:sz w:val="24"/>
        </w:rPr>
        <w:t>вибрационным сигналам, возникающим посредством преобразования информативного акустического сигнала при воздействии его на строительные конструкции и инженерно-технические коммуникации;</w:t>
      </w:r>
    </w:p>
    <w:p>
      <w:pPr>
        <w:pStyle w:val="Normal"/>
        <w:numPr>
          <w:ilvl w:val="0"/>
          <w:numId w:val="10"/>
        </w:numPr>
        <w:ind w:hanging="360" w:left="851"/>
        <w:jc w:val="both"/>
        <w:rPr>
          <w:sz w:val="24"/>
        </w:rPr>
      </w:pPr>
      <w:r>
        <w:rPr>
          <w:rStyle w:val="Style8"/>
          <w:b w:val="false"/>
          <w:bCs/>
          <w:i w:val="false"/>
          <w:sz w:val="24"/>
          <w:shd w:fill="auto" w:val="clear"/>
        </w:rPr>
        <w:t>электрическому сигналу, возникающему посредством преобразования информативного сигнала из акустического в электрический за счет микрофонного эффекта и распространяющемуся по проводам и линиям передачи информации.</w:t>
      </w:r>
    </w:p>
    <w:p>
      <w:pPr>
        <w:pStyle w:val="Heading4"/>
        <w:numPr>
          <w:ilvl w:val="1"/>
          <w:numId w:val="3"/>
        </w:numPr>
        <w:rPr/>
      </w:pPr>
      <w:bookmarkStart w:id="7" w:name="_Toc54643698"/>
      <w:bookmarkStart w:id="8" w:name="_Toc46743508"/>
      <w:r>
        <w:rPr/>
        <w:t>Существующее положение</w:t>
      </w:r>
      <w:bookmarkEnd w:id="8"/>
      <w:r>
        <w:rPr>
          <w:lang w:val="ru-RU"/>
        </w:rPr>
        <w:t xml:space="preserve"> 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i/>
          <w:i/>
        </w:rPr>
      </w:pPr>
      <w:r>
        <w:rPr>
          <w:rStyle w:val="Style8"/>
          <w:b w:val="false"/>
          <w:bCs/>
          <w:i w:val="false"/>
          <w:shd w:fill="auto" w:val="clear"/>
        </w:rPr>
        <w:t>ВП и АРМ расположены в здании на охраняемой территории Филиала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58"/>
        <w:gridCol w:w="2130"/>
        <w:gridCol w:w="411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Выделенное помещение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676731, Амурская область, пгт. Талакан, здание СТК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Кабинет 63</w:t>
            </w:r>
            <w:bookmarkStart w:id="10" w:name="_GoBack"/>
            <w:bookmarkEnd w:id="10"/>
          </w:p>
        </w:tc>
      </w:tr>
      <w:tr>
        <w:trPr>
          <w:trHeight w:val="881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676731, Амурская область, пгт. Талакан, здание СТК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 №1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676731, Амурская область, пгт. Талакан, здание СТК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 №2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676731, Амурская область, пгт. Талакан, здание СТК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 №3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1" w:name="_Toc46743509"/>
      <w:bookmarkStart w:id="12" w:name="_Hlk49857604"/>
      <w:bookmarkStart w:id="13" w:name="_Toc54643700"/>
      <w:r>
        <w:rPr/>
        <w:t xml:space="preserve">Информация в отношении исполнения договора, </w:t>
      </w:r>
      <w:bookmarkStart w:id="14" w:name="_Hlk46492347"/>
      <w:r>
        <w:rPr/>
        <w:t xml:space="preserve">которая должна быть учтена при подготовке заявки </w:t>
      </w:r>
      <w:bookmarkEnd w:id="14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bookmarkEnd w:id="1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both"/>
        <w:rPr>
          <w:sz w:val="24"/>
        </w:rPr>
      </w:pPr>
      <w:r>
        <w:rPr>
          <w:rStyle w:val="Style8"/>
          <w:b w:val="false"/>
          <w:i w:val="false"/>
          <w:iCs/>
          <w:sz w:val="24"/>
          <w:shd w:fill="auto" w:val="clear"/>
        </w:rPr>
        <w:t>Необходимо наличие действующих на момент оказания услуг: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both"/>
        <w:rPr>
          <w:iCs/>
          <w:sz w:val="24"/>
        </w:rPr>
      </w:pPr>
      <w:r>
        <w:rPr>
          <w:iCs/>
          <w:sz w:val="24"/>
        </w:rPr>
        <w:t>-Аттестата аккредитации органа по аттестации в системе сертификации средств защиты информации Федеральной службы по техническому и экспертному контролю (ФСТЭК) России.</w:t>
      </w:r>
    </w:p>
    <w:p>
      <w:pPr>
        <w:pStyle w:val="Normal"/>
        <w:spacing w:before="0" w:after="0"/>
        <w:contextualSpacing/>
        <w:jc w:val="both"/>
        <w:rPr>
          <w:iCs/>
          <w:sz w:val="24"/>
        </w:rPr>
      </w:pPr>
      <w:r>
        <w:rPr>
          <w:iCs/>
          <w:sz w:val="24"/>
        </w:rPr>
        <w:t>-Лицензии ФСТЭК России на осуществление мероприятий и (или) оказание услуг в области защиты государственной тайны.</w:t>
      </w:r>
    </w:p>
    <w:p>
      <w:pPr>
        <w:pStyle w:val="Normal"/>
        <w:rPr>
          <w:iCs/>
          <w:sz w:val="24"/>
        </w:rPr>
      </w:pPr>
      <w:r>
        <w:rPr>
          <w:iCs/>
          <w:sz w:val="24"/>
        </w:rPr>
        <w:t>-Наличие у Исполнителя услуг по договору справки о допуске по соответствующей форме, предписания на выполнение задания (в соответствии с Постановлением Правительства РФ от 6 февраля 2010 г. N 63 "Об утверждении Инструкции о порядке допуска должностных лиц и граждан Российской Федерации к государственной тайне").</w:t>
      </w:r>
    </w:p>
    <w:p>
      <w:pPr>
        <w:pStyle w:val="Normal"/>
        <w:jc w:val="both"/>
        <w:rPr>
          <w:iCs/>
          <w:sz w:val="24"/>
        </w:rPr>
      </w:pPr>
      <w:r>
        <w:rPr>
          <w:iCs/>
          <w:sz w:val="24"/>
        </w:rPr>
        <w:t>-Необходимо наличие учредительных документов (ОГРН, выписка ЕГРЮЛ, Устав, свидетельство о постановке на учет в налоговом органе и др. правоустанавливающие документы согласно законодательству РФ).</w:t>
      </w:r>
    </w:p>
    <w:p>
      <w:pPr>
        <w:pStyle w:val="Normal"/>
        <w:jc w:val="both"/>
        <w:rPr>
          <w:iCs/>
          <w:sz w:val="24"/>
        </w:rPr>
      </w:pPr>
      <w:r>
        <w:rPr>
          <w:iCs/>
          <w:sz w:val="24"/>
        </w:rPr>
        <w:t>-Исполнитель не должен находиться в процессе ликвидации, реорганизации, банкротства на время исполнения договорных обязательств, на имущество не должен быть наложен арест.</w:t>
      </w:r>
    </w:p>
    <w:p>
      <w:pPr>
        <w:pStyle w:val="Normal"/>
        <w:spacing w:before="0" w:after="0"/>
        <w:contextualSpacing/>
        <w:jc w:val="both"/>
        <w:rPr>
          <w:iCs/>
          <w:sz w:val="24"/>
        </w:rPr>
      </w:pPr>
      <w:r>
        <w:rPr>
          <w:iCs/>
          <w:sz w:val="24"/>
        </w:rPr>
        <w:t>-Отсутствие нахождения в реестре недобросовестных контрагентов ПАО «РусГидро», либо в отношении Участника со стороны ПАО «РусГидро» не должно быть действующей на момент объявления конкурентной процедуры и подведения его итогов претензионно-исковой работы, связанной с неисполнением договорных обязательств на объектах ПАО «РусГидро».</w:t>
      </w:r>
    </w:p>
    <w:p>
      <w:pPr>
        <w:pStyle w:val="Normal"/>
        <w:spacing w:before="0" w:after="0"/>
        <w:contextualSpacing/>
        <w:jc w:val="both"/>
        <w:rPr>
          <w:iCs/>
          <w:sz w:val="24"/>
        </w:rPr>
      </w:pPr>
      <w:r>
        <w:rPr>
          <w:iCs/>
          <w:sz w:val="24"/>
        </w:rPr>
        <w:t>-Наличие положительных отзывов контрагентов, в части оказания подобных услуг.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4"/>
          <w:shd w:fill="auto" w:val="clear"/>
        </w:rPr>
      </w:pPr>
      <w:r>
        <w:rPr>
          <w:rStyle w:val="Style8"/>
          <w:b w:val="false"/>
          <w:bCs/>
          <w:i w:val="false"/>
          <w:iCs/>
          <w:sz w:val="24"/>
          <w:shd w:fill="auto" w:val="clear"/>
        </w:rPr>
        <w:t>-Общий опыт работы (срок существования компании) должен составлять не менее 3-х лет.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both"/>
        <w:rPr>
          <w:sz w:val="24"/>
        </w:rPr>
      </w:pPr>
      <w:r>
        <w:rPr>
          <w:sz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</w:rPr>
      </w:pPr>
      <w:bookmarkStart w:id="15" w:name="_Toc54643702"/>
      <w:bookmarkStart w:id="16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5"/>
      <w:bookmarkEnd w:id="16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rPr/>
      </w:pPr>
      <w:bookmarkStart w:id="17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rPr/>
      </w:pPr>
      <w:bookmarkStart w:id="18" w:name="_Toc54643704"/>
      <w:r>
        <w:rPr>
          <w:lang w:val="ru-RU"/>
        </w:rPr>
        <w:t>Требования к перечню и объему услуг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9" w:name="_Toc54643705"/>
      <w:bookmarkStart w:id="2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>и объем оказываемых услуг</w:t>
      </w:r>
      <w:bookmarkEnd w:id="19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1"/>
        <w:gridCol w:w="2120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hd w:fill="auto" w:val="clear"/>
                <w:lang w:eastAsia="x-none"/>
              </w:rPr>
              <w:t>Оценка эффективности защиты (защищенности) информации от утечки по техническим каналам и от несанкционированного доступа</w:t>
            </w: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zCs w:val="24"/>
                <w:shd w:fill="auto" w:val="clear"/>
                <w:lang w:eastAsia="x-none"/>
              </w:rPr>
              <w:t xml:space="preserve"> ВП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hd w:fill="auto" w:val="clear"/>
                <w:lang w:eastAsia="x-none"/>
              </w:rPr>
              <w:t>Оценка эффективности защиты (защищенности) информации от утечки по техническим каналам и от несанкционированного доступа</w:t>
            </w: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zCs w:val="24"/>
                <w:shd w:fill="auto" w:val="clear"/>
                <w:lang w:eastAsia="x-none"/>
              </w:rPr>
              <w:t xml:space="preserve"> АРМ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1" w:name="_Toc54643706"/>
      <w:bookmarkStart w:id="22" w:name="_Toc51339696"/>
      <w:r>
        <w:rPr>
          <w:lang w:val="ru-RU"/>
        </w:rPr>
        <w:t xml:space="preserve">Требования </w:t>
      </w:r>
      <w:bookmarkEnd w:id="22"/>
      <w:r>
        <w:rPr>
          <w:lang w:val="ru-RU"/>
        </w:rPr>
        <w:t>к срокам оказания услуг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3" w:name="_Toc54643707"/>
      <w:bookmarkStart w:id="24" w:name="_Toc50125127"/>
      <w:bookmarkStart w:id="25" w:name="_Toc51339697"/>
      <w:bookmarkStart w:id="26" w:name="_Toc50125126_Копия_1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7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4"/>
      <w:bookmarkEnd w:id="25"/>
      <w:bookmarkEnd w:id="27"/>
      <w:r>
        <w:rPr>
          <w:sz w:val="24"/>
          <w:szCs w:val="24"/>
          <w:lang w:val="ru-RU"/>
        </w:rPr>
        <w:t>оказания услуг</w:t>
      </w:r>
      <w:bookmarkEnd w:id="23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3176"/>
        <w:gridCol w:w="2353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zCs w:val="24"/>
                <w:shd w:fill="auto" w:val="clear"/>
                <w:lang w:eastAsia="x-none"/>
              </w:rPr>
              <w:t>Оценка эффективности защиты (защищенности) информации от утечки по техническим каналам и от несанкционированного доступа ВП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sz w:val="24"/>
                <w:szCs w:val="24"/>
                <w:shd w:fill="auto" w:val="clear"/>
                <w:lang w:eastAsia="x-none"/>
              </w:rPr>
              <w:t>Оценка эффективности защиты (защищенности) информации от утечки по техническим каналам и от несанкционированного доступа АРМ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8" w:name="_Toc54643709"/>
      <w:bookmarkStart w:id="29" w:name="_Toc51339698"/>
      <w:bookmarkStart w:id="30" w:name="_Toc54643708"/>
      <w:bookmarkStart w:id="31" w:name="_Toc46743511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9"/>
      <w:r>
        <w:rPr>
          <w:sz w:val="24"/>
          <w:szCs w:val="24"/>
          <w:lang w:val="ru-RU"/>
        </w:rPr>
        <w:t xml:space="preserve">качеству </w:t>
      </w:r>
      <w:bookmarkEnd w:id="28"/>
      <w:r>
        <w:rPr>
          <w:sz w:val="24"/>
          <w:szCs w:val="24"/>
          <w:lang w:val="ru-RU"/>
        </w:rPr>
        <w:t>услуг по оценке эффективности защиты (защищенности) информации от утечки по техническим каналам и от несанкционированного доступа.</w:t>
      </w:r>
    </w:p>
    <w:tbl>
      <w:tblPr>
        <w:tblStyle w:val="affff7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623"/>
        <w:gridCol w:w="1816"/>
        <w:gridCol w:w="4051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8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6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40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2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2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0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наименованию</w:t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Heading1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Оценка эффективности защиты (защищенности) информации от утечки по техническим каналам и от несанкционированного доступа</w:t>
            </w:r>
          </w:p>
        </w:tc>
        <w:tc>
          <w:tcPr>
            <w:tcW w:w="181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потребности</w:t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Основание на оказание услуг: пункт 2.9 «Требований по технической защите информации, содержащей сведения, составляющие государственную тайну», утвержденные приказом ФСТЭК России от 20.10.2016г.  №025</w:t>
            </w:r>
          </w:p>
        </w:tc>
        <w:tc>
          <w:tcPr>
            <w:tcW w:w="181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статусу</w:t>
            </w:r>
          </w:p>
        </w:tc>
        <w:tc>
          <w:tcPr>
            <w:tcW w:w="46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Необходимо наличие действующих на момент оказания услуг: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-Аттестата аккредитации органа по аттестации в системе сертификации средств защиты информации Федеральной службы по техническому и экспертному контролю (ФСТЭК) России.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-Лицензии ФСТЭК России на осуществление мероприятий и (или) оказание услуг в области защиты государственной тайны.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-Наличие у Исполнителя услуг по договору справки о допуске по соответствующей форме, предписания на выполнение задания (в соответствии с Постановлением Правительства РФ от 6 февраля 2010 г. N 63 "Об утверждении Инструкции о порядке допуска должностных лиц и граждан Российской Федерации к государственной тайне").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-Необходимо наличие учредительных документов (ОГРН, выписка ЕГРЮЛ, Устав, свидетельство о постановке на учет в налоговом органе и др. правоустанавливающие документы согласно законодательству РФ).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-Исполнитель не должен находиться в процессе ликвидации, реорганизации, банкротства на время исполнения договорных обязательств, на имущество не должен быть наложен арест.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-Необходимо предоставить копию бухгалтерского баланса за последний отчетный период 2025 года.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-Отсутствие нахождения в реестре недобросовестных контрагентов ПАО «РусГидро», либо в отношении Участника со стороны ПАО «РусГидро» не должно быть действующей на момент объявления конкурентной процедуры и подведения его итогов претензионно-исковой работы, связанной с неисполнением договорных обязательств на объектах ПАО «РусГидро».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-Наличие положительных отзывов контрагентов, в части оказания подобных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-Общий опыт работы (срок существования компании) должен составлять не менее 3-х лет.</w:t>
            </w:r>
          </w:p>
        </w:tc>
        <w:tc>
          <w:tcPr>
            <w:tcW w:w="181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/>
            </w:pPr>
            <w:r>
              <w:rPr>
                <w:rStyle w:val="Style8"/>
                <w:rFonts w:cs="Times New Roman"/>
                <w:b w:val="false"/>
                <w:i w:val="false"/>
                <w:kern w:val="0"/>
                <w:shd w:fill="auto" w:val="clear"/>
                <w:lang w:val="ru-RU" w:eastAsia="ru-RU" w:bidi="ar-SA"/>
              </w:rPr>
              <w:t>-лицензия ФСТЭК России на осуществление мероприятий и (или) оказание услуг в области защиты государственной тайны;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/>
            </w:pPr>
            <w:r>
              <w:rPr>
                <w:rStyle w:val="Style8"/>
                <w:rFonts w:cs="Times New Roman"/>
                <w:b w:val="false"/>
                <w:i w:val="false"/>
                <w:kern w:val="0"/>
                <w:shd w:fill="auto" w:val="clear"/>
                <w:lang w:val="ru-RU" w:eastAsia="ru-RU" w:bidi="ar-SA"/>
              </w:rPr>
              <w:t>-лицензия на проведение работ, связанных с использованием сведений, составляющих государственную тайну;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/>
            </w:pPr>
            <w:r>
              <w:rPr>
                <w:rStyle w:val="Style8"/>
                <w:rFonts w:cs="Times New Roman"/>
                <w:b w:val="false"/>
                <w:i w:val="false"/>
                <w:kern w:val="0"/>
                <w:shd w:fill="auto" w:val="clear"/>
                <w:lang w:val="ru-RU" w:eastAsia="ru-RU" w:bidi="ar-SA"/>
              </w:rPr>
              <w:t>-справки о допуске по соответствующей форме, предписания на выполнение задания (в соответствии с Постановлением Правительства РФ от 6 февраля 2010 г. N 63 "Об утверждении Инструкции о порядке допуска должностных лиц и граждан Российской Федерации к государственной тайне");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/>
            </w:pPr>
            <w:r>
              <w:rPr>
                <w:rStyle w:val="Style8"/>
                <w:rFonts w:cs="Times New Roman"/>
                <w:b w:val="false"/>
                <w:i w:val="false"/>
                <w:kern w:val="0"/>
                <w:shd w:fill="auto" w:val="clear"/>
                <w:lang w:val="ru-RU" w:eastAsia="ru-RU" w:bidi="ar-SA"/>
              </w:rPr>
              <w:t>-ОГРН, выписка ЕГРЮЛ, Устав, свидетельство о постановке на учет в налоговом органе и др. правоустанавливающие документы согласно законодательству РФ</w:t>
            </w:r>
            <w:r>
              <w:rPr>
                <w:rFonts w:cs="Times New Roman"/>
                <w:kern w:val="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816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по проведению оценки эффективности</w:t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выполнения работ по оказанию услуг выезд специалистов Исполнителя для проведения оценки эффективности на объектах Заказчика обязателен</w:t>
            </w:r>
          </w:p>
        </w:tc>
        <w:tc>
          <w:tcPr>
            <w:tcW w:w="181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по проведению оценки эффективности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Инструментальный контроль выделенного помещения: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Оценка ВП на соответствие организационно-режимным требованиям по защите информации.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Инструментальный контроль выполнения норм противодействия акустической речевой разведке, в том числе: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по акустическому каналу;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по виброакустическому каналу;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по оптико-электронному каналу;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Исследования вспомогательных технических средств и систем (ВТСС), установленных в помещении от утечки речевой информации за счет акустоэлектрических преобразований и модуляций встроенных генераторов акустическими сигналами.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Оценка результатов исследований и подготовка отчетной документации. Оформление заключения по результатам проведенных мероприятий периодического контроля.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Инструментальный контроль объектов вычислительной техники.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Оценка соответствия технологического процесса обработки информации установленному классу защищенности автоматизированной системы (АС) от несанкционированного доступа (НСД).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Оценка автоматизированной системы на соответствие организационно-техническим требованиям по защите информации, в том числе: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достаточность и содержание представленных документов;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состав и структура программно-технических средств автоматизированной системы;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правильность классификации и категорирования;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проверка уровня подготовки кадров, и оценка распределения ответственности персонала;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оценка соответствия сертификатов на средства защиты информации и документов на средства вычислительной техники.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Инструментальный контроль защищенности объекта от утечки по каналу побочных электромагнитных излучений и наводок (ПЭМИН).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Инструментальная оценка защищенности объекта на счет наводок на ВТСС.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Инструментальная оценка защищенности объекта от утечки по каналам электропитания и заземления.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Измерение реального затухания электромагнитных сигналов.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Оценка эффективности применяемых средств активной защиты.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Испытание АС на соответствие требованиям по защите информации от НСД.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Подготовка отчетной документации автоматизированной системы. Оформление заключения по результатам проведенных мероприятий периодического контроля.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Сметы должны быть представлены в формате «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Excel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».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NewRomanPSMT;Times New Rom" w:cs="Times New Roman"/>
                <w:kern w:val="0"/>
                <w:sz w:val="24"/>
                <w:szCs w:val="24"/>
                <w:lang w:val="ru-RU" w:eastAsia="ru-RU" w:bidi="ar-SA"/>
              </w:rPr>
              <w:t xml:space="preserve">По результатам специальных проверок специализированная организация должна выдать соответствующие заключение установленного образца в соответствии с действующими нормативными документами в области защиты информации.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NewRomanPSMT;Times New Rom" w:cs="Times New Roman"/>
                <w:kern w:val="0"/>
                <w:sz w:val="24"/>
                <w:szCs w:val="24"/>
                <w:lang w:val="ru-RU" w:eastAsia="ru-RU" w:bidi="ar-SA"/>
              </w:rPr>
              <w:t>Заключение должно быть передано Заказчику не позднее даты подписания актов приемки.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по проведению оценки эффективности</w:t>
            </w:r>
          </w:p>
        </w:tc>
        <w:tc>
          <w:tcPr>
            <w:tcW w:w="462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«Требования по технической защите информации, содержащей сведения, составляющие государственную тайну», утвержденные приказом ФСТЭК России от 20.10.2016г.  №025;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Постановлением Правительства РФ от 6 февраля 2010 г. N 63 "Об утверждении Инструкции о порядке допуска должностных лиц и граждан Российской Федерации к государственной тайне";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Инструкции по обеспечению режима секретности в РФ, утвержденной Постановлением Правительства РФ от 05.01.2004 года № 3-1</w:t>
            </w:r>
          </w:p>
        </w:tc>
        <w:tc>
          <w:tcPr>
            <w:tcW w:w="181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405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Любая информация, полученная в любом виде и на любых носителях в рамках выполнения работ, может быть передана третьим лицам и/или использована в целях, не связанных с выполнением работ, только по письменному согласованию с Заказчиком.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Обработка, хранение и передача информации, связанной с выполнением работ должна осуществляться с соблюдением соответствующего режима конфиденциальности.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случаях выявления фактов или предпосылок утечки информации, связанной с выполнением работ, Исполнитель обязан уведомить СБ Заказчика немедленно по телефону +7416342833 (доб.26-26)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405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применяемым механизмам, оснастке и прочим средствам, необходимым для выполнения услуг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обеспечивающие проведение аттестации в соответствии с «Требованиями по технической защите информации, содержащей сведения, составляющие государственную тайну», утвержденные приказом ФСТЭК России от 20.10.2016г. №025;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«Порядком организации и проведения работ по аттестации объектов информатизации на соответствующие требования о защите информации, содержащей сведения, составляющие государственную тайну», утвержденные приказом ФСТЭК России от 28.09.2020г.  №110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квалификации персонала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пунктом 1.1.3.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пунктами 1.3.1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Представляемая документация должна в полном объеме соответствовать требованиям ФСТЭК России и ФСБ России в части обеспечения безопасности информации, сведений составляющих государственную тайну.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персоналом Исполнителя требований по охране труда, пожарной безопасности, правил пропускного и внутриобъектового режимов Заказчика в соответствии с законодательством Российской Федерации и локальными нормативными актами Заказчика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окончании оказания Услуг Исполнитель направляет Заказчику отчетные документы, предусмотренные п.п. 2.4.1 настоящих технических требований.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Оплата по Договору осуществляется в следующем порядке: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-Авансовый платеж за Услуги выплачивается в размере 30% Цены Договора, в течение 10 календарных дней с даты подписания Договора и получения Заказчиком счета, выставленного Исполнителем.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-Окончательная оплата в размере 70% Цены Договора, без учета НДС,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(при этом НДС исчисляется дополнительно по ставке, установленной статьёй 164 НК РФ),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выплачивается в течение 10 (десяти) рабочих дней с даты подписания Акта сдачи-приемки Услуг, после получения Заказчиком счета, выставленного Исполнителем. (При этом в случае получения Заказчиком счета Исполнителя позднее, чем за 10 календарных дней до истечения указанного срока на оплату, окончательная оплата по Договору осуществляется в течение 10 календарных дней с даты получения Заказчиком счета Исполнителя.)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-Расчеты осуществляются в валюте Российской Федерации путем перечисления Заказчиком денежных средств на расчетный счет Исполнителя, указанный в разделе 13 Договора или в счете Исполнителя. Обязательства Заказчика по оплате считаются выполненными с момента списания денежных средств с расчетного счета Заказчика.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1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05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8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 окончании оказания Услуг Исполнитель направляет Заказчику подписанный со своей стороны Акт сдачи-приемки услуг в 2 (двух) экземплярах.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Оформленные заключения по результатам проведенных мероприятий периодического контроля ВП и АРМ.</w:t>
            </w:r>
          </w:p>
        </w:tc>
        <w:tc>
          <w:tcPr>
            <w:tcW w:w="18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05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>
          <w:lang w:val="ru-RU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>
          <w:lang w:val="ru-RU"/>
        </w:rPr>
      </w:pPr>
      <w:r>
        <w:rPr/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</w:rPr>
      </w:pPr>
      <w:r>
        <w:rPr>
          <w:iCs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Normal"/>
        <w:rPr>
          <w:rFonts w:eastAsia="Calibri"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33" w:name="_Toc46743519_Копия_1"/>
      <w:bookmarkStart w:id="34" w:name="_Toc51339699_Копия_1"/>
      <w:bookmarkStart w:id="35" w:name="_Toc46743519_Копия_1"/>
      <w:bookmarkStart w:id="36" w:name="_Toc51339699_Копия_1"/>
      <w:bookmarkEnd w:id="35"/>
      <w:bookmarkEnd w:id="36"/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Heading1"/>
        <w:keepLines/>
        <w:numPr>
          <w:ilvl w:val="0"/>
          <w:numId w:val="0"/>
        </w:numPr>
        <w:ind w:hanging="0" w:left="357"/>
        <w:jc w:val="center"/>
        <w:rPr>
          <w:iCs/>
          <w:caps/>
        </w:rPr>
      </w:pPr>
      <w:r>
        <w:rPr/>
      </w:r>
      <w:r>
        <w:br w:type="page"/>
      </w:r>
    </w:p>
    <w:p>
      <w:pPr>
        <w:pStyle w:val="Normal"/>
        <w:spacing w:before="0" w:after="120"/>
        <w:jc w:val="right"/>
        <w:rPr>
          <w:rStyle w:val="Style8"/>
          <w:b w:val="false"/>
          <w:bCs/>
          <w:i w:val="false"/>
          <w:i w:val="false"/>
          <w:caps/>
          <w:sz w:val="24"/>
          <w:szCs w:val="24"/>
          <w:shd w:fill="auto" w:val="clear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>
      <w:b/>
    </w:rPr>
  </w:style>
  <w:style w:type="character" w:styleId="WW8Num3z1" w:customStyle="1">
    <w:name w:val="WW8Num3z1"/>
    <w:qFormat/>
    <w:rPr>
      <w:b w:val="fals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C2916-9EEE-45BE-A961-8F224FEA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AlterOffice/2026.2.1.0$Linux_X86_64 LibreOffice_project/f008988ffacaa0b2bf57911c2759d08ca79831df</Application>
  <AppVersion>15.0000</AppVersion>
  <Pages>17</Pages>
  <Words>2083</Words>
  <Characters>14510</Characters>
  <CharactersWithSpaces>16312</CharactersWithSpaces>
  <Paragraphs>284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2026-10-06T05:45:00Z</dcterms:created>
  <dc:creator>Быстров Олег Геннадьевич</dc:creator>
  <dc:description/>
  <dc:language>ru-RU</dc:language>
  <cp:lastModifiedBy>lysenkoea@corp.gidroogk.com</cp:lastModifiedBy>
  <cp:lastPrinted>2006-07-26T14:04:00Z</cp:lastPrinted>
  <dcterms:modified xsi:type="dcterms:W3CDTF">2026-10-06T16:54:53Z</dcterms:modified>
  <cp:revision>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