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5.xml" ContentType="application/vnd.openxmlformats-officedocument.wordprocessingml.header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true"/>
        <w:keepLines w:val="true"/>
        <w:pBdr/>
        <w:spacing/>
        <w:ind/>
        <w:jc w:val="righ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требования.</w:t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«ОКПД2 - 33.12.11.000. Капитальный ремонт дизель-генератора Caterpillar ст. №2  п. Саскылах Анабарский РЭС»</w:t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keepNext w:val="true"/>
        <w:keepLines w:val="true"/>
        <w:pBdr/>
        <w:spacing/>
        <w:ind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Bdr/>
        <w:spacing/>
        <w:ind/>
        <w:rPr>
          <w:sz w:val="26"/>
          <w:szCs w:val="26"/>
        </w:rPr>
      </w:pPr>
      <w:r>
        <w:br w:type="page" w:clear="all"/>
      </w:r>
      <w:r>
        <w:rPr>
          <w:sz w:val="26"/>
          <w:szCs w:val="26"/>
        </w:rPr>
      </w:r>
    </w:p>
    <w:p>
      <w:pPr>
        <w:pBdr/>
        <w:spacing/>
        <w:ind/>
        <w:jc w:val="center"/>
        <w:rPr>
          <w:b/>
        </w:rPr>
      </w:pPr>
      <w:r>
        <w:rPr>
          <w:b/>
        </w:rPr>
        <w:t xml:space="preserve">СОДЕРЖАНИЕ</w:t>
      </w:r>
      <w:r>
        <w:rPr>
          <w:b/>
        </w:rPr>
      </w:r>
    </w:p>
    <w:sdt>
      <w:sdtPr>
        <w15:appearance w15:val="boundingBox"/>
        <w:id w:val="-1885859426"/>
        <w:docPartObj>
          <w:docPartGallery w:val="Table of Contents"/>
          <w:docPartUnique w:val="true"/>
        </w:docPartObj>
        <w:rPr/>
      </w:sdtPr>
      <w:sdtContent>
        <w:p>
          <w:pPr>
            <w:pStyle w:val="949"/>
            <w:pBdr/>
            <w:tabs>
              <w:tab w:val="left" w:leader="none" w:pos="567"/>
              <w:tab w:val="right" w:leader="dot" w:pos="10053"/>
            </w:tabs>
            <w:spacing/>
            <w:ind/>
            <w:rPr>
              <w:caps/>
            </w:rPr>
          </w:pPr>
          <w:r>
            <w:fldChar w:fldCharType="begin"/>
          </w:r>
          <w:r>
            <w:rPr>
              <w:rStyle w:val="940"/>
            </w:rPr>
            <w:instrText xml:space="preserve"> TOC \z \o "1-4" \u \h</w:instrText>
          </w:r>
          <w:r>
            <w:rPr>
              <w:rStyle w:val="940"/>
            </w:rPr>
            <w:fldChar w:fldCharType="separate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r>
          <w:hyperlink w:tooltip="#_Toc1" w:anchor="_Toc1" w:history="1">
            <w:r>
              <w:rPr>
                <w:rFonts w:ascii="Times New Roman" w:hAnsi="Times New Roman" w:eastAsia="Calibri" w:cs="Times New Roman"/>
              </w:rPr>
              <w:t xml:space="preserve">1.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Общие сведения</w:t>
            </w:r>
            <w:r>
              <w:rPr>
                <w:rStyle w:val="934"/>
                <w:caps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caps/>
            </w:rPr>
          </w:r>
        </w:p>
        <w:p>
          <w:pPr>
            <w:pStyle w:val="951"/>
            <w:pBdr/>
            <w:tabs>
              <w:tab w:val="left" w:leader="none" w:pos="1417"/>
              <w:tab w:val="right" w:leader="dot" w:pos="10053"/>
            </w:tabs>
            <w:spacing/>
            <w:ind/>
            <w:rPr/>
          </w:pPr>
          <w:hyperlink w:tooltip="#_Toc2" w:anchor="_Toc2" w:history="1">
            <w:r>
              <w:rPr>
                <w:rFonts w:ascii="Times New Roman" w:hAnsi="Times New Roman" w:eastAsia="Calibri" w:cs="Times New Roman"/>
              </w:rPr>
              <w:t xml:space="preserve">1.1.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Обозначения и сокращения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51"/>
            <w:pBdr/>
            <w:tabs>
              <w:tab w:val="left" w:leader="none" w:pos="1417"/>
              <w:tab w:val="right" w:leader="dot" w:pos="10053"/>
            </w:tabs>
            <w:spacing/>
            <w:ind/>
            <w:rPr>
              <w:i/>
              <w:shd w:val="clear" w:color="auto" w:fill="ffff99"/>
            </w:rPr>
          </w:pPr>
          <w:hyperlink w:tooltip="#_Toc3" w:anchor="_Toc3" w:history="1">
            <w:r>
              <w:rPr>
                <w:rFonts w:ascii="Times New Roman" w:hAnsi="Times New Roman" w:eastAsia="Calibri" w:cs="Times New Roman"/>
              </w:rPr>
              <w:t xml:space="preserve">1.2.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Наименование объекта, место выполнения работ</w:t>
            </w:r>
            <w:r>
              <w:rPr>
                <w:rStyle w:val="934"/>
                <w:i/>
                <w:shd w:val="clear" w:color="auto" w:fill="ffff99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i/>
              <w:shd w:val="clear" w:color="auto" w:fill="ffff99"/>
            </w:rPr>
          </w:r>
        </w:p>
        <w:p>
          <w:pPr>
            <w:pStyle w:val="951"/>
            <w:pBdr/>
            <w:tabs>
              <w:tab w:val="left" w:leader="none" w:pos="1417"/>
              <w:tab w:val="right" w:leader="dot" w:pos="10053"/>
            </w:tabs>
            <w:spacing/>
            <w:ind/>
            <w:rPr/>
          </w:pPr>
          <w:hyperlink w:tooltip="#_Toc4" w:anchor="_Toc4" w:history="1">
            <w:r>
              <w:rPr>
                <w:rFonts w:ascii="Times New Roman" w:hAnsi="Times New Roman" w:eastAsia="Calibri" w:cs="Times New Roman"/>
              </w:rPr>
              <w:t xml:space="preserve">1.3.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Цель </w:t>
            </w:r>
            <w:r>
              <w:rPr>
                <w:rStyle w:val="934"/>
              </w:rPr>
              <w:t xml:space="preserve">использования закупаемой услуги</w:t>
            </w:r>
            <w:r>
              <w:rPr>
                <w:rStyle w:val="934"/>
              </w:rPr>
              <w:t xml:space="preserve"> 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49"/>
            <w:pBdr/>
            <w:tabs>
              <w:tab w:val="left" w:leader="none" w:pos="567"/>
              <w:tab w:val="right" w:leader="dot" w:pos="10053"/>
            </w:tabs>
            <w:spacing/>
            <w:ind/>
            <w:rPr/>
          </w:pPr>
          <w:hyperlink w:tooltip="#_Toc5" w:anchor="_Toc5" w:history="1">
            <w:r>
              <w:rPr>
                <w:rFonts w:ascii="Times New Roman" w:hAnsi="Times New Roman" w:eastAsia="Calibri" w:cs="Times New Roman"/>
              </w:rPr>
              <w:t xml:space="preserve">2.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Требования </w:t>
            </w:r>
            <w:r>
              <w:rPr>
                <w:rStyle w:val="934"/>
              </w:rPr>
              <w:t xml:space="preserve">заказчика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51"/>
            <w:pBdr/>
            <w:tabs>
              <w:tab w:val="left" w:leader="none" w:pos="1417"/>
              <w:tab w:val="right" w:leader="dot" w:pos="10053"/>
            </w:tabs>
            <w:spacing/>
            <w:ind/>
            <w:rPr/>
          </w:pPr>
          <w:hyperlink w:tooltip="#_Toc6" w:anchor="_Toc6" w:history="1">
            <w:r>
              <w:rPr>
                <w:rFonts w:ascii="Times New Roman" w:hAnsi="Times New Roman" w:eastAsia="Calibri" w:cs="Times New Roman"/>
              </w:rPr>
              <w:t xml:space="preserve">2.1.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Требования к объемам и срокам выполнения работ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50"/>
            <w:pBdr/>
            <w:tabs>
              <w:tab w:val="left" w:leader="none" w:pos="850"/>
              <w:tab w:val="clear" w:leader="none" w:pos="1100"/>
              <w:tab w:val="clear" w:leader="none" w:pos="10053"/>
            </w:tabs>
            <w:spacing/>
            <w:ind/>
            <w:rPr/>
          </w:pPr>
          <w:hyperlink w:tooltip="#_Toc7" w:anchor="_Toc7" w:history="1">
            <w:r>
              <w:rPr>
                <w:rFonts w:ascii="Times New Roman" w:hAnsi="Times New Roman" w:eastAsia="Calibri" w:cs="Times New Roman"/>
              </w:rPr>
              <w:t xml:space="preserve">2.1.1.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Перечень и объем выполняемых работ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49"/>
            <w:pBdr/>
            <w:tabs>
              <w:tab w:val="right" w:leader="dot" w:pos="10053"/>
            </w:tabs>
            <w:spacing/>
            <w:ind/>
            <w:rPr/>
          </w:pPr>
          <w:hyperlink w:tooltip="#_Toc8" w:anchor="_Toc8" w:history="1">
            <w:r>
              <w:rPr>
                <w:rStyle w:val="934"/>
              </w:rPr>
            </w:r>
            <w:r>
              <w:rPr>
                <w:rStyle w:val="934"/>
              </w:rPr>
              <w:t xml:space="preserve">Таблица 1. Перечень </w:t>
            </w:r>
            <w:r>
              <w:rPr>
                <w:rStyle w:val="934"/>
              </w:rPr>
              <w:t xml:space="preserve">и объем выполняемых работ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_Toc8 \h</w:instrText>
              <w:fldChar w:fldCharType="separate"/>
              <w:t xml:space="preserve">3</w:t>
              <w:fldChar w:fldCharType="end"/>
            </w:r>
          </w:hyperlink>
          <w:r/>
        </w:p>
        <w:p>
          <w:pPr>
            <w:pStyle w:val="950"/>
            <w:pBdr/>
            <w:tabs>
              <w:tab w:val="left" w:leader="none" w:pos="850"/>
              <w:tab w:val="clear" w:leader="none" w:pos="1100"/>
              <w:tab w:val="clear" w:leader="none" w:pos="10053"/>
            </w:tabs>
            <w:spacing/>
            <w:ind/>
            <w:rPr/>
          </w:pPr>
          <w:hyperlink w:tooltip="#_Toc9" w:anchor="_Toc9" w:history="1">
            <w:r>
              <w:rPr>
                <w:rFonts w:ascii="Times New Roman" w:hAnsi="Times New Roman" w:eastAsia="Calibri" w:cs="Times New Roman"/>
              </w:rPr>
              <w:t xml:space="preserve">2.1.2.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Перечень необходимых запасных частей для выполнения ремонта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_Toc9 \h</w:instrText>
              <w:fldChar w:fldCharType="separate"/>
              <w:t xml:space="preserve">4</w:t>
              <w:fldChar w:fldCharType="end"/>
            </w:r>
          </w:hyperlink>
          <w:r/>
        </w:p>
        <w:p>
          <w:pPr>
            <w:pStyle w:val="950"/>
            <w:pBdr/>
            <w:tabs>
              <w:tab w:val="right" w:leader="dot" w:pos="10053"/>
            </w:tabs>
            <w:spacing/>
            <w:ind/>
            <w:rPr/>
          </w:pPr>
          <w:hyperlink w:tooltip="#_Toc10" w:anchor="_Toc10" w:history="1">
            <w:r>
              <w:rPr>
                <w:rStyle w:val="934"/>
              </w:rPr>
            </w:r>
            <w:r>
              <w:rPr>
                <w:rStyle w:val="934"/>
              </w:rPr>
              <w:t xml:space="preserve">Таблица 2. Перечень необходимых запасных частей для выполнения ремонта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_Toc10 \h</w:instrText>
              <w:fldChar w:fldCharType="separate"/>
              <w:t xml:space="preserve">4</w:t>
              <w:fldChar w:fldCharType="end"/>
            </w:r>
          </w:hyperlink>
          <w:r/>
        </w:p>
        <w:p>
          <w:pPr>
            <w:pStyle w:val="950"/>
            <w:pBdr/>
            <w:tabs>
              <w:tab w:val="left" w:leader="none" w:pos="850"/>
              <w:tab w:val="clear" w:leader="none" w:pos="1100"/>
              <w:tab w:val="clear" w:leader="none" w:pos="10053"/>
            </w:tabs>
            <w:spacing/>
            <w:ind/>
            <w:rPr/>
          </w:pPr>
          <w:hyperlink w:tooltip="#_Toc11" w:anchor="_Toc11" w:history="1">
            <w:r>
              <w:rPr>
                <w:rFonts w:ascii="Times New Roman" w:hAnsi="Times New Roman" w:eastAsia="Calibri" w:cs="Times New Roman"/>
              </w:rPr>
              <w:t xml:space="preserve">2.1.3.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Требования к срокам выполнения работ и оказания сопутствующих услуг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_Toc11 \h</w:instrText>
              <w:fldChar w:fldCharType="separate"/>
              <w:t xml:space="preserve">4</w:t>
              <w:fldChar w:fldCharType="end"/>
            </w:r>
          </w:hyperlink>
          <w:r/>
        </w:p>
        <w:p>
          <w:pPr>
            <w:pStyle w:val="949"/>
            <w:pBdr/>
            <w:tabs>
              <w:tab w:val="right" w:leader="dot" w:pos="10053"/>
            </w:tabs>
            <w:spacing/>
            <w:ind/>
            <w:rPr/>
          </w:pPr>
          <w:hyperlink w:tooltip="#_Toc12" w:anchor="_Toc12" w:history="1">
            <w:r>
              <w:rPr>
                <w:rStyle w:val="934"/>
              </w:rPr>
            </w:r>
            <w:r>
              <w:rPr>
                <w:rStyle w:val="934"/>
              </w:rPr>
              <w:t xml:space="preserve">Таблица 3. </w:t>
            </w:r>
            <w:r>
              <w:rPr>
                <w:rStyle w:val="934"/>
              </w:rPr>
              <w:t xml:space="preserve">Требования по срокам </w:t>
            </w:r>
            <w:r>
              <w:rPr>
                <w:rStyle w:val="934"/>
              </w:rPr>
              <w:t xml:space="preserve">выполнения работ</w:t>
            </w:r>
            <w:r>
              <w:rPr>
                <w:rStyle w:val="934"/>
              </w:rPr>
              <w:t xml:space="preserve"> 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_Toc12 \h</w:instrText>
              <w:fldChar w:fldCharType="separate"/>
              <w:t xml:space="preserve">4</w:t>
              <w:fldChar w:fldCharType="end"/>
            </w:r>
          </w:hyperlink>
          <w:r/>
        </w:p>
        <w:p>
          <w:pPr>
            <w:pStyle w:val="951"/>
            <w:pBdr/>
            <w:tabs>
              <w:tab w:val="left" w:leader="none" w:pos="1417"/>
              <w:tab w:val="right" w:leader="dot" w:pos="10053"/>
            </w:tabs>
            <w:spacing/>
            <w:ind/>
            <w:rPr/>
          </w:pPr>
          <w:hyperlink w:tooltip="#_Toc13" w:anchor="_Toc13" w:history="1">
            <w:r>
              <w:rPr>
                <w:rFonts w:ascii="Times New Roman" w:hAnsi="Times New Roman" w:eastAsia="Calibri" w:cs="Times New Roman"/>
              </w:rPr>
              <w:t xml:space="preserve">2.2.</w:t>
            </w:r>
            <w:r>
              <w:tab/>
            </w:r>
            <w:r>
              <w:rPr>
                <w:rStyle w:val="934"/>
              </w:rPr>
            </w:r>
            <w:r>
              <w:rPr>
                <w:rStyle w:val="934"/>
              </w:rPr>
              <w:t xml:space="preserve">Таблица 4. Требования к качеству услуг</w:t>
            </w:r>
            <w:r>
              <w:rPr>
                <w:rStyle w:val="934"/>
              </w:rPr>
              <w:t xml:space="preserve"> </w:t>
            </w:r>
            <w:r>
              <w:rPr>
                <w:rStyle w:val="934"/>
              </w:rPr>
            </w:r>
            <w:r>
              <w:tab/>
            </w:r>
            <w:r>
              <w:fldChar w:fldCharType="begin"/>
              <w:instrText xml:space="preserve">PAGEREF _Toc13 \h</w:instrText>
              <w:fldChar w:fldCharType="separate"/>
              <w:t xml:space="preserve">5</w:t>
              <w:fldChar w:fldCharType="end"/>
            </w:r>
          </w:hyperlink>
          <w:r/>
        </w:p>
        <w:p>
          <w:pPr>
            <w:pStyle w:val="949"/>
            <w:pBdr/>
            <w:tabs>
              <w:tab w:val="right" w:leader="dot" w:pos="10053"/>
            </w:tabs>
            <w:spacing/>
            <w:ind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</w:rPr>
          </w:pPr>
          <w:r>
            <w:rPr>
              <w:rStyle w:val="940"/>
            </w:rPr>
          </w:r>
          <w:r>
            <w:rPr>
              <w:caps/>
            </w:rPr>
          </w:r>
          <w:r>
            <w:rPr>
              <w:rStyle w:val="940"/>
            </w:rPr>
            <w:fldChar w:fldCharType="end"/>
          </w:r>
          <w:r/>
          <w:r/>
        </w:p>
      </w:sdtContent>
    </w:sdt>
    <w:p>
      <w:pPr>
        <w:pStyle w:val="756"/>
        <w:numPr>
          <w:ilvl w:val="0"/>
          <w:numId w:val="0"/>
        </w:numPr>
        <w:pBdr/>
        <w:spacing/>
        <w:ind/>
        <w:rPr/>
      </w:pPr>
      <w:r/>
      <w:r/>
    </w:p>
    <w:p>
      <w:pPr>
        <w:keepNext w:val="true"/>
        <w:keepLines w:val="true"/>
        <w:pBdr/>
        <w:spacing/>
        <w:ind/>
        <w:jc w:val="center"/>
        <w:rPr>
          <w:rFonts w:eastAsia="Calibri"/>
          <w:b/>
          <w:i/>
          <w:sz w:val="24"/>
          <w:szCs w:val="24"/>
        </w:rPr>
      </w:pPr>
      <w:r>
        <w:br w:type="page" w:clear="all"/>
      </w:r>
      <w:r>
        <w:rPr>
          <w:rFonts w:eastAsia="Calibri"/>
          <w:b/>
          <w:i/>
          <w:sz w:val="24"/>
          <w:szCs w:val="24"/>
        </w:rPr>
      </w:r>
    </w:p>
    <w:p>
      <w:pPr>
        <w:pStyle w:val="755"/>
        <w:numPr>
          <w:ilvl w:val="0"/>
          <w:numId w:val="1"/>
        </w:numPr>
        <w:pBdr/>
        <w:spacing/>
        <w:ind w:hanging="505" w:left="3969"/>
        <w:rPr>
          <w:caps/>
        </w:rPr>
      </w:pPr>
      <w:r/>
      <w:bookmarkStart w:id="20" w:name="_Toc1"/>
      <w:r>
        <w:t xml:space="preserve">Общие сведения</w:t>
      </w:r>
      <w:r/>
      <w:bookmarkEnd w:id="20"/>
      <w:r/>
      <w:r>
        <w:rPr>
          <w:caps/>
        </w:rPr>
      </w:r>
    </w:p>
    <w:p>
      <w:pPr>
        <w:pStyle w:val="758"/>
        <w:numPr>
          <w:ilvl w:val="1"/>
          <w:numId w:val="1"/>
        </w:numPr>
        <w:pBdr/>
        <w:spacing/>
        <w:ind w:hanging="505" w:left="1225"/>
        <w:rPr/>
      </w:pPr>
      <w:r/>
      <w:bookmarkStart w:id="21" w:name="_Toc2"/>
      <w:r>
        <w:t xml:space="preserve">Обозначения и сокращения</w:t>
      </w:r>
      <w:r/>
      <w:bookmarkEnd w:id="21"/>
      <w:r/>
      <w:r/>
    </w:p>
    <w:p>
      <w:pPr>
        <w:pBdr/>
        <w:spacing/>
        <w:ind/>
        <w:rPr>
          <w:rStyle w:val="936"/>
          <w:b w:val="0"/>
          <w:bCs/>
          <w:iCs/>
          <w:sz w:val="26"/>
          <w:szCs w:val="26"/>
        </w:rPr>
      </w:pPr>
      <w:r>
        <w:rPr>
          <w:b w:val="0"/>
          <w:bCs/>
          <w:iCs/>
          <w:sz w:val="26"/>
          <w:szCs w:val="26"/>
        </w:rPr>
      </w:r>
      <w:r>
        <w:rPr>
          <w:rStyle w:val="936"/>
          <w:b w:val="0"/>
          <w:bCs/>
          <w:iCs/>
          <w:sz w:val="26"/>
          <w:szCs w:val="26"/>
        </w:rPr>
      </w:r>
    </w:p>
    <w:tbl>
      <w:tblPr>
        <w:tblW w:w="9783" w:type="dxa"/>
        <w:jc w:val="center"/>
        <w:tblBorders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ТТ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Технические требования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ДЭС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Дизельная электростанция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ДГУ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Дизель-генераторный агрегат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ОТ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Охрана труда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ТБ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Техника безопасности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ППБ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Правила пожарной безопасности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ППР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Проект производства работ</w:t>
            </w:r>
            <w:r>
              <w:rPr>
                <w:i/>
                <w:sz w:val="24"/>
                <w:szCs w:val="24"/>
              </w:rPr>
            </w:r>
          </w:p>
        </w:tc>
      </w:tr>
      <w:tr>
        <w:trPr>
          <w:cantSplit/>
          <w:jc w:val="center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8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НТД</w:t>
            </w:r>
            <w:r>
              <w:rPr>
                <w:i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9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Нормативно-техническая документация</w:t>
            </w:r>
            <w:r>
              <w:rPr>
                <w:i/>
                <w:sz w:val="24"/>
                <w:szCs w:val="24"/>
              </w:rPr>
            </w:r>
          </w:p>
        </w:tc>
      </w:tr>
    </w:tbl>
    <w:p>
      <w:pPr>
        <w:keepNext w:val="true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58"/>
        <w:numPr>
          <w:ilvl w:val="1"/>
          <w:numId w:val="1"/>
        </w:numPr>
        <w:pBdr/>
        <w:spacing/>
        <w:ind w:hanging="505" w:left="1225"/>
        <w:rPr>
          <w:i/>
          <w:shd w:val="clear" w:color="auto" w:fill="ffff99"/>
        </w:rPr>
      </w:pPr>
      <w:r/>
      <w:bookmarkStart w:id="22" w:name="_Toc3"/>
      <w:r>
        <w:t xml:space="preserve">Наименование объекта, место выполнения работ</w:t>
      </w:r>
      <w:r/>
      <w:bookmarkEnd w:id="22"/>
      <w:r/>
      <w:r>
        <w:rPr>
          <w:i/>
          <w:shd w:val="clear" w:color="auto" w:fill="ffff99"/>
        </w:rPr>
      </w:r>
    </w:p>
    <w:p>
      <w:pPr>
        <w:pBdr/>
        <w:spacing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Двигатель дизель - генератора </w:t>
      </w:r>
      <w:r>
        <w:rPr>
          <w:sz w:val="24"/>
          <w:szCs w:val="24"/>
          <w:lang w:val="en-US"/>
        </w:rPr>
        <w:t xml:space="preserve">Caterpillar</w:t>
      </w:r>
      <w:r>
        <w:rPr>
          <w:sz w:val="24"/>
          <w:szCs w:val="24"/>
        </w:rPr>
        <w:t xml:space="preserve"> 3412 ст. №2, 2009 года выпуска, эксплуатируется на дизельном топливе. </w:t>
      </w:r>
      <w:r>
        <w:rPr>
          <w:sz w:val="24"/>
          <w:szCs w:val="24"/>
        </w:rPr>
      </w:r>
    </w:p>
    <w:p>
      <w:pPr>
        <w:pBdr/>
        <w:spacing/>
        <w:ind w:firstLine="709"/>
        <w:rPr>
          <w:i/>
        </w:rPr>
      </w:pPr>
      <w:r>
        <w:rPr>
          <w:sz w:val="24"/>
          <w:szCs w:val="24"/>
        </w:rPr>
        <w:t xml:space="preserve">Выполнение комплекса работ по капитальному ремонту будет выполняться на действующей дизельной электростанции в п.Саскылах Анабарского  РЭС.</w:t>
      </w:r>
      <w:r>
        <w:rPr>
          <w:sz w:val="24"/>
          <w:szCs w:val="24"/>
        </w:rPr>
        <w:br/>
      </w:r>
      <w:r>
        <w:rPr>
          <w:i/>
        </w:rPr>
      </w:r>
    </w:p>
    <w:p>
      <w:pPr>
        <w:pStyle w:val="758"/>
        <w:numPr>
          <w:ilvl w:val="1"/>
          <w:numId w:val="1"/>
        </w:numPr>
        <w:pBdr/>
        <w:spacing/>
        <w:ind w:hanging="505" w:left="1225"/>
        <w:rPr/>
      </w:pPr>
      <w:r/>
      <w:bookmarkStart w:id="23" w:name="_Toc4"/>
      <w:r>
        <w:t xml:space="preserve">Цель </w:t>
      </w:r>
      <w:r>
        <w:t xml:space="preserve">использования закупаемой услуги</w:t>
      </w:r>
      <w:r>
        <w:t xml:space="preserve"> </w:t>
      </w:r>
      <w:r/>
      <w:bookmarkEnd w:id="23"/>
      <w:r/>
      <w:r/>
    </w:p>
    <w:p>
      <w:pPr>
        <w:pBdr/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Восстановление рабочих параметров дизельного двигателя в составе дизель-генераторной установки </w:t>
      </w:r>
      <w:r>
        <w:rPr>
          <w:sz w:val="24"/>
          <w:szCs w:val="24"/>
          <w:lang w:val="en-US"/>
        </w:rPr>
        <w:t xml:space="preserve">Caterpillar</w:t>
      </w:r>
      <w:r>
        <w:rPr>
          <w:sz w:val="24"/>
          <w:szCs w:val="24"/>
        </w:rPr>
        <w:t xml:space="preserve"> 3412.</w:t>
      </w:r>
      <w:r>
        <w:rPr>
          <w:sz w:val="24"/>
          <w:szCs w:val="24"/>
        </w:rPr>
      </w:r>
    </w:p>
    <w:p>
      <w:pPr>
        <w:pStyle w:val="755"/>
        <w:numPr>
          <w:ilvl w:val="0"/>
          <w:numId w:val="1"/>
        </w:numPr>
        <w:pBdr/>
        <w:spacing/>
        <w:ind w:hanging="505" w:left="3261"/>
        <w:jc w:val="both"/>
        <w:rPr/>
      </w:pPr>
      <w:r/>
      <w:bookmarkStart w:id="24" w:name="_Toc5"/>
      <w:r>
        <w:t xml:space="preserve">Требования </w:t>
      </w:r>
      <w:r>
        <w:t xml:space="preserve">заказчика</w:t>
      </w:r>
      <w:r/>
      <w:bookmarkEnd w:id="24"/>
      <w:r/>
      <w:r/>
    </w:p>
    <w:p>
      <w:pPr>
        <w:pStyle w:val="758"/>
        <w:numPr>
          <w:ilvl w:val="1"/>
          <w:numId w:val="1"/>
        </w:numPr>
        <w:pBdr/>
        <w:spacing/>
        <w:ind w:hanging="505" w:left="1225"/>
        <w:rPr/>
      </w:pPr>
      <w:r/>
      <w:bookmarkStart w:id="25" w:name="_Toc6"/>
      <w:r>
        <w:t xml:space="preserve">Требования к объемам и срокам выполнения работ</w:t>
      </w:r>
      <w:r/>
      <w:bookmarkEnd w:id="25"/>
      <w:r/>
      <w:r/>
    </w:p>
    <w:p>
      <w:pPr>
        <w:pStyle w:val="757"/>
        <w:pBdr/>
        <w:spacing/>
        <w:ind/>
        <w:rPr/>
      </w:pPr>
      <w:r/>
      <w:bookmarkStart w:id="26" w:name="_Toc7"/>
      <w:r>
        <w:t xml:space="preserve">Перечень и объем выполняемых работ</w:t>
      </w:r>
      <w:r/>
      <w:bookmarkEnd w:id="26"/>
      <w:r/>
      <w:r/>
    </w:p>
    <w:p>
      <w:pPr>
        <w:pBdr/>
        <w:spacing/>
        <w:ind/>
        <w:rPr/>
      </w:pPr>
      <w:r/>
      <w:r/>
    </w:p>
    <w:p>
      <w:pPr>
        <w:pStyle w:val="755"/>
        <w:numPr>
          <w:ilvl w:val="0"/>
          <w:numId w:val="0"/>
        </w:numPr>
        <w:pBdr/>
        <w:spacing/>
        <w:ind/>
        <w:rPr>
          <w:sz w:val="24"/>
        </w:rPr>
      </w:pPr>
      <w:r/>
      <w:bookmarkStart w:id="27" w:name="_Toc8"/>
      <w:r>
        <w:rPr>
          <w:sz w:val="24"/>
        </w:rPr>
        <w:t xml:space="preserve">Таблица 1. Перечень </w:t>
      </w:r>
      <w:r>
        <w:rPr>
          <w:sz w:val="24"/>
        </w:rPr>
        <w:t xml:space="preserve">и объем выполняемых работ</w:t>
      </w:r>
      <w:r/>
      <w:bookmarkEnd w:id="27"/>
      <w:r/>
      <w:r>
        <w:rPr>
          <w:sz w:val="24"/>
        </w:rPr>
      </w:r>
    </w:p>
    <w:p>
      <w:pPr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</w:p>
    <w:tbl>
      <w:tblPr>
        <w:tblW w:w="10290" w:type="dxa"/>
        <w:tblInd w:w="-231" w:type="dxa"/>
        <w:tblBorders/>
        <w:tblLayout w:type="fixed"/>
        <w:tblLook w:val="0000" w:firstRow="0" w:lastRow="0" w:firstColumn="0" w:lastColumn="0" w:noHBand="0" w:noVBand="0"/>
      </w:tblPr>
      <w:tblGrid>
        <w:gridCol w:w="1088"/>
        <w:gridCol w:w="6292"/>
        <w:gridCol w:w="1455"/>
        <w:gridCol w:w="1455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vAlign w:val="center"/>
            <w:textDirection w:val="lrTb"/>
            <w:noWrap w:val="false"/>
          </w:tcPr>
          <w:p>
            <w:pPr>
              <w:keepNext w:val="tru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keepNext w:val="tru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vAlign w:val="center"/>
            <w:textDirection w:val="lrTb"/>
            <w:noWrap w:val="false"/>
          </w:tcPr>
          <w:p>
            <w:pPr>
              <w:keepNext w:val="tru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Align w:val="center"/>
            <w:textDirection w:val="lrTb"/>
            <w:noWrap w:val="false"/>
          </w:tcPr>
          <w:p>
            <w:pPr>
              <w:keepNext w:val="tru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Align w:val="center"/>
            <w:textDirection w:val="lrTb"/>
            <w:noWrap w:val="false"/>
          </w:tcPr>
          <w:p>
            <w:pPr>
              <w:keepNext w:val="tru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</w:t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Разборочно-сборочные работы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ab/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Восстановление геометрии посадочного места гильзы цилиндра №2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Разборка ГБЦ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Дефектовка ГБЦ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Ремонт ГБЦ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уплотнений двигателя Caterpillar 3412 в объемах </w:t>
            </w:r>
            <w:r>
              <w:rPr>
                <w:color w:val="000000"/>
                <w:sz w:val="22"/>
                <w:szCs w:val="22"/>
              </w:rPr>
              <w:t xml:space="preserve">капитального</w:t>
            </w:r>
            <w:r>
              <w:rPr>
                <w:color w:val="000000"/>
                <w:sz w:val="22"/>
                <w:szCs w:val="22"/>
              </w:rPr>
              <w:t xml:space="preserve"> ремонта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vMerge w:val="restart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Полная з</w:t>
            </w:r>
            <w:r>
              <w:rPr>
                <w:color w:val="000000"/>
                <w:sz w:val="22"/>
                <w:szCs w:val="22"/>
              </w:rPr>
              <w:t xml:space="preserve">амена ЦПГ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CAT 3412</w:t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vMerge w:val="restart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Ремонт ТНВД с заменой плунжерных пар.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vMerge w:val="restart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подшипников коленчатого вала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подшипников распределительного вала ГРМ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color w:val="000000"/>
                <w:sz w:val="22"/>
                <w:szCs w:val="22"/>
              </w:rPr>
              <w:t xml:space="preserve">шт.</w:t>
            </w:r>
            <w:r/>
            <w:r/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Ремонт насоса системы охлаждения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/>
            <w:r>
              <w:rPr>
                <w:color w:val="000000"/>
                <w:sz w:val="22"/>
                <w:szCs w:val="22"/>
              </w:rPr>
              <w:t xml:space="preserve">шт.</w:t>
            </w:r>
            <w:r/>
            <w:r/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сальников коленчатого вала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Замена турбокомпрессоров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Регулировка клапанов ГРМ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Р</w:t>
            </w:r>
            <w:r>
              <w:rPr>
                <w:color w:val="000000"/>
                <w:sz w:val="22"/>
                <w:szCs w:val="22"/>
              </w:rPr>
              <w:t xml:space="preserve">егулировка топливной системы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88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3"/>
              </w:numPr>
              <w:pBdr/>
              <w:spacing/>
              <w:ind/>
              <w:jc w:val="center"/>
              <w:rPr/>
            </w:pPr>
            <w:r/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1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ПНР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Style w:val="960"/>
              <w:pBdr/>
              <w:spacing/>
              <w: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шт.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55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757"/>
        <w:pBdr/>
        <w:spacing/>
        <w:ind/>
        <w:rPr/>
      </w:pPr>
      <w:r/>
      <w:bookmarkStart w:id="28" w:name="_Toc9"/>
      <w:r>
        <w:t xml:space="preserve">Перечень необходимых запасных частей для выполнения ремонта</w:t>
      </w:r>
      <w:r/>
      <w:bookmarkEnd w:id="28"/>
      <w:r/>
      <w:r/>
    </w:p>
    <w:p>
      <w:pPr>
        <w:pStyle w:val="757"/>
        <w:numPr>
          <w:ilvl w:val="0"/>
          <w:numId w:val="0"/>
        </w:numPr>
        <w:pBdr/>
        <w:spacing/>
        <w:ind/>
        <w:rPr/>
      </w:pPr>
      <w:r/>
      <w:bookmarkStart w:id="29" w:name="_Toc10"/>
      <w:r>
        <w:t xml:space="preserve">Таблица 2. Перечень необходимых запасных частей для выполнения ремонта</w:t>
      </w:r>
      <w:r/>
      <w:bookmarkEnd w:id="29"/>
      <w:r/>
      <w:r/>
    </w:p>
    <w:p>
      <w:pPr>
        <w:pBdr/>
        <w:spacing/>
        <w:ind/>
        <w:rPr/>
      </w:pPr>
      <w:r/>
      <w:r/>
    </w:p>
    <w:tbl>
      <w:tblPr>
        <w:tblW w:w="10325" w:type="dxa"/>
        <w:tblInd w:w="-276" w:type="dxa"/>
        <w:tblBorders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664"/>
        <w:gridCol w:w="5861"/>
        <w:gridCol w:w="2510"/>
        <w:gridCol w:w="1290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6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861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Производитель продукции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Количество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Прокладка 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выпускного коллектора 1299452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12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Прокладка термостата 4</w:t>
            </w: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 xml:space="preserve">N1156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2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Гильза цилиндра 1979322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3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Кольцо поршневое 2</w:t>
            </w: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 xml:space="preserve">P2817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 xml:space="preserve">3</w:t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Кольцо поршневое 1343761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Кольцо поршневое 7</w:t>
            </w:r>
            <w:r>
              <w:rPr>
                <w:rFonts w:eastAsia="Calibri"/>
                <w:color w:val="000000"/>
                <w:sz w:val="22"/>
                <w:szCs w:val="22"/>
                <w:lang w:val="en-US" w:eastAsia="en-US"/>
              </w:rPr>
              <w:t xml:space="preserve">N7078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Днище поршня 1234612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Юбка поршня 1630930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Уплотнение гильзы 9</w:t>
            </w:r>
            <w:r>
              <w:rPr>
                <w:sz w:val="22"/>
                <w:szCs w:val="22"/>
                <w:lang w:val="en-US"/>
              </w:rPr>
              <w:t xml:space="preserve">L5854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</w:t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Уплотнение гильзы 1102220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Уплотнение гильзы 1427072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Уплотнение гильзы 1426217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Подшипник шатуна 328</w:t>
            </w:r>
            <w:r>
              <w:rPr>
                <w:sz w:val="22"/>
                <w:szCs w:val="22"/>
              </w:rPr>
              <w:t xml:space="preserve">5574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Датчик 3Е0445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уплотнительное 5</w:t>
            </w:r>
            <w:r>
              <w:rPr>
                <w:sz w:val="22"/>
                <w:szCs w:val="22"/>
                <w:lang w:val="en-US"/>
              </w:rPr>
              <w:t xml:space="preserve">P8356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4</w:t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Диодный мост 2905564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Привод 1052939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auto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Caterpillar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4" w:type="dxa"/>
            <w:vAlign w:val="bottom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6"/>
              </w:numPr>
              <w:pBdr/>
              <w:spacing/>
              <w:ind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61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 ремонтный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Belzona</w:t>
            </w:r>
            <w:r>
              <w:rPr>
                <w:sz w:val="22"/>
                <w:szCs w:val="22"/>
              </w:rPr>
              <w:t xml:space="preserve"> 1511 </w:t>
            </w:r>
            <w:r>
              <w:rPr>
                <w:sz w:val="22"/>
                <w:szCs w:val="22"/>
                <w:lang w:val="en-US"/>
              </w:rPr>
              <w:t xml:space="preserve">Super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HT</w:t>
            </w:r>
            <w:r>
              <w:rPr>
                <w:sz w:val="22"/>
                <w:szCs w:val="22"/>
              </w:rPr>
              <w:t xml:space="preserve"> (1</w:t>
            </w:r>
            <w:r>
              <w:rPr>
                <w:sz w:val="22"/>
                <w:szCs w:val="22"/>
              </w:rPr>
              <w:t xml:space="preserve">кг.)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10" w:type="dxa"/>
            <w:vAlign w:val="bottom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Belzona</w:t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9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Style w:val="757"/>
        <w:pBdr/>
        <w:spacing/>
        <w:ind/>
        <w:rPr/>
      </w:pPr>
      <w:r/>
      <w:bookmarkStart w:id="30" w:name="_Toc11"/>
      <w:r>
        <w:t xml:space="preserve">Требования к срокам выполнения работ и оказания сопутствующих услуг</w:t>
      </w:r>
      <w:r/>
      <w:bookmarkEnd w:id="30"/>
      <w:r/>
      <w:r/>
    </w:p>
    <w:p>
      <w:pPr>
        <w:pStyle w:val="755"/>
        <w:numPr>
          <w:ilvl w:val="0"/>
          <w:numId w:val="0"/>
        </w:numPr>
        <w:pBdr/>
        <w:spacing/>
        <w:ind/>
        <w:rPr>
          <w:sz w:val="24"/>
        </w:rPr>
      </w:pPr>
      <w:r/>
      <w:bookmarkStart w:id="31" w:name="_Toc12"/>
      <w:r>
        <w:rPr>
          <w:sz w:val="24"/>
        </w:rPr>
        <w:t xml:space="preserve">Таблица 3. </w:t>
      </w:r>
      <w:bookmarkStart w:id="19" w:name="_Hlk50465284"/>
      <w:r>
        <w:rPr>
          <w:sz w:val="24"/>
        </w:rPr>
        <w:t xml:space="preserve">Требования по срокам </w:t>
      </w:r>
      <w:r/>
      <w:bookmarkEnd w:id="19"/>
      <w:r>
        <w:rPr>
          <w:sz w:val="24"/>
        </w:rPr>
        <w:t xml:space="preserve">выполнения работ</w:t>
      </w:r>
      <w:r>
        <w:rPr>
          <w:sz w:val="24"/>
        </w:rPr>
        <w:t xml:space="preserve"> </w:t>
      </w:r>
      <w:r/>
      <w:bookmarkEnd w:id="31"/>
      <w:r/>
      <w:r>
        <w:rPr>
          <w:sz w:val="24"/>
        </w:rPr>
      </w:r>
    </w:p>
    <w:tbl>
      <w:tblPr>
        <w:tblW w:w="10335" w:type="dxa"/>
        <w:tblInd w:w="-276" w:type="dxa"/>
        <w:tblBorders/>
        <w:tblLayout w:type="fixed"/>
        <w:tblLook w:val="04A0" w:firstRow="1" w:lastRow="0" w:firstColumn="1" w:lastColumn="0" w:noHBand="0" w:noVBand="1"/>
      </w:tblPr>
      <w:tblGrid>
        <w:gridCol w:w="1254"/>
        <w:gridCol w:w="3502"/>
        <w:gridCol w:w="2595"/>
        <w:gridCol w:w="2984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3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02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работ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выполнения работ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4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выполнения работ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3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02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5" w:type="dxa"/>
            <w:textDirection w:val="lrTb"/>
            <w:noWrap w:val="false"/>
          </w:tcPr>
          <w:p>
            <w:pPr>
              <w:pStyle w:val="954"/>
              <w:keepNext w:val="fals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4" w:type="dxa"/>
            <w:textDirection w:val="lrTb"/>
            <w:noWrap w:val="false"/>
          </w:tcPr>
          <w:p>
            <w:pPr>
              <w:pStyle w:val="954"/>
              <w:keepNext w:val="false"/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829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53" w:type="dxa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4"/>
              </w:num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02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«ОКПД2 - 33.12.11.000. Капитальный  ремонт дизель-генератора Caterpillar ст. №2  п. Саскылах Анабарский РЭС»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95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даты заключения договора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4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До 31 января 2027</w:t>
            </w:r>
            <w:r>
              <w:rPr>
                <w:sz w:val="24"/>
                <w:szCs w:val="24"/>
                <w:highlight w:val="none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709" w:bottom="992" w:left="1134" w:header="680" w:footer="0" w:gutter="0"/>
          <w:cols w:num="1" w:sep="0" w:space="1701" w:equalWidth="1"/>
          <w:titlePg/>
        </w:sectPr>
      </w:pPr>
      <w:r/>
      <w:r/>
    </w:p>
    <w:p>
      <w:pPr>
        <w:pStyle w:val="758"/>
        <w:numPr>
          <w:ilvl w:val="1"/>
          <w:numId w:val="1"/>
        </w:numPr>
        <w:pBdr/>
        <w:spacing/>
        <w:ind w:hanging="505" w:left="1225"/>
        <w:rPr/>
      </w:pPr>
      <w:r/>
      <w:bookmarkStart w:id="32" w:name="_Toc13"/>
      <w:r>
        <w:t xml:space="preserve">Таблица 4. Требования к качеству услуг</w:t>
      </w:r>
      <w:r>
        <w:t xml:space="preserve"> </w:t>
      </w:r>
      <w:r/>
      <w:bookmarkEnd w:id="32"/>
      <w:r/>
      <w:r/>
    </w:p>
    <w:p>
      <w:pPr>
        <w:pBdr/>
        <w:spacing/>
        <w:ind/>
        <w:rPr>
          <w:rStyle w:val="936"/>
          <w:b w:val="0"/>
        </w:rPr>
      </w:pPr>
      <w:r>
        <w:rPr>
          <w:b w:val="0"/>
        </w:rPr>
      </w:r>
      <w:r>
        <w:rPr>
          <w:rStyle w:val="936"/>
          <w:b w:val="0"/>
        </w:rPr>
      </w:r>
    </w:p>
    <w:p>
      <w:pPr>
        <w:pBdr/>
        <w:spacing/>
        <w:ind/>
        <w:rPr>
          <w:i/>
          <w:iCs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услуг/этапа:  «ОКПД2 - 33.12.11.000. Капиатальный ремонт дизель-генератора Caterpillar ст. №2  п. Саскылах Анабарский РЭС»</w:t>
      </w:r>
      <w:r>
        <w:rPr>
          <w:i/>
          <w:iCs/>
          <w:shd w:val="clear" w:color="auto" w:fill="ffff99"/>
        </w:rPr>
      </w:r>
    </w:p>
    <w:tbl>
      <w:tblPr>
        <w:tblStyle w:val="963"/>
        <w:tblW w:w="14764" w:type="dxa"/>
        <w:tblInd w:w="-5" w:type="dxa"/>
        <w:tblBorders/>
        <w:tblLayout w:type="fixed"/>
        <w:tblLook w:val="04A0" w:firstRow="1" w:lastRow="0" w:firstColumn="1" w:lastColumn="0" w:noHBand="0" w:noVBand="1"/>
      </w:tblPr>
      <w:tblGrid>
        <w:gridCol w:w="851"/>
        <w:gridCol w:w="2269"/>
        <w:gridCol w:w="254"/>
        <w:gridCol w:w="4677"/>
        <w:gridCol w:w="2126"/>
        <w:gridCol w:w="2410"/>
        <w:gridCol w:w="2177"/>
      </w:tblGrid>
      <w:tr>
        <w:trPr/>
        <w:tc>
          <w:tcPr>
            <w:tcBorders/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п/п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параметра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4931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Требование заказчика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453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Способ подтверждения участником соответствия требованиям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77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Предложение участника по характеристикам и параметрам</w:t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9" w:type="dxa"/>
            <w:vAlign w:val="center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4931" w:type="dxa"/>
            <w:vAlign w:val="center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2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Согласие с требованием/ указание характеристик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77" w:type="dxa"/>
            <w:vAlign w:val="center"/>
            <w:vMerge w:val="continue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/>
            <w:r>
              <w:rPr>
                <w:b/>
                <w:bCs/>
                <w:sz w:val="24"/>
                <w:szCs w:val="24"/>
              </w:rPr>
              <w:t xml:space="preserve">1</w:t>
            </w:r>
            <w:r/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269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2"/>
            <w:tcBorders/>
            <w:tcW w:w="4931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2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5</w:t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/>
            <w:tcW w:w="2177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6</w:t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2"/>
              </w:numPr>
              <w:pBdr/>
              <w:spacing w:after="60" w:before="60"/>
              <w:ind/>
              <w:rPr/>
            </w:pPr>
            <w:r/>
            <w:r/>
          </w:p>
        </w:tc>
        <w:tc>
          <w:tcPr>
            <w:gridSpan w:val="3"/>
            <w:tcBorders/>
            <w:tcW w:w="720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25"/>
              <w:rPr>
                <w:b/>
                <w:bCs/>
              </w:rPr>
            </w:pPr>
            <w:r>
              <w:rPr>
                <w:b/>
                <w:bCs/>
              </w:rPr>
              <w:t xml:space="preserve">1.1.</w:t>
            </w:r>
            <w:r>
              <w:rPr>
                <w:b/>
                <w:bCs/>
              </w:rPr>
            </w:r>
          </w:p>
        </w:tc>
        <w:tc>
          <w:tcPr>
            <w:gridSpan w:val="2"/>
            <w:tcBorders/>
            <w:tcW w:w="2523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Общие требования к оказанию услуг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4677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60" w:before="60"/>
              <w:ind/>
              <w:rPr>
                <w:b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Проведение капитального ремонта будет выполняться на действующей дизельной электростанции п. Саскылах Анабарского РЭС.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25"/>
              <w:rPr>
                <w:b/>
              </w:rPr>
            </w:pPr>
            <w:r>
              <w:rPr>
                <w:b/>
              </w:rPr>
              <w:t xml:space="preserve">1.2.</w:t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auto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оплате работ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jc w:val="both"/>
              <w:rPr>
                <w:b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Оплата выполненных работ по условиям договора.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25"/>
              <w:rPr>
                <w:b/>
              </w:rPr>
            </w:pPr>
            <w:r>
              <w:rPr>
                <w:b/>
              </w:rPr>
              <w:t xml:space="preserve">1.3</w:t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auto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двигателю после ремонта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После завершения работ двигатель подлежит к приемно-сдаточным испытаниям согласно программе (Приложение 2).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Двигатель должен соответствовать параметрам приёмо-сдаточных испытаний дизель-генераторных агрегатов (ДГУ) после проведения капитального и среднего/текущего ремонтов.(п. 4.4. Приложения 2).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25"/>
              <w:rPr>
                <w:b/>
              </w:rPr>
            </w:pPr>
            <w:r>
              <w:rPr>
                <w:b/>
              </w:rPr>
              <w:t xml:space="preserve">1.4</w:t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auto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запасным частям и специальному инструменту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Необходимые запасные части и специальный инструмент для выполнение ремонта предоставляются Исполнитель (Подрядчик).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Поставляемая продукция должна быть новой (не бывшей в эксплуатации, не допускается поставка выставочных образцов, а также собранной из восстановленных узлов и материалов), свободной от третьих лиц.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Продукция должна быть сертифицирована, а </w:t>
            </w:r>
            <w:r>
              <w:rPr>
                <w:sz w:val="22"/>
                <w:szCs w:val="22"/>
              </w:rPr>
              <w:t xml:space="preserve">также иметь все необходимые документы, позволяющие надлежащим образом использовать продукцию.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должен принять во внимание, что по продукции не предусматривается замена на эквивалент, так как поставляемая продукция необходима для проведения ремонтно-восстановительных работ дизель-генераторных установок Caterpillar 3412.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25"/>
              <w:rPr>
                <w:b/>
              </w:rPr>
            </w:pPr>
            <w:r>
              <w:rPr>
                <w:b/>
              </w:rPr>
              <w:t xml:space="preserve">1.5</w:t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auto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гарантии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Гарантия в течение 12-ти месяцев или 5000 моточасов с момента подписания акта приемки сдачи выполненных работ.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numPr>
                <w:ilvl w:val="0"/>
                <w:numId w:val="2"/>
              </w:numPr>
              <w:pBdr/>
              <w:spacing w:after="60" w:before="60"/>
              <w:ind/>
              <w:rPr/>
            </w:pPr>
            <w:r/>
            <w:r/>
          </w:p>
        </w:tc>
        <w:tc>
          <w:tcPr>
            <w:gridSpan w:val="3"/>
            <w:tcBorders/>
            <w:tcW w:w="720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jc w:val="both"/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Требования к исполнителю (победителю закупки)</w:t>
            </w:r>
            <w:r>
              <w:rPr>
                <w:b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-//-</w:t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pStyle w:val="952"/>
              <w:widowControl w:val="false"/>
              <w:pBdr/>
              <w:spacing w:after="60" w:before="60"/>
              <w:ind w:left="5"/>
              <w:rPr>
                <w:b/>
              </w:rPr>
            </w:pPr>
            <w:r>
              <w:rPr>
                <w:b/>
              </w:rPr>
              <w:t xml:space="preserve">2.1.</w:t>
            </w:r>
            <w:r>
              <w:rPr>
                <w:b/>
              </w:rPr>
            </w:r>
          </w:p>
        </w:tc>
        <w:tc>
          <w:tcPr>
            <w:gridSpan w:val="2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Требование к персоналу подрядной организации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Квалификационный и количественный состав бригады должен соответствовать объему и сложности выполняемых работ.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 началом выполнения работ необходимо документальное подтверждение квалификации командируемого персонала.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Персонал должен соблюдать и соответствовать «Регламенту допуска подрядных и сторонних организаций, индивидуальных предпринимателей, командированного персонала для выполнения работ на объектах АО «Сахаэнерго» (</w:t>
            </w:r>
            <w:r>
              <w:rPr>
                <w:rFonts w:eastAsia="Arial Unicode MS"/>
                <w:sz w:val="24"/>
                <w:szCs w:val="24"/>
              </w:rPr>
              <w:t xml:space="preserve">ИСМ РГ-00-017.03-23</w:t>
            </w:r>
            <w:r>
              <w:rPr>
                <w:sz w:val="22"/>
                <w:szCs w:val="22"/>
              </w:rPr>
              <w:t xml:space="preserve">) (Приложение 1) (далее-Регламент).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Подрядная организация должна направить в адрес АО «Сахаэнерго» сопроводительное письмо согласно пункта 5 Регламента за 14 дней до начала выполнения ремонтных работ.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Style w:val="953"/>
              <w:keepNext w:val="false"/>
              <w:widowControl w:val="false"/>
              <w:pBdr/>
              <w:spacing w:after="0" w:before="0"/>
              <w:ind/>
              <w:jc w:val="left"/>
              <w:outlineLvl w:val="2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</w:r>
            <w:r>
              <w:rPr>
                <w:rFonts w:eastAsia="Times New Roman"/>
                <w:b w:val="0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60" w:before="60"/>
              <w:ind w:left="5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2.2.</w:t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обеспечению техники безопасности при проведении работ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выполнении ремонтных р</w:t>
            </w:r>
            <w:r>
              <w:rPr>
                <w:sz w:val="22"/>
                <w:szCs w:val="22"/>
              </w:rPr>
              <w:t xml:space="preserve">абот персонал подрядной организации обязан соблюдать требования правил ТБ, ППБ и охраны окружающей среды, правила организации технического обслуживания и ремонта оборудования, зданий и сооружений электростанций и сетей СО 34.04.181-2003г. и требований НТД.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Подрядчик обеспечивает персонал </w:t>
            </w:r>
            <w:r>
              <w:rPr>
                <w:sz w:val="22"/>
                <w:szCs w:val="22"/>
              </w:rPr>
              <w:t xml:space="preserve">спецодеждой и средствами индивидуальной защиты, согласно требований ТБ и установленных норм и правил.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60"/>
              <w:ind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85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60" w:before="60"/>
              <w:ind w:left="5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2.3.</w:t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/>
            <w:tcW w:w="2523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Требования к выполнению работ.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4677" w:type="dxa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Выдерживание графика производства работ и обеспечение выполнения полного комплекса пуско-наладочных работ.</w:t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Выполнение работ производить в соответствии с требованиями на капитальный ремонт завода – изготовителя, программы приемо-сдаточных испытаний по ГОСТ 10448-2014.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 w:after="60" w:before="60"/>
              <w:ind w:left="5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2.4</w:t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</w:tcBorders>
            <w:tcW w:w="2523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Требования к наличию и предоставлению документов подтверждающие квалификацию ремонтного персонала 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 в составе заявки необходимо предоставить  документы подтверждающие квалификацию персонала на ремонт и диагностику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Согласие с требованием</w:t>
            </w:r>
            <w:r>
              <w:rPr>
                <w:bCs/>
                <w:sz w:val="24"/>
                <w:szCs w:val="24"/>
              </w:rPr>
            </w:r>
          </w:p>
          <w:p>
            <w:pPr>
              <w:pBdr/>
              <w:spacing/>
              <w:ind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2410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Предоставить сертификаты по эксплуатации и настройки систем, методов устранения неполадок и ремонта двигателей Caterpillar, а также на плановое техническое обслуживание и ремонт выданные  официальным учебным центром Caterpillar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</w:tcBorders>
            <w:tcW w:w="2177" w:type="dxa"/>
            <w:textDirection w:val="lrTb"/>
            <w:noWrap w:val="false"/>
          </w:tcPr>
          <w:p>
            <w:pPr>
              <w:keepNext w:val="true"/>
              <w:widowControl w:val="false"/>
              <w:pBdr/>
              <w:spacing w:after="60" w:before="6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contextualSpacing w:val="true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pBdr/>
        <w:spacing/>
        <w:ind/>
        <w:rPr/>
      </w:pPr>
      <w:r/>
      <w:r/>
    </w:p>
    <w:p>
      <w:pPr>
        <w:pBdr/>
        <w:spacing w:after="120"/>
        <w:ind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№1: Регламент</w:t>
      </w:r>
      <w:r>
        <w:rPr>
          <w:rFonts w:eastAsia="Arial Unicode MS"/>
          <w:bCs/>
          <w:sz w:val="24"/>
          <w:szCs w:val="24"/>
        </w:rPr>
        <w:t xml:space="preserve"> допуска подрядных организаций и командированного персонала на объекты АО «Сахаэнерго» ИСМ РГ-00-017.03-23.</w:t>
      </w:r>
      <w:r>
        <w:rPr>
          <w:bCs/>
          <w:sz w:val="24"/>
          <w:szCs w:val="24"/>
        </w:rPr>
      </w:r>
    </w:p>
    <w:p>
      <w:pPr>
        <w:pBdr/>
        <w:spacing w:after="120"/>
        <w:ind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Приложение №2: Программа приёмо-сдаточных испытаний дизель-генераторых агрегатов.</w:t>
      </w:r>
      <w:r>
        <w:rPr>
          <w:rFonts w:eastAsia="Arial Unicode MS"/>
          <w:sz w:val="24"/>
          <w:szCs w:val="24"/>
        </w:rPr>
      </w:r>
    </w:p>
    <w:p>
      <w:pPr>
        <w:pBdr/>
        <w:spacing w:after="120"/>
        <w:ind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12"/>
      <w:headerReference w:type="first" r:id="rId13"/>
      <w:footnotePr/>
      <w:endnotePr/>
      <w:type w:val="nextPage"/>
      <w:pgSz w:h="11906" w:orient="landscape" w:w="16838"/>
      <w:pgMar w:top="1134" w:right="1134" w:bottom="709" w:left="992" w:header="680" w:footer="0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 (Заголовки)">
    <w:panose1 w:val="020F0502020204030204"/>
  </w:font>
  <w:font w:name="Tahoma">
    <w:panose1 w:val="020B0604030504040204"/>
  </w:font>
  <w:font w:name="Lohit Devanagari">
    <w:panose1 w:val="020B06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8"/>
      <w:pBdr/>
      <w:spacing/>
      <w:ind/>
      <w:jc w:val="center"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8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948"/>
                            <w:pBdr/>
                            <w:spacing/>
                            <w:ind/>
                            <w:rPr>
                              <w:rStyle w:val="933"/>
                            </w:rPr>
                          </w:pPr>
                          <w:r>
                            <w:rPr>
                              <w:rStyle w:val="93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3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3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33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33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33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;o:allowoverlap:true;o:allowincell:false;mso-position-horizontal-relative:margin;mso-position-horizontal:center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48"/>
                      <w:pBdr/>
                      <w:spacing/>
                      <w:ind/>
                      <w:rPr>
                        <w:rStyle w:val="933"/>
                      </w:rPr>
                    </w:pPr>
                    <w:r>
                      <w:rPr>
                        <w:rStyle w:val="933"/>
                        <w:color w:val="000000"/>
                      </w:rPr>
                      <w:fldChar w:fldCharType="begin"/>
                    </w:r>
                    <w:r>
                      <w:rPr>
                        <w:rStyle w:val="93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33"/>
                        <w:color w:val="000000"/>
                      </w:rPr>
                      <w:fldChar w:fldCharType="separate"/>
                    </w:r>
                    <w:r>
                      <w:rPr>
                        <w:rStyle w:val="933"/>
                        <w:color w:val="000000"/>
                      </w:rPr>
                      <w:t xml:space="preserve">0</w:t>
                    </w:r>
                    <w:r>
                      <w:rPr>
                        <w:rStyle w:val="933"/>
                        <w:color w:val="000000"/>
                      </w:rPr>
                      <w:fldChar w:fldCharType="end"/>
                    </w:r>
                    <w:r>
                      <w:rPr>
                        <w:rStyle w:val="933"/>
                      </w:rPr>
                    </w:r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8"/>
      <w:pBdr/>
      <w:spacing/>
      <w:ind/>
      <w:jc w:val="center"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8"/>
      <w:pBdr/>
      <w:spacing/>
      <w:ind/>
      <w:jc w:val="center"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8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55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956"/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5038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432"/>
      </w:pPr>
      <w:rPr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pStyle w:val="757"/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5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397"/>
        </w:tabs>
        <w:spacing/>
        <w:ind w:hanging="397" w:left="754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794"/>
        </w:tabs>
        <w:spacing/>
        <w:ind w:hanging="397" w:left="1151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191"/>
        </w:tabs>
        <w:spacing/>
        <w:ind w:hanging="397" w:left="154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588"/>
        </w:tabs>
        <w:spacing/>
        <w:ind w:hanging="397" w:left="1945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1985"/>
        </w:tabs>
        <w:spacing/>
        <w:ind w:hanging="397" w:left="2342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381"/>
        </w:tabs>
        <w:spacing/>
        <w:ind w:hanging="397" w:left="273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778"/>
        </w:tabs>
        <w:spacing/>
        <w:ind w:hanging="397" w:left="3135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175"/>
        </w:tabs>
        <w:spacing/>
        <w:ind w:hanging="397" w:left="3532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572"/>
        </w:tabs>
        <w:spacing/>
        <w:ind w:hanging="397" w:left="3929"/>
      </w:pPr>
      <w:rPr/>
      <w:start w:val="1"/>
      <w:suff w:val="tab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3">
    <w:name w:val="Heading 5 Char"/>
    <w:basedOn w:val="764"/>
    <w:link w:val="7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64"/>
    <w:link w:val="7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64"/>
    <w:link w:val="7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64"/>
    <w:link w:val="7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64"/>
    <w:link w:val="7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64"/>
    <w:link w:val="90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64"/>
    <w:link w:val="9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64"/>
    <w:link w:val="90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64"/>
    <w:link w:val="90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64"/>
    <w:link w:val="948"/>
    <w:uiPriority w:val="99"/>
    <w:pPr>
      <w:pBdr/>
      <w:spacing/>
      <w:ind/>
    </w:pPr>
  </w:style>
  <w:style w:type="character" w:styleId="178">
    <w:name w:val="Footer Char"/>
    <w:basedOn w:val="764"/>
    <w:link w:val="958"/>
    <w:uiPriority w:val="99"/>
    <w:pPr>
      <w:pBdr/>
      <w:spacing/>
      <w:ind/>
    </w:pPr>
  </w:style>
  <w:style w:type="character" w:styleId="181">
    <w:name w:val="Footnote Text Char"/>
    <w:basedOn w:val="764"/>
    <w:link w:val="946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64"/>
    <w:link w:val="919"/>
    <w:uiPriority w:val="99"/>
    <w:semiHidden/>
    <w:pPr>
      <w:pBdr/>
      <w:spacing/>
      <w:ind/>
    </w:pPr>
    <w:rPr>
      <w:sz w:val="20"/>
      <w:szCs w:val="20"/>
    </w:rPr>
  </w:style>
  <w:style w:type="paragraph" w:styleId="754" w:default="1">
    <w:name w:val="Normal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755">
    <w:name w:val="Heading 1"/>
    <w:basedOn w:val="757"/>
    <w:next w:val="754"/>
    <w:link w:val="925"/>
    <w:qFormat/>
    <w:pPr>
      <w:pBdr/>
      <w:spacing/>
      <w:ind/>
      <w:outlineLvl w:val="0"/>
    </w:pPr>
    <w:rPr>
      <w:sz w:val="28"/>
      <w:szCs w:val="28"/>
    </w:rPr>
  </w:style>
  <w:style w:type="paragraph" w:styleId="756">
    <w:name w:val="Heading 2"/>
    <w:basedOn w:val="758"/>
    <w:next w:val="754"/>
    <w:link w:val="926"/>
    <w:qFormat/>
    <w:pPr>
      <w:pBdr/>
      <w:spacing/>
      <w:ind/>
      <w:outlineLvl w:val="1"/>
    </w:pPr>
  </w:style>
  <w:style w:type="paragraph" w:styleId="757">
    <w:name w:val="Heading 3"/>
    <w:basedOn w:val="754"/>
    <w:next w:val="754"/>
    <w:link w:val="927"/>
    <w:qFormat/>
    <w:pPr>
      <w:keepNext w:val="true"/>
      <w:numPr>
        <w:ilvl w:val="2"/>
        <w:numId w:val="1"/>
      </w:numPr>
      <w:pBdr/>
      <w:spacing w:after="60" w:before="240"/>
      <w:ind w:hanging="505" w:left="1225"/>
      <w:outlineLvl w:val="2"/>
    </w:pPr>
    <w:rPr>
      <w:rFonts w:eastAsia="Calibri"/>
      <w:b/>
      <w:sz w:val="24"/>
      <w:szCs w:val="24"/>
    </w:rPr>
  </w:style>
  <w:style w:type="paragraph" w:styleId="758">
    <w:name w:val="Heading 4"/>
    <w:basedOn w:val="757"/>
    <w:next w:val="754"/>
    <w:link w:val="928"/>
    <w:qFormat/>
    <w:pPr>
      <w:pBdr/>
      <w:spacing/>
      <w:ind/>
      <w:outlineLvl w:val="3"/>
    </w:pPr>
    <w:rPr>
      <w:bCs/>
    </w:rPr>
  </w:style>
  <w:style w:type="paragraph" w:styleId="759">
    <w:name w:val="Heading 5"/>
    <w:basedOn w:val="754"/>
    <w:next w:val="754"/>
    <w:link w:val="89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60">
    <w:name w:val="Heading 6"/>
    <w:basedOn w:val="754"/>
    <w:next w:val="754"/>
    <w:link w:val="897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61">
    <w:name w:val="Heading 7"/>
    <w:basedOn w:val="754"/>
    <w:next w:val="754"/>
    <w:link w:val="898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62">
    <w:name w:val="Heading 8"/>
    <w:basedOn w:val="754"/>
    <w:next w:val="754"/>
    <w:link w:val="899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63">
    <w:name w:val="Heading 9"/>
    <w:basedOn w:val="754"/>
    <w:next w:val="754"/>
    <w:link w:val="900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64" w:default="1">
    <w:name w:val="Default Paragraph Font"/>
    <w:uiPriority w:val="1"/>
    <w:semiHidden/>
    <w:unhideWhenUsed/>
    <w:pPr>
      <w:pBdr/>
      <w:spacing/>
      <w:ind/>
    </w:pPr>
  </w:style>
  <w:style w:type="table" w:styleId="765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66" w:default="1">
    <w:name w:val="No List"/>
    <w:uiPriority w:val="99"/>
    <w:semiHidden/>
    <w:unhideWhenUsed/>
    <w:pPr>
      <w:pBdr/>
      <w:spacing/>
      <w:ind/>
    </w:pPr>
  </w:style>
  <w:style w:type="table" w:styleId="767" w:customStyle="1">
    <w:name w:val="Table Grid Light"/>
    <w:basedOn w:val="7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1"/>
    <w:basedOn w:val="7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Plain Table 2"/>
    <w:basedOn w:val="76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Plain Table 3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Plain Table 4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Plain Table 5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1 Light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Grid Table 1 Light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Grid Table 1 Light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Grid Table 1 Light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Grid Table 1 Light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Grid Table 1 Light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Grid Table 2 - Accent 1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Grid Table 2 - Accent 2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2 - Accent 3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2 - Accent 4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2 - Accent 5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2 - Accent 6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3 - Accent 1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3 - Accent 2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3 - Accent 3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3 - Accent 4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3 - Accent 5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3 - Accent 6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4 - Accent 1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4 - Accent 2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4 - Accent 3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4 - Accent 4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4 - Accent 5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4 - Accent 6"/>
    <w:basedOn w:val="765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5 Dark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5 Dark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5 Dark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5 Dark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5 Dark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5 Dark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6 Colorful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6 Colorful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6 Colorful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6 Colorful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6 Colorful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6 Colorful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7 Colorful - Accent 1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7 Colorful - Accent 2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7 Colorful - Accent 3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7 Colorful - Accent 4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7 Colorful - Accent 5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7 Colorful - Accent 6"/>
    <w:basedOn w:val="76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1 Light - Accent 1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st Table 1 Light - Accent 2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st Table 1 Light - Accent 3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st Table 1 Light - Accent 4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st Table 1 Light - Accent 5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st Table 1 Light - Accent 6"/>
    <w:basedOn w:val="7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st Table 2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List Table 2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2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2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2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2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3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3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3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3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3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3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4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4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4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4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4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4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5 Dark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5 Dark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5 Dark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5 Dark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5 Dark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5 Dark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6 Colorful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6 Colorful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6 Colorful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6 Colorful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6 Colorful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6 Colorful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7 Colorful - Accent 1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7 Colorful - Accent 2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7 Colorful - Accent 3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7 Colorful - Accent 4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7 Colorful - Accent 5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7 Colorful - Accent 6"/>
    <w:basedOn w:val="765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ned - Accent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ned - Accent 1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ned - Accent 2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ned - Accent 3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ned - Accent 4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ned - Accent 5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ned - Accent 6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Bordered &amp; Lined - Accent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Bordered &amp; Lined - Accent 1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Bordered &amp; Lined - Accent 2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Bordered &amp; Lined - Accent 3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Bordered &amp; Lined - Accent 4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Bordered &amp; Lined - Accent 5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Bordered &amp; Lined - Accent 6"/>
    <w:basedOn w:val="765"/>
    <w:uiPriority w:val="99"/>
    <w:pPr>
      <w:pBdr/>
      <w:spacing/>
      <w:ind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Bordered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Bordered - Accent 1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- Accent 2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- Accent 3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- Accent 4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- Accent 5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- Accent 6"/>
    <w:basedOn w:val="7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2" w:customStyle="1">
    <w:name w:val="Heading 1 Char"/>
    <w:basedOn w:val="76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893" w:customStyle="1">
    <w:name w:val="Heading 2 Char"/>
    <w:basedOn w:val="76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894" w:customStyle="1">
    <w:name w:val="Heading 3 Char"/>
    <w:basedOn w:val="76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895" w:customStyle="1">
    <w:name w:val="Heading 4 Char"/>
    <w:basedOn w:val="764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896" w:customStyle="1">
    <w:name w:val="Заголовок 5 Знак"/>
    <w:basedOn w:val="764"/>
    <w:link w:val="75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97" w:customStyle="1">
    <w:name w:val="Заголовок 6 Знак"/>
    <w:basedOn w:val="764"/>
    <w:link w:val="7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8" w:customStyle="1">
    <w:name w:val="Заголовок 7 Знак"/>
    <w:basedOn w:val="764"/>
    <w:link w:val="7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9" w:customStyle="1">
    <w:name w:val="Заголовок 8 Знак"/>
    <w:basedOn w:val="764"/>
    <w:link w:val="7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0" w:customStyle="1">
    <w:name w:val="Заголовок 9 Знак"/>
    <w:basedOn w:val="764"/>
    <w:link w:val="7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01">
    <w:name w:val="Title"/>
    <w:basedOn w:val="754"/>
    <w:next w:val="942"/>
    <w:link w:val="902"/>
    <w:qFormat/>
    <w:pPr>
      <w:keepNext w:val="true"/>
      <w:pBdr/>
      <w:spacing w:after="120" w:before="240"/>
      <w:ind/>
    </w:pPr>
    <w:rPr>
      <w:rFonts w:ascii="Liberation Sans" w:hAnsi="Liberation Sans" w:eastAsia="Tahoma" w:cs="Lohit Devanagari"/>
    </w:rPr>
  </w:style>
  <w:style w:type="character" w:styleId="902" w:customStyle="1">
    <w:name w:val="Заголовок Знак"/>
    <w:basedOn w:val="764"/>
    <w:link w:val="90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03">
    <w:name w:val="Subtitle"/>
    <w:basedOn w:val="754"/>
    <w:next w:val="754"/>
    <w:link w:val="90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</w:rPr>
  </w:style>
  <w:style w:type="character" w:styleId="904" w:customStyle="1">
    <w:name w:val="Подзаголовок Знак"/>
    <w:basedOn w:val="764"/>
    <w:link w:val="90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05">
    <w:name w:val="Quote"/>
    <w:basedOn w:val="754"/>
    <w:next w:val="754"/>
    <w:link w:val="90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6" w:customStyle="1">
    <w:name w:val="Цитата 2 Знак"/>
    <w:basedOn w:val="764"/>
    <w:link w:val="90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7">
    <w:name w:val="Intense Emphasis"/>
    <w:basedOn w:val="764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08">
    <w:name w:val="Intense Quote"/>
    <w:basedOn w:val="754"/>
    <w:next w:val="754"/>
    <w:link w:val="909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09" w:customStyle="1">
    <w:name w:val="Выделенная цитата Знак"/>
    <w:basedOn w:val="764"/>
    <w:link w:val="908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10">
    <w:name w:val="Intense Reference"/>
    <w:basedOn w:val="764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11">
    <w:name w:val="No Spacing"/>
    <w:basedOn w:val="754"/>
    <w:uiPriority w:val="1"/>
    <w:qFormat/>
    <w:pPr>
      <w:pBdr/>
      <w:spacing/>
      <w:ind/>
    </w:pPr>
  </w:style>
  <w:style w:type="character" w:styleId="912">
    <w:name w:val="Subtle Emphasis"/>
    <w:basedOn w:val="7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13">
    <w:name w:val="Strong"/>
    <w:basedOn w:val="764"/>
    <w:uiPriority w:val="22"/>
    <w:qFormat/>
    <w:pPr>
      <w:pBdr/>
      <w:spacing/>
      <w:ind/>
    </w:pPr>
    <w:rPr>
      <w:b/>
      <w:bCs/>
    </w:rPr>
  </w:style>
  <w:style w:type="character" w:styleId="914">
    <w:name w:val="Subtle Reference"/>
    <w:basedOn w:val="7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15">
    <w:name w:val="Book Title"/>
    <w:basedOn w:val="76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16" w:customStyle="1">
    <w:name w:val="Верхний колонтитул Знак1"/>
    <w:basedOn w:val="764"/>
    <w:link w:val="948"/>
    <w:uiPriority w:val="99"/>
    <w:pPr>
      <w:pBdr/>
      <w:spacing/>
      <w:ind/>
    </w:pPr>
  </w:style>
  <w:style w:type="character" w:styleId="917" w:customStyle="1">
    <w:name w:val="Нижний колонтитул Знак1"/>
    <w:basedOn w:val="764"/>
    <w:link w:val="958"/>
    <w:uiPriority w:val="99"/>
    <w:pPr>
      <w:pBdr/>
      <w:spacing/>
      <w:ind/>
    </w:pPr>
  </w:style>
  <w:style w:type="character" w:styleId="918" w:customStyle="1">
    <w:name w:val="Текст сноски Знак1"/>
    <w:basedOn w:val="764"/>
    <w:link w:val="946"/>
    <w:uiPriority w:val="99"/>
    <w:semiHidden/>
    <w:pPr>
      <w:pBdr/>
      <w:spacing/>
      <w:ind/>
    </w:pPr>
    <w:rPr>
      <w:sz w:val="20"/>
      <w:szCs w:val="20"/>
    </w:rPr>
  </w:style>
  <w:style w:type="paragraph" w:styleId="919">
    <w:name w:val="endnote text"/>
    <w:basedOn w:val="754"/>
    <w:link w:val="920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920" w:customStyle="1">
    <w:name w:val="Текст концевой сноски Знак"/>
    <w:basedOn w:val="764"/>
    <w:link w:val="919"/>
    <w:uiPriority w:val="99"/>
    <w:semiHidden/>
    <w:pPr>
      <w:pBdr/>
      <w:spacing/>
      <w:ind/>
    </w:pPr>
    <w:rPr>
      <w:sz w:val="20"/>
      <w:szCs w:val="20"/>
    </w:rPr>
  </w:style>
  <w:style w:type="character" w:styleId="921">
    <w:name w:val="endnote reference"/>
    <w:basedOn w:val="764"/>
    <w:uiPriority w:val="99"/>
    <w:semiHidden/>
    <w:unhideWhenUsed/>
    <w:pPr>
      <w:pBdr/>
      <w:spacing/>
      <w:ind/>
    </w:pPr>
    <w:rPr>
      <w:vertAlign w:val="superscript"/>
    </w:rPr>
  </w:style>
  <w:style w:type="character" w:styleId="922">
    <w:name w:val="FollowedHyperlink"/>
    <w:basedOn w:val="764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23">
    <w:name w:val="TOC Heading"/>
    <w:uiPriority w:val="39"/>
    <w:unhideWhenUsed/>
    <w:pPr>
      <w:pBdr/>
      <w:spacing/>
      <w:ind/>
    </w:pPr>
  </w:style>
  <w:style w:type="paragraph" w:styleId="924">
    <w:name w:val="table of figures"/>
    <w:basedOn w:val="754"/>
    <w:next w:val="754"/>
    <w:uiPriority w:val="99"/>
    <w:unhideWhenUsed/>
    <w:pPr>
      <w:pBdr/>
      <w:spacing/>
      <w:ind/>
    </w:pPr>
  </w:style>
  <w:style w:type="character" w:styleId="925" w:customStyle="1">
    <w:name w:val="Заголовок 1 Знак"/>
    <w:basedOn w:val="764"/>
    <w:link w:val="755"/>
    <w:qFormat/>
    <w:pPr>
      <w:pBdr/>
      <w:spacing/>
      <w:ind/>
    </w:pPr>
    <w:rPr>
      <w:rFonts w:ascii="Times New Roman" w:hAnsi="Times New Roman" w:eastAsia="Calibri" w:cs="Times New Roman"/>
      <w:b/>
      <w:sz w:val="28"/>
      <w:szCs w:val="28"/>
    </w:rPr>
  </w:style>
  <w:style w:type="character" w:styleId="926" w:customStyle="1">
    <w:name w:val="Заголовок 2 Знак"/>
    <w:basedOn w:val="764"/>
    <w:link w:val="756"/>
    <w:qFormat/>
    <w:pPr>
      <w:pBdr/>
      <w:spacing/>
      <w:ind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styleId="927" w:customStyle="1">
    <w:name w:val="Заголовок 3 Знак"/>
    <w:basedOn w:val="764"/>
    <w:link w:val="757"/>
    <w:qFormat/>
    <w:pPr>
      <w:pBdr/>
      <w:spacing/>
      <w:ind/>
    </w:pPr>
    <w:rPr>
      <w:rFonts w:ascii="Times New Roman" w:hAnsi="Times New Roman" w:eastAsia="Calibri" w:cs="Times New Roman"/>
      <w:b/>
      <w:sz w:val="24"/>
      <w:szCs w:val="24"/>
    </w:rPr>
  </w:style>
  <w:style w:type="character" w:styleId="928" w:customStyle="1">
    <w:name w:val="Заголовок 4 Знак"/>
    <w:basedOn w:val="764"/>
    <w:link w:val="758"/>
    <w:qFormat/>
    <w:pPr>
      <w:pBdr/>
      <w:spacing/>
      <w:ind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styleId="929" w:customStyle="1">
    <w:name w:val="Текст сноски Знак"/>
    <w:basedOn w:val="764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0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931">
    <w:name w:val="footnote reference"/>
    <w:pPr>
      <w:pBdr/>
      <w:spacing/>
      <w:ind/>
    </w:pPr>
    <w:rPr>
      <w:vertAlign w:val="superscript"/>
    </w:rPr>
  </w:style>
  <w:style w:type="character" w:styleId="932" w:customStyle="1">
    <w:name w:val="Верхний колонтитул Знак"/>
    <w:basedOn w:val="764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3">
    <w:name w:val="page number"/>
    <w:basedOn w:val="764"/>
    <w:qFormat/>
    <w:pPr>
      <w:pBdr/>
      <w:spacing/>
      <w:ind/>
    </w:pPr>
  </w:style>
  <w:style w:type="character" w:styleId="934">
    <w:name w:val="Hyperlink"/>
    <w:uiPriority w:val="99"/>
    <w:pPr>
      <w:pBdr/>
      <w:spacing/>
      <w:ind/>
    </w:pPr>
    <w:rPr>
      <w:color w:val="0000ff"/>
      <w:u w:val="single"/>
    </w:rPr>
  </w:style>
  <w:style w:type="character" w:styleId="935" w:customStyle="1">
    <w:name w:val="Абзац списка Знак"/>
    <w:link w:val="952"/>
    <w:uiPriority w:val="34"/>
    <w:qFormat/>
    <w:pPr>
      <w:pBdr/>
      <w:spacing/>
      <w:ind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936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character" w:styleId="937" w:customStyle="1">
    <w:name w:val="Текст выноски Знак"/>
    <w:basedOn w:val="764"/>
    <w:link w:val="957"/>
    <w:uiPriority w:val="99"/>
    <w:semiHidden/>
    <w:qFormat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character" w:styleId="938">
    <w:name w:val="Emphasis"/>
    <w:basedOn w:val="764"/>
    <w:uiPriority w:val="20"/>
    <w:qFormat/>
    <w:pPr>
      <w:pBdr/>
      <w:spacing/>
      <w:ind/>
    </w:pPr>
    <w:rPr>
      <w:i/>
      <w:iCs/>
    </w:rPr>
  </w:style>
  <w:style w:type="character" w:styleId="939" w:customStyle="1">
    <w:name w:val="Нижний колонтитул Знак"/>
    <w:basedOn w:val="764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40" w:customStyle="1">
    <w:name w:val="Ссылка указателя"/>
    <w:qFormat/>
    <w:pPr>
      <w:pBdr/>
      <w:spacing/>
      <w:ind/>
    </w:pPr>
  </w:style>
  <w:style w:type="character" w:styleId="941" w:customStyle="1">
    <w:name w:val="Символ нумерации"/>
    <w:qFormat/>
    <w:pPr>
      <w:pBdr/>
      <w:spacing/>
      <w:ind/>
    </w:pPr>
  </w:style>
  <w:style w:type="paragraph" w:styleId="942">
    <w:name w:val="Body Text"/>
    <w:basedOn w:val="754"/>
    <w:pPr>
      <w:pBdr/>
      <w:spacing w:after="140" w:line="276" w:lineRule="auto"/>
      <w:ind/>
    </w:pPr>
  </w:style>
  <w:style w:type="paragraph" w:styleId="943">
    <w:name w:val="List"/>
    <w:basedOn w:val="942"/>
    <w:pPr>
      <w:pBdr/>
      <w:spacing/>
      <w:ind/>
    </w:pPr>
    <w:rPr>
      <w:rFonts w:cs="Lohit Devanagari"/>
    </w:rPr>
  </w:style>
  <w:style w:type="paragraph" w:styleId="944">
    <w:name w:val="Caption"/>
    <w:basedOn w:val="754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45">
    <w:name w:val="index heading"/>
    <w:basedOn w:val="754"/>
    <w:qFormat/>
    <w:pPr>
      <w:suppressLineNumbers w:val="true"/>
      <w:pBdr/>
      <w:spacing/>
      <w:ind/>
    </w:pPr>
    <w:rPr>
      <w:rFonts w:cs="Lohit Devanagari"/>
    </w:rPr>
  </w:style>
  <w:style w:type="paragraph" w:styleId="946">
    <w:name w:val="footnote text"/>
    <w:basedOn w:val="754"/>
    <w:link w:val="918"/>
    <w:uiPriority w:val="99"/>
    <w:pPr>
      <w:pBdr/>
      <w:spacing/>
      <w:ind/>
    </w:pPr>
    <w:rPr>
      <w:sz w:val="20"/>
      <w:szCs w:val="20"/>
    </w:rPr>
  </w:style>
  <w:style w:type="paragraph" w:styleId="947" w:customStyle="1">
    <w:name w:val="Колонтитул"/>
    <w:basedOn w:val="754"/>
    <w:qFormat/>
    <w:pPr>
      <w:pBdr/>
      <w:spacing/>
      <w:ind/>
    </w:pPr>
  </w:style>
  <w:style w:type="paragraph" w:styleId="948">
    <w:name w:val="Header"/>
    <w:basedOn w:val="754"/>
    <w:link w:val="916"/>
    <w:pPr>
      <w:pBdr/>
      <w:tabs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949">
    <w:name w:val="toc 1"/>
    <w:basedOn w:val="754"/>
    <w:next w:val="754"/>
    <w:uiPriority w:val="39"/>
    <w:pPr>
      <w:pBdr/>
      <w:spacing w:before="120"/>
      <w:ind/>
    </w:pPr>
    <w:rPr>
      <w:rFonts w:cs="Calibri Light (Заголовки)"/>
      <w:b/>
      <w:bCs/>
      <w:sz w:val="24"/>
      <w:szCs w:val="24"/>
    </w:rPr>
  </w:style>
  <w:style w:type="paragraph" w:styleId="950">
    <w:name w:val="toc 3"/>
    <w:basedOn w:val="754"/>
    <w:next w:val="754"/>
    <w:uiPriority w:val="39"/>
    <w:pPr>
      <w:pBdr/>
      <w:tabs>
        <w:tab w:val="left" w:leader="none" w:pos="1100"/>
        <w:tab w:val="right" w:leader="dot" w:pos="10053"/>
      </w:tabs>
      <w:spacing/>
      <w:ind w:hanging="567" w:left="567"/>
    </w:pPr>
    <w:rPr>
      <w:rFonts w:cstheme="minorHAnsi"/>
      <w:sz w:val="20"/>
      <w:szCs w:val="20"/>
    </w:rPr>
  </w:style>
  <w:style w:type="paragraph" w:styleId="951">
    <w:name w:val="toc 4"/>
    <w:basedOn w:val="754"/>
    <w:next w:val="754"/>
    <w:uiPriority w:val="39"/>
    <w:pPr>
      <w:pBdr/>
      <w:spacing/>
      <w:ind w:left="560"/>
    </w:pPr>
    <w:rPr>
      <w:rFonts w:cstheme="minorHAnsi"/>
      <w:sz w:val="20"/>
      <w:szCs w:val="20"/>
    </w:rPr>
  </w:style>
  <w:style w:type="paragraph" w:styleId="952">
    <w:name w:val="List Paragraph"/>
    <w:basedOn w:val="754"/>
    <w:link w:val="935"/>
    <w:uiPriority w:val="34"/>
    <w:qFormat/>
    <w:pPr>
      <w:pBdr/>
      <w:spacing/>
      <w:ind w:left="720"/>
      <w:contextualSpacing w:val="true"/>
    </w:pPr>
    <w:rPr>
      <w:rFonts w:eastAsia="Calibri"/>
      <w:sz w:val="24"/>
      <w:szCs w:val="24"/>
    </w:rPr>
  </w:style>
  <w:style w:type="paragraph" w:styleId="953" w:customStyle="1">
    <w:name w:val="Таблица"/>
    <w:basedOn w:val="754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paragraph" w:styleId="954" w:customStyle="1">
    <w:name w:val="Таблица шапка"/>
    <w:basedOn w:val="754"/>
    <w:qFormat/>
    <w:pPr>
      <w:keepNext w:val="true"/>
      <w:pBdr/>
      <w:spacing w:after="40" w:before="40"/>
      <w:ind w:right="57" w:left="57"/>
    </w:pPr>
    <w:rPr>
      <w:sz w:val="22"/>
      <w:szCs w:val="26"/>
    </w:rPr>
  </w:style>
  <w:style w:type="paragraph" w:styleId="955" w:customStyle="1">
    <w:name w:val="Раздел положения"/>
    <w:basedOn w:val="754"/>
    <w:qFormat/>
    <w:pPr>
      <w:numPr>
        <w:numId w:val="5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956" w:customStyle="1">
    <w:name w:val="Подраздел раздела положения"/>
    <w:basedOn w:val="754"/>
    <w:qFormat/>
    <w:pPr>
      <w:numPr>
        <w:ilvl w:val="1"/>
        <w:numId w:val="5"/>
      </w:numPr>
      <w:pBdr/>
      <w:spacing w:after="80" w:before="80"/>
      <w:ind/>
      <w:jc w:val="both"/>
    </w:pPr>
  </w:style>
  <w:style w:type="paragraph" w:styleId="957">
    <w:name w:val="Balloon Text"/>
    <w:basedOn w:val="754"/>
    <w:link w:val="937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958">
    <w:name w:val="Footer"/>
    <w:basedOn w:val="754"/>
    <w:link w:val="91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959" w:customStyle="1">
    <w:name w:val="Содержимое врезки"/>
    <w:basedOn w:val="754"/>
    <w:qFormat/>
    <w:pPr>
      <w:pBdr/>
      <w:spacing/>
      <w:ind/>
    </w:pPr>
  </w:style>
  <w:style w:type="paragraph" w:styleId="960" w:customStyle="1">
    <w:name w:val="Содержимое таблицы"/>
    <w:basedOn w:val="754"/>
    <w:qFormat/>
    <w:pPr>
      <w:widowControl w:val="false"/>
      <w:suppressLineNumbers w:val="true"/>
      <w:pBdr/>
      <w:spacing/>
      <w:ind/>
    </w:pPr>
  </w:style>
  <w:style w:type="paragraph" w:styleId="961" w:customStyle="1">
    <w:name w:val="Заголовок таблицы"/>
    <w:basedOn w:val="960"/>
    <w:qFormat/>
    <w:pPr>
      <w:pBdr/>
      <w:spacing/>
      <w:ind/>
      <w:jc w:val="center"/>
    </w:pPr>
    <w:rPr>
      <w:b/>
      <w:bCs/>
    </w:rPr>
  </w:style>
  <w:style w:type="numbering" w:styleId="962" w:customStyle="1">
    <w:name w:val="Нумерованный 123"/>
    <w:qFormat/>
    <w:pPr>
      <w:pBdr/>
      <w:spacing/>
      <w:ind/>
    </w:pPr>
  </w:style>
  <w:style w:type="table" w:styleId="963">
    <w:name w:val="Table Grid"/>
    <w:basedOn w:val="765"/>
    <w:uiPriority w:val="39"/>
    <w:pPr>
      <w:pBdr/>
      <w:spacing/>
      <w:ind/>
    </w:pPr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36883-4469-458A-B1F9-DA1C3707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Таллаева Акулина Николаевна</dc:creator>
  <dc:description/>
  <dc:language>ru-RU</dc:language>
  <cp:revision>8</cp:revision>
  <dcterms:created xsi:type="dcterms:W3CDTF">2026-10-06T06:50:00Z</dcterms:created>
  <dcterms:modified xsi:type="dcterms:W3CDTF">2026-10-06T08:03:38Z</dcterms:modified>
</cp:coreProperties>
</file>